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EB5" w:rsidRPr="002A782C" w:rsidRDefault="008E7EB5" w:rsidP="008E7EB5">
      <w:pPr>
        <w:spacing w:after="0" w:line="240" w:lineRule="auto"/>
        <w:jc w:val="center"/>
        <w:rPr>
          <w:rFonts w:ascii="Times New Roman" w:hAnsi="Times New Roman" w:cs="Times New Roman"/>
          <w:b/>
          <w:bCs/>
          <w:sz w:val="24"/>
          <w:szCs w:val="24"/>
        </w:rPr>
      </w:pPr>
      <w:r w:rsidRPr="002A782C">
        <w:rPr>
          <w:rFonts w:ascii="Times New Roman" w:hAnsi="Times New Roman" w:cs="Times New Roman"/>
          <w:b/>
          <w:bCs/>
          <w:sz w:val="24"/>
          <w:szCs w:val="24"/>
        </w:rPr>
        <w:t>LIZINGO GARANTIJŲ NUOSTATŲ PALYGINIMAS</w:t>
      </w:r>
    </w:p>
    <w:p w:rsidR="008E7EB5" w:rsidRPr="002A782C" w:rsidRDefault="008E7EB5" w:rsidP="008E7EB5">
      <w:pPr>
        <w:spacing w:after="0" w:line="240" w:lineRule="auto"/>
        <w:ind w:right="-881"/>
        <w:jc w:val="center"/>
        <w:rPr>
          <w:rFonts w:ascii="Times New Roman" w:hAnsi="Times New Roman" w:cs="Times New Roman"/>
        </w:rPr>
      </w:pPr>
    </w:p>
    <w:tbl>
      <w:tblPr>
        <w:tblStyle w:val="TableGrid"/>
        <w:tblW w:w="14879" w:type="dxa"/>
        <w:tblLook w:val="04A0" w:firstRow="1" w:lastRow="0" w:firstColumn="1" w:lastColumn="0" w:noHBand="0" w:noVBand="1"/>
      </w:tblPr>
      <w:tblGrid>
        <w:gridCol w:w="2122"/>
        <w:gridCol w:w="6095"/>
        <w:gridCol w:w="6662"/>
      </w:tblGrid>
      <w:tr w:rsidR="008E7EB5" w:rsidRPr="002A782C" w:rsidTr="003B6B5C">
        <w:trPr>
          <w:trHeight w:val="457"/>
        </w:trPr>
        <w:tc>
          <w:tcPr>
            <w:tcW w:w="2122" w:type="dxa"/>
          </w:tcPr>
          <w:p w:rsidR="008E7EB5" w:rsidRPr="007E4FF6" w:rsidRDefault="008E7EB5" w:rsidP="003B6B5C">
            <w:pPr>
              <w:jc w:val="both"/>
              <w:rPr>
                <w:rFonts w:ascii="Times New Roman" w:hAnsi="Times New Roman" w:cs="Times New Roman"/>
                <w:b/>
                <w:bCs/>
                <w:sz w:val="24"/>
                <w:szCs w:val="24"/>
              </w:rPr>
            </w:pPr>
            <w:r w:rsidRPr="007E4FF6">
              <w:rPr>
                <w:rFonts w:ascii="Times New Roman" w:hAnsi="Times New Roman" w:cs="Times New Roman"/>
                <w:b/>
                <w:bCs/>
                <w:sz w:val="24"/>
                <w:szCs w:val="24"/>
              </w:rPr>
              <w:t>Kriterijus</w:t>
            </w:r>
          </w:p>
        </w:tc>
        <w:tc>
          <w:tcPr>
            <w:tcW w:w="6095" w:type="dxa"/>
          </w:tcPr>
          <w:p w:rsidR="008E7EB5" w:rsidRPr="007E4FF6" w:rsidRDefault="008E7EB5" w:rsidP="003B6B5C">
            <w:pPr>
              <w:rPr>
                <w:rFonts w:ascii="Times New Roman" w:hAnsi="Times New Roman" w:cs="Times New Roman"/>
                <w:b/>
                <w:bCs/>
                <w:sz w:val="24"/>
                <w:szCs w:val="24"/>
              </w:rPr>
            </w:pPr>
            <w:r w:rsidRPr="007E4FF6">
              <w:rPr>
                <w:rFonts w:ascii="Times New Roman" w:hAnsi="Times New Roman" w:cs="Times New Roman"/>
                <w:b/>
                <w:bCs/>
                <w:sz w:val="24"/>
                <w:szCs w:val="24"/>
              </w:rPr>
              <w:t>Galiojanti redakcija</w:t>
            </w:r>
          </w:p>
        </w:tc>
        <w:tc>
          <w:tcPr>
            <w:tcW w:w="6662" w:type="dxa"/>
          </w:tcPr>
          <w:p w:rsidR="008E7EB5" w:rsidRPr="007E4FF6" w:rsidRDefault="008E7EB5" w:rsidP="003B6B5C">
            <w:pPr>
              <w:rPr>
                <w:rFonts w:ascii="Times New Roman" w:hAnsi="Times New Roman" w:cs="Times New Roman"/>
                <w:b/>
                <w:bCs/>
                <w:sz w:val="24"/>
                <w:szCs w:val="24"/>
              </w:rPr>
            </w:pPr>
            <w:r w:rsidRPr="007E4FF6">
              <w:rPr>
                <w:rFonts w:ascii="Times New Roman" w:hAnsi="Times New Roman" w:cs="Times New Roman"/>
                <w:b/>
                <w:bCs/>
                <w:sz w:val="24"/>
                <w:szCs w:val="24"/>
              </w:rPr>
              <w:t>Nauja redakcija (nuo 2019-11-01)</w:t>
            </w:r>
          </w:p>
        </w:tc>
      </w:tr>
      <w:tr w:rsidR="008E7EB5" w:rsidRPr="002A782C" w:rsidTr="003B6B5C">
        <w:tc>
          <w:tcPr>
            <w:tcW w:w="2122" w:type="dxa"/>
          </w:tcPr>
          <w:p w:rsidR="008E7EB5" w:rsidRPr="00A871B3" w:rsidRDefault="008E7EB5" w:rsidP="003B6B5C">
            <w:pPr>
              <w:jc w:val="both"/>
              <w:rPr>
                <w:rFonts w:ascii="Times New Roman" w:hAnsi="Times New Roman" w:cs="Times New Roman"/>
                <w:b/>
              </w:rPr>
            </w:pPr>
            <w:r w:rsidRPr="00A871B3">
              <w:rPr>
                <w:rFonts w:ascii="Times New Roman" w:hAnsi="Times New Roman" w:cs="Times New Roman"/>
                <w:b/>
              </w:rPr>
              <w:t>Garantijos suma</w:t>
            </w:r>
          </w:p>
        </w:tc>
        <w:tc>
          <w:tcPr>
            <w:tcW w:w="6095" w:type="dxa"/>
          </w:tcPr>
          <w:p w:rsidR="008E7EB5" w:rsidRPr="002A782C" w:rsidRDefault="008E7EB5" w:rsidP="003B6B5C">
            <w:pPr>
              <w:jc w:val="both"/>
              <w:rPr>
                <w:rFonts w:ascii="Times New Roman" w:hAnsi="Times New Roman" w:cs="Times New Roman"/>
              </w:rPr>
            </w:pPr>
            <w:r w:rsidRPr="002A782C">
              <w:rPr>
                <w:rFonts w:ascii="Times New Roman" w:hAnsi="Times New Roman" w:cs="Times New Roman"/>
              </w:rPr>
              <w:t>579 240 EUR (įmonėms iki 3 metų)</w:t>
            </w:r>
          </w:p>
          <w:p w:rsidR="008E7EB5" w:rsidRPr="002A782C" w:rsidRDefault="008E7EB5" w:rsidP="003B6B5C">
            <w:pPr>
              <w:jc w:val="both"/>
              <w:rPr>
                <w:rFonts w:ascii="Times New Roman" w:hAnsi="Times New Roman" w:cs="Times New Roman"/>
              </w:rPr>
            </w:pPr>
            <w:r w:rsidRPr="002A782C">
              <w:rPr>
                <w:rFonts w:ascii="Times New Roman" w:hAnsi="Times New Roman" w:cs="Times New Roman"/>
              </w:rPr>
              <w:t>1 448 100 EUR (įmonėms virš 3 metų)</w:t>
            </w:r>
          </w:p>
        </w:tc>
        <w:tc>
          <w:tcPr>
            <w:tcW w:w="6662" w:type="dxa"/>
          </w:tcPr>
          <w:p w:rsidR="008E7EB5" w:rsidRPr="002A782C" w:rsidRDefault="008E7EB5" w:rsidP="003B6B5C">
            <w:pPr>
              <w:jc w:val="both"/>
              <w:rPr>
                <w:rFonts w:ascii="Times New Roman" w:hAnsi="Times New Roman" w:cs="Times New Roman"/>
              </w:rPr>
            </w:pPr>
            <w:r w:rsidRPr="002A782C">
              <w:rPr>
                <w:rFonts w:ascii="Times New Roman" w:hAnsi="Times New Roman" w:cs="Times New Roman"/>
                <w:b/>
                <w:bCs/>
              </w:rPr>
              <w:t>750 000 EUR</w:t>
            </w:r>
            <w:r w:rsidRPr="002A782C">
              <w:rPr>
                <w:rFonts w:ascii="Times New Roman" w:hAnsi="Times New Roman" w:cs="Times New Roman"/>
              </w:rPr>
              <w:t xml:space="preserve"> (įmonėms iki 3 metų)</w:t>
            </w:r>
          </w:p>
          <w:p w:rsidR="008E7EB5" w:rsidRPr="002A782C" w:rsidRDefault="008E7EB5" w:rsidP="003B6B5C">
            <w:pPr>
              <w:jc w:val="both"/>
              <w:rPr>
                <w:rFonts w:ascii="Times New Roman" w:hAnsi="Times New Roman" w:cs="Times New Roman"/>
              </w:rPr>
            </w:pPr>
            <w:r w:rsidRPr="002A782C">
              <w:rPr>
                <w:rFonts w:ascii="Times New Roman" w:hAnsi="Times New Roman" w:cs="Times New Roman"/>
                <w:b/>
                <w:bCs/>
              </w:rPr>
              <w:t>1 500 000 EUR</w:t>
            </w:r>
            <w:r w:rsidRPr="002A782C">
              <w:rPr>
                <w:rFonts w:ascii="Times New Roman" w:hAnsi="Times New Roman" w:cs="Times New Roman"/>
              </w:rPr>
              <w:t xml:space="preserve"> (įmonėms virš 3 metų)</w:t>
            </w:r>
          </w:p>
        </w:tc>
      </w:tr>
      <w:tr w:rsidR="008E7EB5" w:rsidRPr="002A782C" w:rsidTr="003B6B5C">
        <w:tc>
          <w:tcPr>
            <w:tcW w:w="2122" w:type="dxa"/>
          </w:tcPr>
          <w:p w:rsidR="008E7EB5" w:rsidRPr="00A871B3" w:rsidRDefault="008E7EB5" w:rsidP="003B6B5C">
            <w:pPr>
              <w:jc w:val="both"/>
              <w:rPr>
                <w:rFonts w:ascii="Times New Roman" w:hAnsi="Times New Roman" w:cs="Times New Roman"/>
                <w:b/>
              </w:rPr>
            </w:pPr>
            <w:r w:rsidRPr="00A871B3">
              <w:rPr>
                <w:rFonts w:ascii="Times New Roman" w:hAnsi="Times New Roman" w:cs="Times New Roman"/>
                <w:b/>
              </w:rPr>
              <w:t>Garantijų intensyvumas</w:t>
            </w:r>
          </w:p>
        </w:tc>
        <w:tc>
          <w:tcPr>
            <w:tcW w:w="6095" w:type="dxa"/>
          </w:tcPr>
          <w:p w:rsidR="008E7EB5" w:rsidRPr="002A782C" w:rsidRDefault="008E7EB5" w:rsidP="003B6B5C">
            <w:pPr>
              <w:jc w:val="both"/>
              <w:rPr>
                <w:rFonts w:ascii="Times New Roman" w:hAnsi="Times New Roman" w:cs="Times New Roman"/>
              </w:rPr>
            </w:pPr>
            <w:r w:rsidRPr="002A782C">
              <w:rPr>
                <w:rFonts w:ascii="Times New Roman" w:hAnsi="Times New Roman" w:cs="Times New Roman"/>
              </w:rPr>
              <w:t>30 – 70 proc. lizingo sumos, bet ne daugiau kaip 60 proc. lizinguojamo turto kainos</w:t>
            </w:r>
          </w:p>
        </w:tc>
        <w:tc>
          <w:tcPr>
            <w:tcW w:w="6662" w:type="dxa"/>
          </w:tcPr>
          <w:p w:rsidR="008E7EB5" w:rsidRPr="002A782C" w:rsidRDefault="008E7EB5" w:rsidP="003B6B5C">
            <w:pPr>
              <w:jc w:val="both"/>
              <w:rPr>
                <w:rFonts w:ascii="Times New Roman" w:hAnsi="Times New Roman" w:cs="Times New Roman"/>
              </w:rPr>
            </w:pPr>
            <w:r w:rsidRPr="002A782C">
              <w:rPr>
                <w:rFonts w:ascii="Times New Roman" w:hAnsi="Times New Roman" w:cs="Times New Roman"/>
                <w:b/>
                <w:bCs/>
              </w:rPr>
              <w:t>Minimali garantija – 5 000 EUR</w:t>
            </w:r>
            <w:r w:rsidRPr="002A782C">
              <w:rPr>
                <w:rFonts w:ascii="Times New Roman" w:hAnsi="Times New Roman" w:cs="Times New Roman"/>
              </w:rPr>
              <w:t xml:space="preserve">, maksimali garantija ne daugiau kaip </w:t>
            </w:r>
            <w:r w:rsidRPr="002A782C">
              <w:rPr>
                <w:rFonts w:ascii="Times New Roman" w:hAnsi="Times New Roman" w:cs="Times New Roman"/>
                <w:b/>
              </w:rPr>
              <w:t>80 proc.</w:t>
            </w:r>
            <w:r w:rsidRPr="002A782C">
              <w:rPr>
                <w:rFonts w:ascii="Times New Roman" w:hAnsi="Times New Roman" w:cs="Times New Roman"/>
              </w:rPr>
              <w:t xml:space="preserve"> lizingo sumos, bet ne daugiau kaip 60 proc. lizinguojamo turto kainos</w:t>
            </w:r>
          </w:p>
        </w:tc>
      </w:tr>
      <w:tr w:rsidR="008E7EB5" w:rsidRPr="002A782C" w:rsidTr="003B6B5C">
        <w:tc>
          <w:tcPr>
            <w:tcW w:w="2122" w:type="dxa"/>
          </w:tcPr>
          <w:p w:rsidR="008E7EB5" w:rsidRPr="00A871B3" w:rsidRDefault="008E7EB5" w:rsidP="003B6B5C">
            <w:pPr>
              <w:jc w:val="both"/>
              <w:rPr>
                <w:rFonts w:ascii="Times New Roman" w:hAnsi="Times New Roman" w:cs="Times New Roman"/>
                <w:b/>
              </w:rPr>
            </w:pPr>
            <w:r w:rsidRPr="00A871B3">
              <w:rPr>
                <w:rFonts w:ascii="Times New Roman" w:hAnsi="Times New Roman" w:cs="Times New Roman"/>
                <w:b/>
              </w:rPr>
              <w:t>Lizingo valiuta</w:t>
            </w:r>
          </w:p>
        </w:tc>
        <w:tc>
          <w:tcPr>
            <w:tcW w:w="6095" w:type="dxa"/>
          </w:tcPr>
          <w:p w:rsidR="008E7EB5" w:rsidRPr="002A782C" w:rsidRDefault="008E7EB5" w:rsidP="003B6B5C">
            <w:pPr>
              <w:jc w:val="both"/>
              <w:rPr>
                <w:rFonts w:ascii="Times New Roman" w:hAnsi="Times New Roman" w:cs="Times New Roman"/>
              </w:rPr>
            </w:pPr>
            <w:r w:rsidRPr="002A782C">
              <w:rPr>
                <w:rFonts w:ascii="Times New Roman" w:hAnsi="Times New Roman" w:cs="Times New Roman"/>
              </w:rPr>
              <w:t>Eurais arba užsienio valiuta. Garantijos suma už lizingus užsienio valiuta turi būti išreikšta eurais.</w:t>
            </w:r>
          </w:p>
        </w:tc>
        <w:tc>
          <w:tcPr>
            <w:tcW w:w="6662" w:type="dxa"/>
          </w:tcPr>
          <w:p w:rsidR="008E7EB5" w:rsidRPr="002A782C" w:rsidRDefault="008E7EB5" w:rsidP="003B6B5C">
            <w:pPr>
              <w:jc w:val="both"/>
              <w:rPr>
                <w:rFonts w:ascii="Times New Roman" w:hAnsi="Times New Roman" w:cs="Times New Roman"/>
                <w:b/>
                <w:bCs/>
              </w:rPr>
            </w:pPr>
            <w:r w:rsidRPr="002A782C">
              <w:rPr>
                <w:rFonts w:ascii="Times New Roman" w:hAnsi="Times New Roman" w:cs="Times New Roman"/>
                <w:b/>
                <w:bCs/>
              </w:rPr>
              <w:t>Eurai</w:t>
            </w:r>
          </w:p>
        </w:tc>
      </w:tr>
      <w:tr w:rsidR="008E7EB5" w:rsidRPr="002A782C" w:rsidTr="003B6B5C">
        <w:tc>
          <w:tcPr>
            <w:tcW w:w="2122" w:type="dxa"/>
          </w:tcPr>
          <w:p w:rsidR="008E7EB5" w:rsidRPr="00A871B3" w:rsidRDefault="008E7EB5" w:rsidP="003B6B5C">
            <w:pPr>
              <w:jc w:val="both"/>
              <w:rPr>
                <w:rFonts w:ascii="Times New Roman" w:hAnsi="Times New Roman" w:cs="Times New Roman"/>
                <w:b/>
              </w:rPr>
            </w:pPr>
            <w:r w:rsidRPr="00A871B3">
              <w:rPr>
                <w:rFonts w:ascii="Times New Roman" w:hAnsi="Times New Roman" w:cs="Times New Roman"/>
                <w:b/>
              </w:rPr>
              <w:t>Lizingo forma</w:t>
            </w:r>
          </w:p>
        </w:tc>
        <w:tc>
          <w:tcPr>
            <w:tcW w:w="6095" w:type="dxa"/>
          </w:tcPr>
          <w:p w:rsidR="008E7EB5" w:rsidRPr="002A782C" w:rsidRDefault="008E7EB5" w:rsidP="003B6B5C">
            <w:pPr>
              <w:jc w:val="both"/>
              <w:rPr>
                <w:rFonts w:ascii="Times New Roman" w:hAnsi="Times New Roman" w:cs="Times New Roman"/>
              </w:rPr>
            </w:pPr>
            <w:r w:rsidRPr="002A782C">
              <w:rPr>
                <w:rFonts w:ascii="Times New Roman" w:hAnsi="Times New Roman" w:cs="Times New Roman"/>
              </w:rPr>
              <w:t>Tiesioginis lizingas</w:t>
            </w:r>
          </w:p>
        </w:tc>
        <w:tc>
          <w:tcPr>
            <w:tcW w:w="6662" w:type="dxa"/>
          </w:tcPr>
          <w:p w:rsidR="008E7EB5" w:rsidRPr="002A782C" w:rsidRDefault="008E7EB5" w:rsidP="003B6B5C">
            <w:pPr>
              <w:jc w:val="both"/>
              <w:rPr>
                <w:rFonts w:ascii="Times New Roman" w:hAnsi="Times New Roman" w:cs="Times New Roman"/>
              </w:rPr>
            </w:pPr>
            <w:r w:rsidRPr="002A782C">
              <w:rPr>
                <w:rFonts w:ascii="Times New Roman" w:hAnsi="Times New Roman" w:cs="Times New Roman"/>
              </w:rPr>
              <w:t xml:space="preserve">Tiesioginis lizingas ir </w:t>
            </w:r>
            <w:r w:rsidRPr="002A782C">
              <w:rPr>
                <w:rFonts w:ascii="Times New Roman" w:hAnsi="Times New Roman" w:cs="Times New Roman"/>
                <w:b/>
              </w:rPr>
              <w:t>grįžtamasis lizingas</w:t>
            </w:r>
            <w:r w:rsidRPr="002A782C">
              <w:rPr>
                <w:rFonts w:ascii="Times New Roman" w:hAnsi="Times New Roman" w:cs="Times New Roman"/>
              </w:rPr>
              <w:t>,</w:t>
            </w:r>
            <w:r>
              <w:rPr>
                <w:rFonts w:ascii="Times New Roman" w:hAnsi="Times New Roman" w:cs="Times New Roman"/>
              </w:rPr>
              <w:t xml:space="preserve"> tik tuo atveju,</w:t>
            </w:r>
            <w:r w:rsidRPr="002A782C">
              <w:rPr>
                <w:rFonts w:ascii="Times New Roman" w:hAnsi="Times New Roman" w:cs="Times New Roman"/>
              </w:rPr>
              <w:t xml:space="preserve"> jeigu </w:t>
            </w:r>
            <w:r>
              <w:rPr>
                <w:rFonts w:ascii="Times New Roman" w:hAnsi="Times New Roman" w:cs="Times New Roman"/>
              </w:rPr>
              <w:t xml:space="preserve">įsigyjama </w:t>
            </w:r>
            <w:r w:rsidRPr="002A782C">
              <w:rPr>
                <w:rFonts w:ascii="Times New Roman" w:hAnsi="Times New Roman" w:cs="Times New Roman"/>
              </w:rPr>
              <w:t>nauja, nenaudota gamybinė įranga ir (arba) įrenginiai lizingo gavėjo ne anksčiau kaip prieš 6 mėnesius iki kreipimosi į Bendrovę dėl lizingo garantijos suteikimo dienos. Nurodytu atveju, maksimali lizingo suma negali viršyti 90 procentų turto įsigijimo vertės (neįskaitant PVM). Kreipiantis į Bendrovę dėl lizingo garantijos suteikimo šiame papunktyje nurodytu atveju, turi būti pateikti gamybinės įrangos ir (arba) įrenginių pagaminimą (įrangos naujumas vertinamas jos įsigijimo metu) ir pirkimą patvirtinantys dokumentai</w:t>
            </w:r>
            <w:r>
              <w:rPr>
                <w:rFonts w:ascii="Times New Roman" w:hAnsi="Times New Roman" w:cs="Times New Roman"/>
              </w:rPr>
              <w:t>.</w:t>
            </w:r>
          </w:p>
        </w:tc>
      </w:tr>
      <w:tr w:rsidR="008E7EB5" w:rsidRPr="002A782C" w:rsidTr="003B6B5C">
        <w:tc>
          <w:tcPr>
            <w:tcW w:w="2122" w:type="dxa"/>
            <w:vMerge w:val="restart"/>
          </w:tcPr>
          <w:p w:rsidR="008E7EB5" w:rsidRPr="00A871B3" w:rsidRDefault="008E7EB5" w:rsidP="003B6B5C">
            <w:pPr>
              <w:jc w:val="both"/>
              <w:rPr>
                <w:rFonts w:ascii="Times New Roman" w:hAnsi="Times New Roman" w:cs="Times New Roman"/>
                <w:b/>
              </w:rPr>
            </w:pPr>
            <w:r w:rsidRPr="00A871B3">
              <w:rPr>
                <w:rFonts w:ascii="Times New Roman" w:hAnsi="Times New Roman" w:cs="Times New Roman"/>
                <w:b/>
              </w:rPr>
              <w:t>Lizinguojamas turtas</w:t>
            </w:r>
          </w:p>
        </w:tc>
        <w:tc>
          <w:tcPr>
            <w:tcW w:w="6095" w:type="dxa"/>
          </w:tcPr>
          <w:p w:rsidR="008E7EB5" w:rsidRPr="002A782C" w:rsidRDefault="008E7EB5" w:rsidP="003B6B5C">
            <w:pPr>
              <w:tabs>
                <w:tab w:val="left" w:pos="614"/>
              </w:tabs>
              <w:jc w:val="both"/>
              <w:rPr>
                <w:rFonts w:ascii="Times New Roman" w:hAnsi="Times New Roman" w:cs="Times New Roman"/>
                <w:b/>
                <w:bCs/>
                <w:color w:val="000000"/>
              </w:rPr>
            </w:pPr>
            <w:r w:rsidRPr="002A782C">
              <w:rPr>
                <w:rFonts w:ascii="Times New Roman" w:hAnsi="Times New Roman" w:cs="Times New Roman"/>
                <w:b/>
              </w:rPr>
              <w:t>Nauja (nenaudota) gamybos įranga ir (arba) nauji (nenaudoti) įrenginiai</w:t>
            </w:r>
            <w:r w:rsidRPr="002A782C">
              <w:rPr>
                <w:rFonts w:ascii="Times New Roman" w:hAnsi="Times New Roman" w:cs="Times New Roman"/>
              </w:rPr>
              <w:t xml:space="preserve"> – tai nauji (pagaminti ne vėliau kaip prieš 2 metus iki finansinės nuomos (lizingo) sutarties sudarymo) ir (arba) nenaudoti (finansinės nuomos (lizingo) sutartimi įsigyjamas turtas nebuvo naudojamas pagal jo tikslinę paskirtį kitų ūkio subjektų; įrangos ir (ar) įrenginių testavimas, derinimas, komplektiškumo ar funkcionalumo patikra ir panašūs veiksmai, atlikti iki įrangos ir (arba) įrenginių pardavimo, nelaikomi tokio turto naudojimu) įrenginiai, įranga, technologinės linijos bei žemės ir miškų ūkio technika.</w:t>
            </w:r>
          </w:p>
        </w:tc>
        <w:tc>
          <w:tcPr>
            <w:tcW w:w="6662" w:type="dxa"/>
          </w:tcPr>
          <w:p w:rsidR="008E7EB5" w:rsidRDefault="008E7EB5" w:rsidP="003B6B5C">
            <w:pPr>
              <w:jc w:val="both"/>
              <w:rPr>
                <w:rFonts w:ascii="Times New Roman" w:hAnsi="Times New Roman" w:cs="Times New Roman"/>
                <w:b/>
                <w:color w:val="000000"/>
                <w:szCs w:val="20"/>
              </w:rPr>
            </w:pPr>
            <w:r>
              <w:rPr>
                <w:rFonts w:ascii="Times New Roman" w:hAnsi="Times New Roman" w:cs="Times New Roman"/>
                <w:b/>
                <w:color w:val="000000"/>
                <w:szCs w:val="20"/>
              </w:rPr>
              <w:t>Nauja ir naudota g</w:t>
            </w:r>
            <w:r w:rsidRPr="00580FB1">
              <w:rPr>
                <w:rFonts w:ascii="Times New Roman" w:hAnsi="Times New Roman" w:cs="Times New Roman"/>
                <w:b/>
                <w:color w:val="000000"/>
                <w:szCs w:val="20"/>
              </w:rPr>
              <w:t xml:space="preserve">amybinė įranga </w:t>
            </w:r>
            <w:r>
              <w:rPr>
                <w:rFonts w:ascii="Times New Roman" w:hAnsi="Times New Roman" w:cs="Times New Roman"/>
                <w:b/>
                <w:color w:val="000000"/>
                <w:szCs w:val="20"/>
              </w:rPr>
              <w:t>ir (arba) įrenginiai:</w:t>
            </w:r>
          </w:p>
          <w:p w:rsidR="008E7EB5" w:rsidRDefault="008E7EB5" w:rsidP="003B6B5C">
            <w:pPr>
              <w:jc w:val="both"/>
              <w:rPr>
                <w:rFonts w:ascii="Times New Roman" w:hAnsi="Times New Roman" w:cs="Times New Roman"/>
                <w:color w:val="000000"/>
                <w:szCs w:val="20"/>
              </w:rPr>
            </w:pPr>
            <w:r w:rsidRPr="00580FB1">
              <w:rPr>
                <w:rFonts w:ascii="Times New Roman" w:hAnsi="Times New Roman" w:cs="Times New Roman"/>
                <w:color w:val="000000"/>
                <w:szCs w:val="20"/>
              </w:rPr>
              <w:t>–</w:t>
            </w:r>
            <w:r>
              <w:rPr>
                <w:rFonts w:ascii="Times New Roman" w:hAnsi="Times New Roman" w:cs="Times New Roman"/>
                <w:color w:val="000000"/>
                <w:szCs w:val="20"/>
              </w:rPr>
              <w:t> </w:t>
            </w:r>
            <w:r w:rsidRPr="00580FB1">
              <w:rPr>
                <w:rFonts w:ascii="Times New Roman" w:hAnsi="Times New Roman" w:cs="Times New Roman"/>
                <w:color w:val="000000"/>
                <w:szCs w:val="20"/>
              </w:rPr>
              <w:t>įr</w:t>
            </w:r>
            <w:r w:rsidRPr="0055524A">
              <w:rPr>
                <w:rFonts w:ascii="Times New Roman" w:hAnsi="Times New Roman" w:cs="Times New Roman"/>
                <w:color w:val="000000"/>
                <w:szCs w:val="20"/>
              </w:rPr>
              <w:t>anga,</w:t>
            </w:r>
            <w:r>
              <w:rPr>
                <w:rFonts w:ascii="Times New Roman" w:hAnsi="Times New Roman" w:cs="Times New Roman"/>
                <w:color w:val="000000"/>
                <w:szCs w:val="20"/>
              </w:rPr>
              <w:t xml:space="preserve"> įrenginiai, aparatai, staklės, </w:t>
            </w:r>
            <w:r w:rsidRPr="00D41529">
              <w:rPr>
                <w:rFonts w:ascii="Times New Roman" w:hAnsi="Times New Roman" w:cs="Times New Roman"/>
                <w:color w:val="000000"/>
                <w:szCs w:val="20"/>
              </w:rPr>
              <w:t>įtaisai,</w:t>
            </w:r>
            <w:r>
              <w:rPr>
                <w:rFonts w:ascii="Times New Roman" w:hAnsi="Times New Roman" w:cs="Times New Roman"/>
                <w:color w:val="000000"/>
                <w:szCs w:val="20"/>
              </w:rPr>
              <w:t xml:space="preserve"> prietaisai, mechanizmai, </w:t>
            </w:r>
            <w:r w:rsidRPr="0055524A">
              <w:rPr>
                <w:rFonts w:ascii="Times New Roman" w:hAnsi="Times New Roman" w:cs="Times New Roman"/>
                <w:color w:val="000000"/>
                <w:szCs w:val="20"/>
              </w:rPr>
              <w:t xml:space="preserve">technologinės linijos, </w:t>
            </w:r>
            <w:r>
              <w:rPr>
                <w:rFonts w:ascii="Times New Roman" w:hAnsi="Times New Roman" w:cs="Times New Roman"/>
                <w:color w:val="000000"/>
                <w:szCs w:val="20"/>
              </w:rPr>
              <w:t>transporto priemonės</w:t>
            </w:r>
            <w:r w:rsidRPr="00061452">
              <w:rPr>
                <w:rFonts w:ascii="Times New Roman" w:hAnsi="Times New Roman" w:cs="Times New Roman"/>
                <w:color w:val="000000"/>
                <w:szCs w:val="20"/>
              </w:rPr>
              <w:t xml:space="preserve"> ir kita specialioji technika</w:t>
            </w:r>
            <w:r>
              <w:rPr>
                <w:rFonts w:ascii="Times New Roman" w:hAnsi="Times New Roman" w:cs="Times New Roman"/>
                <w:color w:val="000000"/>
                <w:szCs w:val="20"/>
              </w:rPr>
              <w:t>.</w:t>
            </w:r>
          </w:p>
          <w:p w:rsidR="008E7EB5" w:rsidRPr="002A782C" w:rsidRDefault="008E7EB5" w:rsidP="003B6B5C">
            <w:pPr>
              <w:tabs>
                <w:tab w:val="left" w:pos="744"/>
              </w:tabs>
              <w:jc w:val="both"/>
              <w:rPr>
                <w:rFonts w:ascii="Times New Roman" w:hAnsi="Times New Roman" w:cs="Times New Roman"/>
              </w:rPr>
            </w:pPr>
            <w:r w:rsidRPr="00580FB1">
              <w:rPr>
                <w:rFonts w:ascii="Times New Roman" w:hAnsi="Times New Roman" w:cs="Times New Roman"/>
                <w:color w:val="000000"/>
                <w:szCs w:val="20"/>
              </w:rPr>
              <w:t>–</w:t>
            </w:r>
            <w:r>
              <w:rPr>
                <w:rFonts w:ascii="Times New Roman" w:hAnsi="Times New Roman" w:cs="Times New Roman"/>
              </w:rPr>
              <w:t> </w:t>
            </w:r>
            <w:r w:rsidRPr="002A782C">
              <w:rPr>
                <w:rFonts w:ascii="Times New Roman" w:hAnsi="Times New Roman" w:cs="Times New Roman"/>
              </w:rPr>
              <w:t>atskiriama pastatų, patalpų ir (ar) kito nekilnojamojo turto dalis;</w:t>
            </w:r>
          </w:p>
          <w:p w:rsidR="008E7EB5" w:rsidRPr="002A782C" w:rsidRDefault="008E7EB5" w:rsidP="003B6B5C">
            <w:pPr>
              <w:tabs>
                <w:tab w:val="left" w:pos="614"/>
              </w:tabs>
              <w:jc w:val="both"/>
              <w:rPr>
                <w:rFonts w:ascii="Times New Roman" w:hAnsi="Times New Roman" w:cs="Times New Roman"/>
              </w:rPr>
            </w:pPr>
            <w:r w:rsidRPr="00580FB1">
              <w:rPr>
                <w:rFonts w:ascii="Times New Roman" w:hAnsi="Times New Roman" w:cs="Times New Roman"/>
                <w:color w:val="000000"/>
                <w:szCs w:val="20"/>
              </w:rPr>
              <w:t>–</w:t>
            </w:r>
            <w:r>
              <w:rPr>
                <w:rFonts w:ascii="Times New Roman" w:hAnsi="Times New Roman" w:cs="Times New Roman"/>
              </w:rPr>
              <w:t> </w:t>
            </w:r>
            <w:r w:rsidRPr="002A782C">
              <w:rPr>
                <w:rFonts w:ascii="Times New Roman" w:hAnsi="Times New Roman" w:cs="Times New Roman"/>
              </w:rPr>
              <w:t>materialus turtas arba materialus turtas kartu su juo susijusiu nematerialiuoju turtu (su progr</w:t>
            </w:r>
            <w:r>
              <w:rPr>
                <w:rFonts w:ascii="Times New Roman" w:hAnsi="Times New Roman" w:cs="Times New Roman"/>
              </w:rPr>
              <w:t>amine įranga, licencija ir kt.).</w:t>
            </w:r>
          </w:p>
        </w:tc>
      </w:tr>
      <w:tr w:rsidR="008E7EB5" w:rsidRPr="002A782C" w:rsidTr="003B6B5C">
        <w:tc>
          <w:tcPr>
            <w:tcW w:w="2122" w:type="dxa"/>
            <w:vMerge/>
          </w:tcPr>
          <w:p w:rsidR="008E7EB5" w:rsidRPr="002A782C" w:rsidRDefault="008E7EB5" w:rsidP="003B6B5C">
            <w:pPr>
              <w:jc w:val="both"/>
              <w:rPr>
                <w:rFonts w:ascii="Times New Roman" w:hAnsi="Times New Roman" w:cs="Times New Roman"/>
              </w:rPr>
            </w:pPr>
          </w:p>
        </w:tc>
        <w:tc>
          <w:tcPr>
            <w:tcW w:w="6095" w:type="dxa"/>
          </w:tcPr>
          <w:p w:rsidR="008E7EB5" w:rsidRPr="002A782C" w:rsidRDefault="008E7EB5" w:rsidP="003B6B5C">
            <w:pPr>
              <w:tabs>
                <w:tab w:val="left" w:pos="614"/>
              </w:tabs>
              <w:jc w:val="both"/>
              <w:rPr>
                <w:rFonts w:ascii="Times New Roman" w:hAnsi="Times New Roman" w:cs="Times New Roman"/>
              </w:rPr>
            </w:pPr>
            <w:r w:rsidRPr="002A782C">
              <w:rPr>
                <w:rFonts w:ascii="Times New Roman" w:hAnsi="Times New Roman" w:cs="Times New Roman"/>
                <w:b/>
              </w:rPr>
              <w:t>Turtas turi būti skirtas:</w:t>
            </w:r>
            <w:r w:rsidRPr="002A782C">
              <w:rPr>
                <w:rFonts w:ascii="Times New Roman" w:hAnsi="Times New Roman" w:cs="Times New Roman"/>
              </w:rPr>
              <w:t xml:space="preserve"> gamybos (prekėms, medžiagoms, energijai gaminti) paslaugoms teikti ir statybos veiklai vykdyti</w:t>
            </w:r>
          </w:p>
        </w:tc>
        <w:tc>
          <w:tcPr>
            <w:tcW w:w="6662" w:type="dxa"/>
          </w:tcPr>
          <w:p w:rsidR="008E7EB5" w:rsidRPr="002A782C" w:rsidRDefault="008E7EB5" w:rsidP="003B6B5C">
            <w:pPr>
              <w:tabs>
                <w:tab w:val="left" w:pos="744"/>
              </w:tabs>
              <w:jc w:val="both"/>
              <w:rPr>
                <w:rFonts w:ascii="Times New Roman" w:hAnsi="Times New Roman" w:cs="Times New Roman"/>
              </w:rPr>
            </w:pPr>
            <w:r w:rsidRPr="002A782C">
              <w:rPr>
                <w:rFonts w:ascii="Times New Roman" w:hAnsi="Times New Roman" w:cs="Times New Roman"/>
                <w:b/>
              </w:rPr>
              <w:t>Turtas turi būti skirtas:</w:t>
            </w:r>
            <w:r>
              <w:rPr>
                <w:rFonts w:ascii="Times New Roman" w:hAnsi="Times New Roman" w:cs="Times New Roman"/>
                <w:b/>
              </w:rPr>
              <w:t xml:space="preserve"> lizingo gavėjo veiklos vykdymui ir produktyvumui didinti </w:t>
            </w:r>
            <w:r w:rsidRPr="00ED7E85">
              <w:rPr>
                <w:rFonts w:ascii="Times New Roman" w:hAnsi="Times New Roman" w:cs="Times New Roman"/>
              </w:rPr>
              <w:t>(kai įsigyjama</w:t>
            </w:r>
            <w:r>
              <w:rPr>
                <w:rFonts w:ascii="Times New Roman" w:hAnsi="Times New Roman" w:cs="Times New Roman"/>
              </w:rPr>
              <w:t>s</w:t>
            </w:r>
            <w:r w:rsidRPr="00ED7E85">
              <w:rPr>
                <w:rFonts w:ascii="Times New Roman" w:hAnsi="Times New Roman" w:cs="Times New Roman"/>
              </w:rPr>
              <w:t xml:space="preserve"> senesn</w:t>
            </w:r>
            <w:r>
              <w:rPr>
                <w:rFonts w:ascii="Times New Roman" w:hAnsi="Times New Roman" w:cs="Times New Roman"/>
              </w:rPr>
              <w:t xml:space="preserve">is </w:t>
            </w:r>
            <w:r w:rsidRPr="00ED7E85">
              <w:rPr>
                <w:rFonts w:ascii="Times New Roman" w:hAnsi="Times New Roman" w:cs="Times New Roman"/>
              </w:rPr>
              <w:t xml:space="preserve">nei 5 metų </w:t>
            </w:r>
            <w:r>
              <w:rPr>
                <w:rFonts w:ascii="Times New Roman" w:hAnsi="Times New Roman" w:cs="Times New Roman"/>
              </w:rPr>
              <w:t>turtas (</w:t>
            </w:r>
            <w:r w:rsidRPr="00ED7E85">
              <w:rPr>
                <w:rFonts w:ascii="Times New Roman" w:hAnsi="Times New Roman" w:cs="Times New Roman"/>
              </w:rPr>
              <w:t>liz</w:t>
            </w:r>
            <w:r w:rsidRPr="002A782C">
              <w:rPr>
                <w:rFonts w:ascii="Times New Roman" w:hAnsi="Times New Roman" w:cs="Times New Roman"/>
              </w:rPr>
              <w:t>ingo gavėjas Bendrovei turi pateikti pagrindimą (verslo planą ar laisvos formos paaiškinimą), kaip įsigyjama</w:t>
            </w:r>
            <w:r>
              <w:rPr>
                <w:rFonts w:ascii="Times New Roman" w:hAnsi="Times New Roman" w:cs="Times New Roman"/>
              </w:rPr>
              <w:t xml:space="preserve">s turtas </w:t>
            </w:r>
            <w:r w:rsidRPr="002A782C">
              <w:rPr>
                <w:rFonts w:ascii="Times New Roman" w:hAnsi="Times New Roman" w:cs="Times New Roman"/>
              </w:rPr>
              <w:t>prisidės prie lizingo gavėjo veiklos produktyvumo didinimo</w:t>
            </w:r>
            <w:r>
              <w:rPr>
                <w:rFonts w:ascii="Times New Roman" w:hAnsi="Times New Roman" w:cs="Times New Roman"/>
              </w:rPr>
              <w:t>).</w:t>
            </w:r>
          </w:p>
        </w:tc>
      </w:tr>
      <w:tr w:rsidR="008E7EB5" w:rsidRPr="002A782C" w:rsidTr="003B6B5C">
        <w:tc>
          <w:tcPr>
            <w:tcW w:w="2122" w:type="dxa"/>
            <w:vMerge/>
          </w:tcPr>
          <w:p w:rsidR="008E7EB5" w:rsidRPr="002A782C" w:rsidRDefault="008E7EB5" w:rsidP="003B6B5C">
            <w:pPr>
              <w:jc w:val="both"/>
              <w:rPr>
                <w:rFonts w:ascii="Times New Roman" w:hAnsi="Times New Roman" w:cs="Times New Roman"/>
              </w:rPr>
            </w:pPr>
          </w:p>
        </w:tc>
        <w:tc>
          <w:tcPr>
            <w:tcW w:w="6095" w:type="dxa"/>
          </w:tcPr>
          <w:p w:rsidR="008E7EB5" w:rsidRPr="002A782C" w:rsidRDefault="008E7EB5" w:rsidP="003B6B5C">
            <w:pPr>
              <w:tabs>
                <w:tab w:val="left" w:pos="614"/>
              </w:tabs>
              <w:jc w:val="both"/>
              <w:rPr>
                <w:rFonts w:ascii="Times New Roman" w:hAnsi="Times New Roman" w:cs="Times New Roman"/>
              </w:rPr>
            </w:pPr>
            <w:r w:rsidRPr="002A782C">
              <w:rPr>
                <w:rFonts w:ascii="Times New Roman" w:hAnsi="Times New Roman" w:cs="Times New Roman"/>
                <w:b/>
              </w:rPr>
              <w:t>Turtas negali būti:</w:t>
            </w:r>
            <w:r w:rsidRPr="002A782C">
              <w:rPr>
                <w:rFonts w:ascii="Times New Roman" w:hAnsi="Times New Roman" w:cs="Times New Roman"/>
              </w:rPr>
              <w:t xml:space="preserve"> komplektavimo dal</w:t>
            </w:r>
            <w:r>
              <w:rPr>
                <w:rFonts w:ascii="Times New Roman" w:hAnsi="Times New Roman" w:cs="Times New Roman"/>
              </w:rPr>
              <w:t>y</w:t>
            </w:r>
            <w:r w:rsidRPr="002A782C">
              <w:rPr>
                <w:rFonts w:ascii="Times New Roman" w:hAnsi="Times New Roman" w:cs="Times New Roman"/>
              </w:rPr>
              <w:t>s, keleivinės ir krovininės transporto priemonės, priekabos, puspriekabės, laivai, geležinkelio ir tramvajų lokomotyvai, riedmenys, orlaiviai, taip pat neatskiriama gyvenamųjų patalpų ir negyvenamųjų pastatų dalis.</w:t>
            </w:r>
          </w:p>
        </w:tc>
        <w:tc>
          <w:tcPr>
            <w:tcW w:w="6662" w:type="dxa"/>
          </w:tcPr>
          <w:p w:rsidR="008E7EB5" w:rsidRDefault="008E7EB5" w:rsidP="003B6B5C">
            <w:pPr>
              <w:tabs>
                <w:tab w:val="left" w:pos="614"/>
              </w:tabs>
              <w:jc w:val="both"/>
              <w:rPr>
                <w:rFonts w:ascii="Times New Roman" w:hAnsi="Times New Roman" w:cs="Times New Roman"/>
              </w:rPr>
            </w:pPr>
            <w:r w:rsidRPr="002A782C">
              <w:rPr>
                <w:rFonts w:ascii="Times New Roman" w:hAnsi="Times New Roman" w:cs="Times New Roman"/>
                <w:b/>
              </w:rPr>
              <w:t>Turtas negali būti:</w:t>
            </w:r>
          </w:p>
          <w:p w:rsidR="008E7EB5" w:rsidRPr="002A782C" w:rsidRDefault="008E7EB5" w:rsidP="003B6B5C">
            <w:pPr>
              <w:tabs>
                <w:tab w:val="left" w:pos="614"/>
              </w:tabs>
              <w:jc w:val="both"/>
              <w:rPr>
                <w:rFonts w:ascii="Times New Roman" w:hAnsi="Times New Roman" w:cs="Times New Roman"/>
                <w:color w:val="000000"/>
                <w:szCs w:val="20"/>
              </w:rPr>
            </w:pPr>
            <w:r w:rsidRPr="00580FB1">
              <w:rPr>
                <w:rFonts w:ascii="Times New Roman" w:hAnsi="Times New Roman" w:cs="Times New Roman"/>
                <w:color w:val="000000"/>
                <w:szCs w:val="20"/>
              </w:rPr>
              <w:t>–</w:t>
            </w:r>
            <w:r>
              <w:rPr>
                <w:rFonts w:ascii="Times New Roman" w:hAnsi="Times New Roman" w:cs="Times New Roman"/>
                <w:color w:val="000000"/>
                <w:szCs w:val="20"/>
              </w:rPr>
              <w:t> </w:t>
            </w:r>
            <w:r w:rsidRPr="002A782C">
              <w:rPr>
                <w:rFonts w:ascii="Times New Roman" w:hAnsi="Times New Roman" w:cs="Times New Roman"/>
                <w:color w:val="000000"/>
                <w:szCs w:val="20"/>
              </w:rPr>
              <w:t>komplektavimo dal</w:t>
            </w:r>
            <w:r>
              <w:rPr>
                <w:rFonts w:ascii="Times New Roman" w:hAnsi="Times New Roman" w:cs="Times New Roman"/>
                <w:color w:val="000000"/>
                <w:szCs w:val="20"/>
              </w:rPr>
              <w:t>ys</w:t>
            </w:r>
            <w:r w:rsidRPr="002A782C">
              <w:rPr>
                <w:rFonts w:ascii="Times New Roman" w:hAnsi="Times New Roman" w:cs="Times New Roman"/>
                <w:color w:val="000000"/>
                <w:szCs w:val="20"/>
              </w:rPr>
              <w:t>, išskyrus atvejus, kai jos įsigyjamos kartu su gamybine įranga ir įrenginiais;</w:t>
            </w:r>
          </w:p>
          <w:p w:rsidR="008E7EB5" w:rsidRPr="002A782C" w:rsidRDefault="008E7EB5" w:rsidP="003B6B5C">
            <w:pPr>
              <w:tabs>
                <w:tab w:val="left" w:pos="614"/>
              </w:tabs>
              <w:jc w:val="both"/>
              <w:rPr>
                <w:rFonts w:ascii="Times New Roman" w:hAnsi="Times New Roman" w:cs="Times New Roman"/>
                <w:color w:val="000000"/>
                <w:szCs w:val="20"/>
              </w:rPr>
            </w:pPr>
            <w:r w:rsidRPr="00580FB1">
              <w:rPr>
                <w:rFonts w:ascii="Times New Roman" w:hAnsi="Times New Roman" w:cs="Times New Roman"/>
                <w:color w:val="000000"/>
                <w:szCs w:val="20"/>
              </w:rPr>
              <w:t>–</w:t>
            </w:r>
            <w:r>
              <w:rPr>
                <w:rFonts w:ascii="Times New Roman" w:hAnsi="Times New Roman" w:cs="Times New Roman"/>
                <w:color w:val="000000"/>
                <w:szCs w:val="20"/>
              </w:rPr>
              <w:t> priekabos, puspriekabė</w:t>
            </w:r>
            <w:r w:rsidRPr="002A782C">
              <w:rPr>
                <w:rFonts w:ascii="Times New Roman" w:hAnsi="Times New Roman" w:cs="Times New Roman"/>
                <w:color w:val="000000"/>
                <w:szCs w:val="20"/>
              </w:rPr>
              <w:t>s, kurios naudojamos krovinių pervežimo sausumos keliais veiklai samdos pagrindais arba už atlygį vykdyti;</w:t>
            </w:r>
          </w:p>
          <w:p w:rsidR="008E7EB5" w:rsidRPr="002A782C" w:rsidRDefault="008E7EB5" w:rsidP="003B6B5C">
            <w:pPr>
              <w:tabs>
                <w:tab w:val="left" w:pos="614"/>
              </w:tabs>
              <w:jc w:val="both"/>
              <w:rPr>
                <w:rFonts w:ascii="Times New Roman" w:hAnsi="Times New Roman" w:cs="Times New Roman"/>
                <w:color w:val="000000"/>
                <w:szCs w:val="20"/>
              </w:rPr>
            </w:pPr>
            <w:r w:rsidRPr="00580FB1">
              <w:rPr>
                <w:rFonts w:ascii="Times New Roman" w:hAnsi="Times New Roman" w:cs="Times New Roman"/>
                <w:color w:val="000000"/>
                <w:szCs w:val="20"/>
              </w:rPr>
              <w:t>–</w:t>
            </w:r>
            <w:r>
              <w:rPr>
                <w:rFonts w:ascii="Times New Roman" w:hAnsi="Times New Roman" w:cs="Times New Roman"/>
                <w:color w:val="000000"/>
                <w:szCs w:val="20"/>
              </w:rPr>
              <w:t> laivai</w:t>
            </w:r>
            <w:r w:rsidRPr="002A782C">
              <w:rPr>
                <w:rFonts w:ascii="Times New Roman" w:hAnsi="Times New Roman" w:cs="Times New Roman"/>
                <w:color w:val="000000"/>
                <w:szCs w:val="20"/>
              </w:rPr>
              <w:t>, kurie skirti žuvininkystės ir akvakultūros sektorių veiklai vykdyti;</w:t>
            </w:r>
          </w:p>
          <w:p w:rsidR="008E7EB5" w:rsidRPr="002A782C" w:rsidRDefault="008E7EB5" w:rsidP="003B6B5C">
            <w:pPr>
              <w:tabs>
                <w:tab w:val="left" w:pos="614"/>
              </w:tabs>
              <w:jc w:val="both"/>
              <w:rPr>
                <w:rFonts w:ascii="Times New Roman" w:hAnsi="Times New Roman" w:cs="Times New Roman"/>
              </w:rPr>
            </w:pPr>
            <w:r w:rsidRPr="00580FB1">
              <w:rPr>
                <w:rFonts w:ascii="Times New Roman" w:hAnsi="Times New Roman" w:cs="Times New Roman"/>
                <w:color w:val="000000"/>
                <w:szCs w:val="20"/>
              </w:rPr>
              <w:lastRenderedPageBreak/>
              <w:t>–</w:t>
            </w:r>
            <w:r>
              <w:rPr>
                <w:rFonts w:ascii="Times New Roman" w:hAnsi="Times New Roman" w:cs="Times New Roman"/>
                <w:color w:val="000000"/>
                <w:szCs w:val="20"/>
              </w:rPr>
              <w:t> </w:t>
            </w:r>
            <w:r w:rsidRPr="002A782C">
              <w:rPr>
                <w:rFonts w:ascii="Times New Roman" w:hAnsi="Times New Roman" w:cs="Times New Roman"/>
                <w:color w:val="000000"/>
                <w:szCs w:val="20"/>
              </w:rPr>
              <w:t>gel</w:t>
            </w:r>
            <w:r>
              <w:rPr>
                <w:rFonts w:ascii="Times New Roman" w:hAnsi="Times New Roman" w:cs="Times New Roman"/>
                <w:color w:val="000000"/>
                <w:szCs w:val="20"/>
              </w:rPr>
              <w:t>ežinkelio ir tramvajų lokomotyvai ar riedmenys, orlaiviai</w:t>
            </w:r>
            <w:r w:rsidRPr="002A782C">
              <w:rPr>
                <w:rFonts w:ascii="Times New Roman" w:hAnsi="Times New Roman" w:cs="Times New Roman"/>
                <w:color w:val="000000"/>
                <w:szCs w:val="20"/>
              </w:rPr>
              <w:t xml:space="preserve">, </w:t>
            </w:r>
            <w:r>
              <w:rPr>
                <w:rFonts w:ascii="Times New Roman" w:hAnsi="Times New Roman" w:cs="Times New Roman"/>
              </w:rPr>
              <w:t xml:space="preserve">lengvieji automobiliai </w:t>
            </w:r>
            <w:r w:rsidRPr="002A782C">
              <w:rPr>
                <w:rFonts w:ascii="Times New Roman" w:hAnsi="Times New Roman" w:cs="Times New Roman"/>
              </w:rPr>
              <w:t>(išskyrus komercin</w:t>
            </w:r>
            <w:r>
              <w:rPr>
                <w:rFonts w:ascii="Times New Roman" w:hAnsi="Times New Roman" w:cs="Times New Roman"/>
              </w:rPr>
              <w:t>ė</w:t>
            </w:r>
            <w:r w:rsidRPr="002A782C">
              <w:rPr>
                <w:rFonts w:ascii="Times New Roman" w:hAnsi="Times New Roman" w:cs="Times New Roman"/>
              </w:rPr>
              <w:t>s paskirties automobilius);</w:t>
            </w:r>
          </w:p>
          <w:p w:rsidR="008E7EB5" w:rsidRPr="00A871B3" w:rsidRDefault="008E7EB5" w:rsidP="003B6B5C">
            <w:pPr>
              <w:tabs>
                <w:tab w:val="left" w:pos="614"/>
              </w:tabs>
              <w:jc w:val="both"/>
              <w:rPr>
                <w:rFonts w:ascii="Times New Roman" w:hAnsi="Times New Roman" w:cs="Times New Roman"/>
                <w:b/>
              </w:rPr>
            </w:pPr>
            <w:r w:rsidRPr="00A871B3">
              <w:rPr>
                <w:rFonts w:ascii="Times New Roman" w:hAnsi="Times New Roman" w:cs="Times New Roman"/>
                <w:b/>
                <w:color w:val="000000"/>
                <w:szCs w:val="20"/>
              </w:rPr>
              <w:t>– </w:t>
            </w:r>
            <w:r w:rsidRPr="00A871B3">
              <w:rPr>
                <w:rFonts w:ascii="Times New Roman" w:hAnsi="Times New Roman" w:cs="Times New Roman"/>
                <w:b/>
              </w:rPr>
              <w:t>gamybinė įranga ir (arba) įrenginiai, kai jie įsigyjami iš su lizingo gavėju susijusių asmenų (jo dalyvių, patronuojamų ar patronuojančių įmonių ir kita);</w:t>
            </w:r>
          </w:p>
          <w:p w:rsidR="008E7EB5" w:rsidRPr="002A782C" w:rsidRDefault="008E7EB5" w:rsidP="003B6B5C">
            <w:pPr>
              <w:tabs>
                <w:tab w:val="left" w:pos="744"/>
              </w:tabs>
              <w:jc w:val="both"/>
              <w:rPr>
                <w:rFonts w:ascii="Times New Roman" w:hAnsi="Times New Roman" w:cs="Times New Roman"/>
              </w:rPr>
            </w:pPr>
            <w:r w:rsidRPr="00A871B3">
              <w:rPr>
                <w:rFonts w:ascii="Times New Roman" w:hAnsi="Times New Roman" w:cs="Times New Roman"/>
                <w:b/>
                <w:color w:val="000000"/>
                <w:szCs w:val="20"/>
              </w:rPr>
              <w:t>– </w:t>
            </w:r>
            <w:r w:rsidRPr="00A871B3">
              <w:rPr>
                <w:rFonts w:ascii="Times New Roman" w:hAnsi="Times New Roman" w:cs="Times New Roman"/>
                <w:b/>
              </w:rPr>
              <w:t>naudojamas su lizingo gavėju susijusių fizinių asmenų asmeniniais tikslais.</w:t>
            </w:r>
          </w:p>
        </w:tc>
      </w:tr>
      <w:tr w:rsidR="008E7EB5" w:rsidRPr="002A782C" w:rsidTr="003B6B5C">
        <w:tc>
          <w:tcPr>
            <w:tcW w:w="2122" w:type="dxa"/>
            <w:vMerge/>
          </w:tcPr>
          <w:p w:rsidR="008E7EB5" w:rsidRPr="002A782C" w:rsidRDefault="008E7EB5" w:rsidP="003B6B5C">
            <w:pPr>
              <w:jc w:val="both"/>
              <w:rPr>
                <w:rFonts w:ascii="Times New Roman" w:hAnsi="Times New Roman" w:cs="Times New Roman"/>
              </w:rPr>
            </w:pPr>
          </w:p>
        </w:tc>
        <w:tc>
          <w:tcPr>
            <w:tcW w:w="6095" w:type="dxa"/>
          </w:tcPr>
          <w:p w:rsidR="008E7EB5" w:rsidRPr="002A782C" w:rsidRDefault="008E7EB5" w:rsidP="003B6B5C">
            <w:pPr>
              <w:tabs>
                <w:tab w:val="left" w:pos="614"/>
              </w:tabs>
              <w:jc w:val="both"/>
              <w:rPr>
                <w:rFonts w:ascii="Times New Roman" w:hAnsi="Times New Roman" w:cs="Times New Roman"/>
              </w:rPr>
            </w:pPr>
            <w:r w:rsidRPr="002A782C">
              <w:rPr>
                <w:rFonts w:ascii="Times New Roman" w:hAnsi="Times New Roman" w:cs="Times New Roman"/>
                <w:b/>
              </w:rPr>
              <w:t>Turtas negali būti skirtas:</w:t>
            </w:r>
            <w:r w:rsidRPr="002A782C">
              <w:rPr>
                <w:rFonts w:ascii="Times New Roman" w:hAnsi="Times New Roman" w:cs="Times New Roman"/>
              </w:rPr>
              <w:t xml:space="preserve"> naudoti namų ūkyje, nuomoti, didmeninės ir mažmeninės prekybos veiklai, transporto paslaugoms teikti, nekilnojamojo turto nuomos, laisvalaikio, sporto, sveikatingumo (išskyrus medicininę veiklą) veikloms vykdyti.</w:t>
            </w:r>
          </w:p>
        </w:tc>
        <w:tc>
          <w:tcPr>
            <w:tcW w:w="6662" w:type="dxa"/>
          </w:tcPr>
          <w:p w:rsidR="008E7EB5" w:rsidRPr="002A782C" w:rsidRDefault="008E7EB5" w:rsidP="003B6B5C">
            <w:pPr>
              <w:tabs>
                <w:tab w:val="left" w:pos="614"/>
              </w:tabs>
              <w:jc w:val="both"/>
              <w:rPr>
                <w:rFonts w:ascii="Times New Roman" w:hAnsi="Times New Roman" w:cs="Times New Roman"/>
              </w:rPr>
            </w:pPr>
            <w:r w:rsidRPr="005616C4">
              <w:rPr>
                <w:rFonts w:ascii="Times New Roman" w:hAnsi="Times New Roman" w:cs="Times New Roman"/>
                <w:b/>
              </w:rPr>
              <w:t>Turtas negali būti lizinguojamas</w:t>
            </w:r>
            <w:r>
              <w:rPr>
                <w:rFonts w:ascii="Times New Roman" w:hAnsi="Times New Roman" w:cs="Times New Roman"/>
              </w:rPr>
              <w:t xml:space="preserve">, </w:t>
            </w:r>
            <w:r w:rsidRPr="005616C4">
              <w:rPr>
                <w:rFonts w:ascii="Times New Roman" w:hAnsi="Times New Roman" w:cs="Times New Roman"/>
                <w:b/>
              </w:rPr>
              <w:t>jei lizingo gavėjas vykdo veiklą bet kurioje iš šių sričių:</w:t>
            </w:r>
            <w:r w:rsidRPr="002A782C">
              <w:rPr>
                <w:rFonts w:ascii="Times New Roman" w:hAnsi="Times New Roman" w:cs="Times New Roman"/>
              </w:rPr>
              <w:t xml:space="preserve"> finansinių paslaugų teikimo, draudimo, etilo alkoholio gamybos, alkoholinių gėrimų didmeninės prekybos, ginklų gamybos ir (ar) jų prekybos, tabako gaminių gamybos ir (ar) jų didmeninės prekybos, azartinių lošimų ar lažybų organizavimo. Jeigu lizingo gavėjas vykdo šiame papunktyje paminėtą veiklą ir kitą veiklą, kuriai gali būti teikiama lizingo garantija, jis turi užtikrinti, kad lizingo būdu įsigytas turtas nebus naudojamas aukščiau minėtai veiklai vykdyti. Priešingu atveju, t. y. lizingo gavėjui negalint užtikrinti (atskirti), kad lizingo būdu įsigytas turtas nebus naudojamas ribojamai veiklai vykdyt</w:t>
            </w:r>
            <w:r>
              <w:rPr>
                <w:rFonts w:ascii="Times New Roman" w:hAnsi="Times New Roman" w:cs="Times New Roman"/>
              </w:rPr>
              <w:t>i, lizingo garantija neteikiama.</w:t>
            </w:r>
          </w:p>
        </w:tc>
      </w:tr>
      <w:tr w:rsidR="008E7EB5" w:rsidRPr="002A782C" w:rsidTr="003B6B5C">
        <w:tc>
          <w:tcPr>
            <w:tcW w:w="2122" w:type="dxa"/>
          </w:tcPr>
          <w:p w:rsidR="008E7EB5" w:rsidRPr="007E4FF6" w:rsidRDefault="008E7EB5" w:rsidP="003B6B5C">
            <w:pPr>
              <w:jc w:val="both"/>
              <w:rPr>
                <w:rFonts w:ascii="Times New Roman" w:hAnsi="Times New Roman" w:cs="Times New Roman"/>
                <w:b/>
              </w:rPr>
            </w:pPr>
            <w:r w:rsidRPr="007E4FF6">
              <w:rPr>
                <w:rFonts w:ascii="Times New Roman" w:hAnsi="Times New Roman" w:cs="Times New Roman"/>
                <w:b/>
              </w:rPr>
              <w:t>Lizinguojamo turto vertinimas</w:t>
            </w:r>
          </w:p>
        </w:tc>
        <w:tc>
          <w:tcPr>
            <w:tcW w:w="6095" w:type="dxa"/>
          </w:tcPr>
          <w:p w:rsidR="008E7EB5" w:rsidRPr="002A782C" w:rsidRDefault="008E7EB5" w:rsidP="003B6B5C">
            <w:pPr>
              <w:tabs>
                <w:tab w:val="left" w:pos="614"/>
              </w:tabs>
              <w:jc w:val="both"/>
              <w:rPr>
                <w:rFonts w:ascii="Times New Roman" w:hAnsi="Times New Roman" w:cs="Times New Roman"/>
              </w:rPr>
            </w:pPr>
            <w:r w:rsidRPr="002A782C">
              <w:rPr>
                <w:rFonts w:ascii="Times New Roman" w:hAnsi="Times New Roman" w:cs="Times New Roman"/>
              </w:rPr>
              <w:t>Neprivalomas</w:t>
            </w:r>
            <w:r>
              <w:rPr>
                <w:rFonts w:ascii="Times New Roman" w:hAnsi="Times New Roman" w:cs="Times New Roman"/>
              </w:rPr>
              <w:t>.</w:t>
            </w:r>
          </w:p>
        </w:tc>
        <w:tc>
          <w:tcPr>
            <w:tcW w:w="6662" w:type="dxa"/>
          </w:tcPr>
          <w:p w:rsidR="008E7EB5" w:rsidRDefault="008E7EB5" w:rsidP="003B6B5C">
            <w:pPr>
              <w:tabs>
                <w:tab w:val="left" w:pos="744"/>
              </w:tabs>
              <w:jc w:val="both"/>
              <w:rPr>
                <w:rFonts w:ascii="Times New Roman" w:hAnsi="Times New Roman" w:cs="Times New Roman"/>
              </w:rPr>
            </w:pPr>
            <w:r w:rsidRPr="007E4FF6">
              <w:rPr>
                <w:rFonts w:ascii="Times New Roman" w:hAnsi="Times New Roman" w:cs="Times New Roman"/>
                <w:b/>
              </w:rPr>
              <w:t>Neprivalomas,</w:t>
            </w:r>
            <w:r>
              <w:rPr>
                <w:rFonts w:ascii="Times New Roman" w:hAnsi="Times New Roman" w:cs="Times New Roman"/>
              </w:rPr>
              <w:t xml:space="preserve"> jeigu įsigyjama nauja (nenaudota) gamybinė įranga ir (arba) įrenginiai, kurie pagaminti ne seniau kaip prieš 12 mėnesių iki lizingo sutarties sudarymo, ir kurie nebuvo</w:t>
            </w:r>
            <w:r w:rsidRPr="009836F0">
              <w:rPr>
                <w:rFonts w:ascii="Times New Roman" w:hAnsi="Times New Roman" w:cs="Times New Roman"/>
              </w:rPr>
              <w:t xml:space="preserve"> naudojami pagal jų tikslinę paskirtį</w:t>
            </w:r>
            <w:r>
              <w:rPr>
                <w:rFonts w:ascii="Times New Roman" w:hAnsi="Times New Roman" w:cs="Times New Roman"/>
              </w:rPr>
              <w:t>.</w:t>
            </w:r>
          </w:p>
          <w:p w:rsidR="008E7EB5" w:rsidRDefault="008E7EB5" w:rsidP="003B6B5C">
            <w:pPr>
              <w:tabs>
                <w:tab w:val="left" w:pos="744"/>
              </w:tabs>
              <w:jc w:val="both"/>
              <w:rPr>
                <w:rFonts w:ascii="Times New Roman" w:hAnsi="Times New Roman" w:cs="Times New Roman"/>
              </w:rPr>
            </w:pPr>
            <w:r w:rsidRPr="00AE7F82">
              <w:rPr>
                <w:rFonts w:ascii="Times New Roman" w:hAnsi="Times New Roman" w:cs="Times New Roman"/>
                <w:b/>
              </w:rPr>
              <w:t>Privalomas nepriklausomų turto vertintojų arba lizingo bendrovės vertinimas</w:t>
            </w:r>
            <w:r>
              <w:rPr>
                <w:rFonts w:ascii="Times New Roman" w:hAnsi="Times New Roman" w:cs="Times New Roman"/>
                <w:b/>
              </w:rPr>
              <w:t xml:space="preserve"> (pasirinktinai)</w:t>
            </w:r>
            <w:r>
              <w:rPr>
                <w:rFonts w:ascii="Times New Roman" w:hAnsi="Times New Roman" w:cs="Times New Roman"/>
              </w:rPr>
              <w:t>, jeigu</w:t>
            </w:r>
            <w:r w:rsidRPr="002A782C">
              <w:rPr>
                <w:rFonts w:ascii="Times New Roman" w:hAnsi="Times New Roman" w:cs="Times New Roman"/>
              </w:rPr>
              <w:t xml:space="preserve"> įsigyjama ne senesnė nei 5 metų gamyb</w:t>
            </w:r>
            <w:r>
              <w:rPr>
                <w:rFonts w:ascii="Times New Roman" w:hAnsi="Times New Roman" w:cs="Times New Roman"/>
              </w:rPr>
              <w:t>inė įranga ir (arba) įrenginiai.</w:t>
            </w:r>
          </w:p>
          <w:p w:rsidR="008E7EB5" w:rsidRPr="00AE7F82" w:rsidRDefault="008E7EB5" w:rsidP="003B6B5C">
            <w:pPr>
              <w:tabs>
                <w:tab w:val="left" w:pos="744"/>
              </w:tabs>
              <w:jc w:val="both"/>
              <w:rPr>
                <w:rFonts w:ascii="Times New Roman" w:hAnsi="Times New Roman" w:cs="Times New Roman"/>
                <w:b/>
              </w:rPr>
            </w:pPr>
            <w:r w:rsidRPr="00AE7F82">
              <w:rPr>
                <w:rFonts w:ascii="Times New Roman" w:hAnsi="Times New Roman" w:cs="Times New Roman"/>
                <w:b/>
              </w:rPr>
              <w:t>Privalomas nepriklausomų turto vertintojų vertinimas, jeigu:</w:t>
            </w:r>
          </w:p>
          <w:p w:rsidR="008E7EB5" w:rsidRPr="00AE7F82" w:rsidRDefault="008E7EB5" w:rsidP="003B6B5C">
            <w:pPr>
              <w:tabs>
                <w:tab w:val="left" w:pos="744"/>
              </w:tabs>
              <w:jc w:val="both"/>
              <w:rPr>
                <w:rFonts w:ascii="Times New Roman" w:hAnsi="Times New Roman" w:cs="Times New Roman"/>
              </w:rPr>
            </w:pPr>
            <w:r w:rsidRPr="00580FB1">
              <w:rPr>
                <w:rFonts w:ascii="Times New Roman" w:hAnsi="Times New Roman" w:cs="Times New Roman"/>
                <w:color w:val="000000"/>
                <w:szCs w:val="20"/>
              </w:rPr>
              <w:t>–</w:t>
            </w:r>
            <w:r>
              <w:rPr>
                <w:rFonts w:ascii="Times New Roman" w:hAnsi="Times New Roman" w:cs="Times New Roman"/>
                <w:color w:val="000000"/>
                <w:szCs w:val="20"/>
              </w:rPr>
              <w:t> </w:t>
            </w:r>
            <w:r w:rsidRPr="00AE7F82">
              <w:rPr>
                <w:rFonts w:ascii="Times New Roman" w:hAnsi="Times New Roman" w:cs="Times New Roman"/>
              </w:rPr>
              <w:t>įsigyjama senesnė nei 5 metų gamybinė įranga ir (arba) įrenginiai</w:t>
            </w:r>
            <w:r>
              <w:rPr>
                <w:rFonts w:ascii="Times New Roman" w:hAnsi="Times New Roman" w:cs="Times New Roman"/>
              </w:rPr>
              <w:t>;</w:t>
            </w:r>
          </w:p>
          <w:p w:rsidR="008E7EB5" w:rsidRDefault="008E7EB5" w:rsidP="003B6B5C">
            <w:pPr>
              <w:tabs>
                <w:tab w:val="left" w:pos="744"/>
              </w:tabs>
              <w:jc w:val="both"/>
              <w:rPr>
                <w:rFonts w:ascii="Times New Roman" w:hAnsi="Times New Roman" w:cs="Times New Roman"/>
              </w:rPr>
            </w:pPr>
            <w:r w:rsidRPr="00580FB1">
              <w:rPr>
                <w:rFonts w:ascii="Times New Roman" w:hAnsi="Times New Roman" w:cs="Times New Roman"/>
                <w:color w:val="000000"/>
                <w:szCs w:val="20"/>
              </w:rPr>
              <w:t>–</w:t>
            </w:r>
            <w:r>
              <w:rPr>
                <w:rFonts w:ascii="Times New Roman" w:hAnsi="Times New Roman" w:cs="Times New Roman"/>
                <w:color w:val="000000"/>
                <w:szCs w:val="20"/>
              </w:rPr>
              <w:t> </w:t>
            </w:r>
            <w:r w:rsidRPr="002A782C">
              <w:rPr>
                <w:rFonts w:ascii="Times New Roman" w:hAnsi="Times New Roman" w:cs="Times New Roman"/>
              </w:rPr>
              <w:t>įsigyjama lizingo davėjo ar su juo susijusių asmenų turima gamybinė įranga ir (arba) įrenginiai (t. y. kai išsimokėtinai finansuojamo turto pardavėjas yra lizingo davėjas ar įmonių grupės, kuriai pr</w:t>
            </w:r>
            <w:r>
              <w:rPr>
                <w:rFonts w:ascii="Times New Roman" w:hAnsi="Times New Roman" w:cs="Times New Roman"/>
              </w:rPr>
              <w:t>iklauso lizingo davėjas, įmonė).</w:t>
            </w:r>
          </w:p>
          <w:p w:rsidR="008E7EB5" w:rsidRPr="00AE7F82" w:rsidRDefault="008E7EB5" w:rsidP="003B6B5C">
            <w:pPr>
              <w:tabs>
                <w:tab w:val="left" w:pos="744"/>
              </w:tabs>
              <w:jc w:val="both"/>
              <w:rPr>
                <w:rFonts w:ascii="Times New Roman" w:hAnsi="Times New Roman" w:cs="Times New Roman"/>
                <w:b/>
              </w:rPr>
            </w:pPr>
            <w:r w:rsidRPr="00AE7F82">
              <w:rPr>
                <w:rFonts w:ascii="Times New Roman" w:hAnsi="Times New Roman" w:cs="Times New Roman"/>
                <w:b/>
              </w:rPr>
              <w:t>Turto vertinimas turi būti atliktas ne anksčiau kaip prieš 6 mėnesius iki kreipimosi į Bendrovę dėl lizingo garantijos suteikimo.</w:t>
            </w:r>
          </w:p>
        </w:tc>
      </w:tr>
    </w:tbl>
    <w:p w:rsidR="00713DE2" w:rsidRDefault="00713DE2" w:rsidP="00C1411C">
      <w:bookmarkStart w:id="0" w:name="_GoBack"/>
      <w:bookmarkEnd w:id="0"/>
    </w:p>
    <w:sectPr w:rsidR="00713DE2" w:rsidSect="00A871B3">
      <w:pgSz w:w="16838" w:h="11906" w:orient="landscape"/>
      <w:pgMar w:top="568" w:right="820"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EB5"/>
    <w:rsid w:val="00713DE2"/>
    <w:rsid w:val="008E7EB5"/>
    <w:rsid w:val="00C1411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DED529-91A1-402D-849E-CA4FECA97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E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7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3558</Words>
  <Characters>2029</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Aleksandras Petručionis</dc:creator>
  <cp:keywords/>
  <dc:description/>
  <cp:lastModifiedBy>Aleksandras Petručionis</cp:lastModifiedBy>
  <cp:revision>2</cp:revision>
  <dcterms:created xsi:type="dcterms:W3CDTF">2019-10-25T05:48:00Z</dcterms:created>
  <dcterms:modified xsi:type="dcterms:W3CDTF">2019-10-25T05:51:00Z</dcterms:modified>
</cp:coreProperties>
</file>