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29C00" w14:textId="59CDFFC8" w:rsidR="00CA0C1E" w:rsidRPr="007F2A2A" w:rsidRDefault="00CA0C1E" w:rsidP="009B0EE1">
      <w:pPr>
        <w:spacing w:line="276" w:lineRule="auto"/>
        <w:jc w:val="center"/>
        <w:rPr>
          <w:rFonts w:ascii="Times New Roman" w:hAnsi="Times New Roman"/>
          <w:b/>
          <w:caps/>
          <w:szCs w:val="24"/>
        </w:rPr>
      </w:pPr>
    </w:p>
    <w:p w14:paraId="69D771E8" w14:textId="77777777" w:rsidR="00320A86" w:rsidRPr="007F2A2A" w:rsidRDefault="00320A86" w:rsidP="009B0EE1">
      <w:pPr>
        <w:spacing w:line="276" w:lineRule="auto"/>
        <w:jc w:val="center"/>
        <w:rPr>
          <w:rFonts w:ascii="Times New Roman" w:hAnsi="Times New Roman"/>
          <w:b/>
          <w:caps/>
          <w:szCs w:val="24"/>
        </w:rPr>
      </w:pPr>
    </w:p>
    <w:p w14:paraId="0939BD2F" w14:textId="77777777" w:rsidR="00320A86" w:rsidRPr="007F2A2A" w:rsidRDefault="00320A86" w:rsidP="009B0EE1">
      <w:pPr>
        <w:spacing w:line="276" w:lineRule="auto"/>
        <w:jc w:val="center"/>
        <w:rPr>
          <w:rFonts w:ascii="Times New Roman" w:hAnsi="Times New Roman"/>
          <w:b/>
          <w:caps/>
          <w:szCs w:val="24"/>
        </w:rPr>
      </w:pPr>
    </w:p>
    <w:p w14:paraId="071B56C5" w14:textId="77777777" w:rsidR="00320A86" w:rsidRPr="007F2A2A" w:rsidRDefault="00320A86" w:rsidP="009B0EE1">
      <w:pPr>
        <w:spacing w:line="276" w:lineRule="auto"/>
        <w:jc w:val="center"/>
        <w:rPr>
          <w:rFonts w:ascii="Times New Roman" w:hAnsi="Times New Roman"/>
          <w:b/>
          <w:caps/>
          <w:szCs w:val="24"/>
        </w:rPr>
      </w:pPr>
    </w:p>
    <w:p w14:paraId="3EDC7ADD" w14:textId="77777777" w:rsidR="00320A86" w:rsidRPr="007F2A2A" w:rsidRDefault="00320A86" w:rsidP="009B0EE1">
      <w:pPr>
        <w:spacing w:line="276" w:lineRule="auto"/>
        <w:jc w:val="center"/>
        <w:rPr>
          <w:rFonts w:ascii="Times New Roman" w:hAnsi="Times New Roman"/>
          <w:b/>
          <w:caps/>
          <w:szCs w:val="24"/>
        </w:rPr>
      </w:pPr>
    </w:p>
    <w:p w14:paraId="2B624C13" w14:textId="77777777" w:rsidR="00320A86" w:rsidRPr="007F2A2A" w:rsidRDefault="00320A86" w:rsidP="009B0EE1">
      <w:pPr>
        <w:spacing w:line="276" w:lineRule="auto"/>
        <w:jc w:val="center"/>
        <w:rPr>
          <w:rFonts w:ascii="Times New Roman" w:hAnsi="Times New Roman"/>
          <w:b/>
          <w:caps/>
          <w:szCs w:val="24"/>
        </w:rPr>
      </w:pPr>
    </w:p>
    <w:p w14:paraId="750D3BEE" w14:textId="77777777" w:rsidR="00320A86" w:rsidRPr="007F2A2A" w:rsidRDefault="00320A86" w:rsidP="009B0EE1">
      <w:pPr>
        <w:spacing w:line="276" w:lineRule="auto"/>
        <w:jc w:val="center"/>
        <w:rPr>
          <w:rFonts w:ascii="Times New Roman" w:hAnsi="Times New Roman"/>
          <w:b/>
          <w:caps/>
          <w:szCs w:val="24"/>
        </w:rPr>
      </w:pPr>
    </w:p>
    <w:p w14:paraId="17C12129" w14:textId="77777777" w:rsidR="00320A86" w:rsidRPr="007F2A2A" w:rsidRDefault="00320A86" w:rsidP="009B0EE1">
      <w:pPr>
        <w:spacing w:line="276" w:lineRule="auto"/>
        <w:jc w:val="center"/>
        <w:rPr>
          <w:rFonts w:ascii="Times New Roman" w:hAnsi="Times New Roman"/>
          <w:b/>
          <w:caps/>
          <w:szCs w:val="24"/>
        </w:rPr>
      </w:pPr>
    </w:p>
    <w:p w14:paraId="6721D392" w14:textId="77777777" w:rsidR="00320A86" w:rsidRPr="007F2A2A" w:rsidRDefault="00320A86" w:rsidP="009B0EE1">
      <w:pPr>
        <w:spacing w:line="276" w:lineRule="auto"/>
        <w:jc w:val="center"/>
        <w:rPr>
          <w:rFonts w:ascii="Times New Roman" w:hAnsi="Times New Roman"/>
          <w:b/>
          <w:caps/>
          <w:szCs w:val="24"/>
        </w:rPr>
      </w:pPr>
    </w:p>
    <w:p w14:paraId="17BE724A" w14:textId="77777777" w:rsidR="00320A86" w:rsidRPr="007F2A2A" w:rsidRDefault="00320A86" w:rsidP="009B0EE1">
      <w:pPr>
        <w:spacing w:line="276" w:lineRule="auto"/>
        <w:jc w:val="center"/>
        <w:rPr>
          <w:rFonts w:ascii="Times New Roman" w:hAnsi="Times New Roman"/>
          <w:b/>
          <w:caps/>
          <w:szCs w:val="24"/>
        </w:rPr>
      </w:pPr>
    </w:p>
    <w:p w14:paraId="00334A18" w14:textId="77777777" w:rsidR="00320A86" w:rsidRPr="007F2A2A" w:rsidRDefault="00320A86" w:rsidP="009B0EE1">
      <w:pPr>
        <w:spacing w:line="276" w:lineRule="auto"/>
        <w:jc w:val="center"/>
        <w:rPr>
          <w:rFonts w:ascii="Times New Roman" w:hAnsi="Times New Roman"/>
          <w:b/>
          <w:caps/>
          <w:szCs w:val="24"/>
        </w:rPr>
      </w:pPr>
    </w:p>
    <w:p w14:paraId="4AAE1997" w14:textId="77777777" w:rsidR="00320A86" w:rsidRPr="007F2A2A" w:rsidRDefault="00320A86" w:rsidP="009B0EE1">
      <w:pPr>
        <w:spacing w:line="276" w:lineRule="auto"/>
        <w:jc w:val="center"/>
        <w:rPr>
          <w:rFonts w:ascii="Times New Roman" w:hAnsi="Times New Roman"/>
          <w:b/>
          <w:caps/>
          <w:szCs w:val="24"/>
        </w:rPr>
      </w:pPr>
    </w:p>
    <w:p w14:paraId="14188968" w14:textId="217D86DB" w:rsidR="00320A86" w:rsidRPr="00CE458F" w:rsidRDefault="00CF3573" w:rsidP="009B0EE1">
      <w:pPr>
        <w:spacing w:line="276" w:lineRule="auto"/>
        <w:jc w:val="center"/>
        <w:rPr>
          <w:rFonts w:ascii="Times New Roman" w:hAnsi="Times New Roman"/>
          <w:b/>
          <w:caps/>
          <w:szCs w:val="24"/>
        </w:rPr>
      </w:pPr>
      <w:r w:rsidRPr="00CE458F">
        <w:rPr>
          <w:rStyle w:val="Strong"/>
          <w:rFonts w:ascii="Times New Roman" w:hAnsi="Times New Roman"/>
          <w:caps/>
          <w:szCs w:val="24"/>
        </w:rPr>
        <w:t>SUTARTIS Dėl</w:t>
      </w:r>
    </w:p>
    <w:p w14:paraId="0C5C0A97" w14:textId="680B1AFE" w:rsidR="009F20D7" w:rsidRPr="003F1E0D" w:rsidRDefault="00F578D2" w:rsidP="009B0EE1">
      <w:pPr>
        <w:spacing w:line="276" w:lineRule="auto"/>
        <w:jc w:val="center"/>
        <w:rPr>
          <w:rStyle w:val="Strong"/>
          <w:rFonts w:ascii="Times New Roman" w:hAnsi="Times New Roman"/>
          <w:caps/>
          <w:szCs w:val="24"/>
        </w:rPr>
      </w:pPr>
      <w:r w:rsidRPr="00CE458F">
        <w:rPr>
          <w:rFonts w:ascii="Times New Roman" w:hAnsi="Times New Roman"/>
          <w:b/>
          <w:bCs/>
          <w:caps/>
          <w:szCs w:val="24"/>
        </w:rPr>
        <w:t>finansų inžinerijos priemonės „Portfelinės garantijos faktoringo sandoriams</w:t>
      </w:r>
      <w:r w:rsidR="00CE458F" w:rsidRPr="00CE458F">
        <w:rPr>
          <w:rFonts w:ascii="Times New Roman" w:hAnsi="Times New Roman"/>
          <w:b/>
          <w:bCs/>
          <w:caps/>
          <w:szCs w:val="24"/>
        </w:rPr>
        <w:t xml:space="preserve"> 2</w:t>
      </w:r>
      <w:r w:rsidRPr="00CE458F">
        <w:rPr>
          <w:rFonts w:ascii="Times New Roman" w:hAnsi="Times New Roman"/>
          <w:b/>
          <w:bCs/>
          <w:caps/>
          <w:szCs w:val="24"/>
        </w:rPr>
        <w:t xml:space="preserve">“ </w:t>
      </w:r>
      <w:r w:rsidR="004944B1" w:rsidRPr="00CE458F">
        <w:rPr>
          <w:rFonts w:ascii="Times New Roman" w:hAnsi="Times New Roman"/>
          <w:b/>
          <w:bCs/>
          <w:caps/>
          <w:szCs w:val="24"/>
        </w:rPr>
        <w:t>ĮGYVENDINIMO</w:t>
      </w:r>
    </w:p>
    <w:p w14:paraId="5266340D" w14:textId="77777777" w:rsidR="00D7176C" w:rsidRPr="005B1536" w:rsidRDefault="00D7176C" w:rsidP="009B0EE1">
      <w:pPr>
        <w:widowControl w:val="0"/>
        <w:spacing w:line="276" w:lineRule="auto"/>
        <w:jc w:val="center"/>
        <w:rPr>
          <w:rFonts w:ascii="Times New Roman" w:hAnsi="Times New Roman"/>
          <w:b/>
          <w:szCs w:val="24"/>
        </w:rPr>
      </w:pPr>
    </w:p>
    <w:p w14:paraId="35E7B8F4" w14:textId="77777777" w:rsidR="00D7176C" w:rsidRPr="005B1536" w:rsidRDefault="00D7176C" w:rsidP="009B0EE1">
      <w:pPr>
        <w:widowControl w:val="0"/>
        <w:spacing w:line="276" w:lineRule="auto"/>
        <w:jc w:val="center"/>
        <w:rPr>
          <w:rFonts w:ascii="Times New Roman" w:hAnsi="Times New Roman"/>
          <w:b/>
          <w:szCs w:val="24"/>
        </w:rPr>
      </w:pPr>
    </w:p>
    <w:p w14:paraId="15AF4781" w14:textId="77777777" w:rsidR="00D7176C" w:rsidRPr="005B1536" w:rsidRDefault="00D7176C" w:rsidP="009B0EE1">
      <w:pPr>
        <w:widowControl w:val="0"/>
        <w:spacing w:line="276" w:lineRule="auto"/>
        <w:jc w:val="center"/>
        <w:rPr>
          <w:rFonts w:ascii="Times New Roman" w:hAnsi="Times New Roman"/>
          <w:b/>
          <w:szCs w:val="24"/>
        </w:rPr>
      </w:pPr>
    </w:p>
    <w:p w14:paraId="0056D1B2" w14:textId="1F9BDBD9" w:rsidR="009F20D7" w:rsidRPr="005B1536" w:rsidRDefault="009F20D7" w:rsidP="009B0EE1">
      <w:pPr>
        <w:widowControl w:val="0"/>
        <w:spacing w:line="276" w:lineRule="auto"/>
        <w:jc w:val="center"/>
        <w:rPr>
          <w:rFonts w:ascii="Times New Roman" w:hAnsi="Times New Roman"/>
          <w:b/>
          <w:szCs w:val="24"/>
        </w:rPr>
      </w:pPr>
      <w:r w:rsidRPr="005B1536">
        <w:rPr>
          <w:rFonts w:ascii="Times New Roman" w:hAnsi="Times New Roman"/>
          <w:b/>
          <w:szCs w:val="24"/>
        </w:rPr>
        <w:t>20</w:t>
      </w:r>
      <w:r w:rsidR="00B64C3D" w:rsidRPr="005B1536">
        <w:rPr>
          <w:rFonts w:ascii="Times New Roman" w:hAnsi="Times New Roman"/>
          <w:b/>
          <w:szCs w:val="24"/>
        </w:rPr>
        <w:t>20</w:t>
      </w:r>
      <w:r w:rsidRPr="005B1536">
        <w:rPr>
          <w:rFonts w:ascii="Times New Roman" w:hAnsi="Times New Roman"/>
          <w:b/>
          <w:szCs w:val="24"/>
        </w:rPr>
        <w:t xml:space="preserve"> m.</w:t>
      </w:r>
      <w:r w:rsidR="00E81E2D" w:rsidRPr="005B1536">
        <w:rPr>
          <w:rFonts w:ascii="Times New Roman" w:hAnsi="Times New Roman"/>
          <w:b/>
          <w:szCs w:val="24"/>
        </w:rPr>
        <w:t xml:space="preserve"> </w:t>
      </w:r>
      <w:r w:rsidR="005B1536" w:rsidRPr="005B1536">
        <w:rPr>
          <w:rFonts w:ascii="Times New Roman" w:hAnsi="Times New Roman"/>
          <w:b/>
          <w:szCs w:val="24"/>
        </w:rPr>
        <w:t>[_]</w:t>
      </w:r>
      <w:r w:rsidR="00345299" w:rsidRPr="005B1536">
        <w:rPr>
          <w:rFonts w:ascii="Times New Roman" w:hAnsi="Times New Roman"/>
          <w:b/>
          <w:szCs w:val="24"/>
        </w:rPr>
        <w:t xml:space="preserve"> </w:t>
      </w:r>
      <w:r w:rsidRPr="005B1536">
        <w:rPr>
          <w:rFonts w:ascii="Times New Roman" w:hAnsi="Times New Roman"/>
          <w:b/>
          <w:szCs w:val="24"/>
        </w:rPr>
        <w:t>d. Nr.</w:t>
      </w:r>
      <w:r w:rsidR="008C0CE8" w:rsidRPr="005B1536">
        <w:rPr>
          <w:rFonts w:ascii="Times New Roman" w:hAnsi="Times New Roman"/>
          <w:b/>
          <w:szCs w:val="24"/>
        </w:rPr>
        <w:t xml:space="preserve"> </w:t>
      </w:r>
      <w:r w:rsidR="005B1536" w:rsidRPr="005B1536">
        <w:rPr>
          <w:rFonts w:ascii="Times New Roman" w:hAnsi="Times New Roman"/>
          <w:b/>
          <w:szCs w:val="24"/>
        </w:rPr>
        <w:t>[_]</w:t>
      </w:r>
    </w:p>
    <w:p w14:paraId="1AE39D98" w14:textId="77777777" w:rsidR="008218C2" w:rsidRPr="00C33AC8" w:rsidRDefault="008218C2" w:rsidP="009B0EE1">
      <w:pPr>
        <w:spacing w:line="276" w:lineRule="auto"/>
        <w:jc w:val="center"/>
        <w:rPr>
          <w:rFonts w:ascii="Times New Roman" w:hAnsi="Times New Roman"/>
          <w:b/>
          <w:highlight w:val="yellow"/>
        </w:rPr>
      </w:pPr>
    </w:p>
    <w:p w14:paraId="29217E3A" w14:textId="77777777" w:rsidR="008218C2" w:rsidRPr="00C33AC8" w:rsidRDefault="008218C2" w:rsidP="009B0EE1">
      <w:pPr>
        <w:spacing w:line="276" w:lineRule="auto"/>
        <w:jc w:val="center"/>
        <w:rPr>
          <w:rFonts w:ascii="Times New Roman" w:hAnsi="Times New Roman"/>
          <w:b/>
          <w:szCs w:val="24"/>
          <w:highlight w:val="yellow"/>
        </w:rPr>
      </w:pPr>
    </w:p>
    <w:p w14:paraId="04F43EC8" w14:textId="77777777" w:rsidR="008218C2" w:rsidRPr="00C33AC8" w:rsidRDefault="008218C2" w:rsidP="009B0EE1">
      <w:pPr>
        <w:spacing w:line="276" w:lineRule="auto"/>
        <w:jc w:val="center"/>
        <w:rPr>
          <w:rFonts w:ascii="Times New Roman" w:hAnsi="Times New Roman"/>
          <w:b/>
          <w:szCs w:val="24"/>
          <w:highlight w:val="yellow"/>
        </w:rPr>
      </w:pPr>
    </w:p>
    <w:p w14:paraId="29192B9D" w14:textId="77777777" w:rsidR="00962D2F" w:rsidRPr="00C33AC8" w:rsidRDefault="00962D2F" w:rsidP="009B0EE1">
      <w:pPr>
        <w:spacing w:line="276" w:lineRule="auto"/>
        <w:jc w:val="center"/>
        <w:rPr>
          <w:rFonts w:ascii="Times New Roman" w:hAnsi="Times New Roman"/>
          <w:b/>
          <w:szCs w:val="24"/>
          <w:highlight w:val="yellow"/>
        </w:rPr>
      </w:pPr>
    </w:p>
    <w:p w14:paraId="45AAFF46" w14:textId="77777777" w:rsidR="008218C2" w:rsidRPr="00C33AC8" w:rsidRDefault="008218C2" w:rsidP="009B0EE1">
      <w:pPr>
        <w:spacing w:line="276" w:lineRule="auto"/>
        <w:jc w:val="center"/>
        <w:rPr>
          <w:rFonts w:ascii="Times New Roman" w:hAnsi="Times New Roman"/>
          <w:b/>
          <w:szCs w:val="24"/>
          <w:highlight w:val="yellow"/>
        </w:rPr>
      </w:pPr>
    </w:p>
    <w:p w14:paraId="4C100715" w14:textId="77777777" w:rsidR="008218C2" w:rsidRPr="00C33AC8" w:rsidRDefault="008218C2" w:rsidP="009B0EE1">
      <w:pPr>
        <w:spacing w:line="276" w:lineRule="auto"/>
        <w:jc w:val="center"/>
        <w:rPr>
          <w:rFonts w:ascii="Times New Roman" w:hAnsi="Times New Roman"/>
          <w:b/>
          <w:szCs w:val="24"/>
          <w:highlight w:val="yellow"/>
        </w:rPr>
      </w:pPr>
    </w:p>
    <w:p w14:paraId="1DEC84A0" w14:textId="77777777" w:rsidR="008218C2" w:rsidRPr="00C33AC8" w:rsidRDefault="008218C2" w:rsidP="009B0EE1">
      <w:pPr>
        <w:spacing w:line="276" w:lineRule="auto"/>
        <w:jc w:val="center"/>
        <w:rPr>
          <w:rFonts w:ascii="Times New Roman" w:hAnsi="Times New Roman"/>
          <w:b/>
          <w:szCs w:val="24"/>
          <w:highlight w:val="yellow"/>
        </w:rPr>
      </w:pPr>
    </w:p>
    <w:p w14:paraId="15A8B95B" w14:textId="77777777" w:rsidR="008218C2" w:rsidRPr="00C33AC8" w:rsidRDefault="008218C2" w:rsidP="009B0EE1">
      <w:pPr>
        <w:spacing w:line="276" w:lineRule="auto"/>
        <w:jc w:val="center"/>
        <w:rPr>
          <w:rFonts w:ascii="Times New Roman" w:hAnsi="Times New Roman"/>
          <w:b/>
          <w:szCs w:val="24"/>
          <w:highlight w:val="yellow"/>
        </w:rPr>
      </w:pPr>
    </w:p>
    <w:p w14:paraId="04DB99A0" w14:textId="77777777" w:rsidR="008218C2" w:rsidRPr="00C33AC8" w:rsidRDefault="008218C2" w:rsidP="009B0EE1">
      <w:pPr>
        <w:spacing w:line="276" w:lineRule="auto"/>
        <w:jc w:val="center"/>
        <w:rPr>
          <w:rFonts w:ascii="Times New Roman" w:hAnsi="Times New Roman"/>
          <w:b/>
          <w:szCs w:val="24"/>
          <w:highlight w:val="yellow"/>
        </w:rPr>
      </w:pPr>
    </w:p>
    <w:p w14:paraId="77A14020" w14:textId="77777777" w:rsidR="008218C2" w:rsidRPr="00C33AC8" w:rsidRDefault="008218C2" w:rsidP="009B0EE1">
      <w:pPr>
        <w:spacing w:line="276" w:lineRule="auto"/>
        <w:jc w:val="center"/>
        <w:rPr>
          <w:rFonts w:ascii="Times New Roman" w:hAnsi="Times New Roman"/>
          <w:b/>
          <w:szCs w:val="24"/>
          <w:highlight w:val="yellow"/>
        </w:rPr>
      </w:pPr>
    </w:p>
    <w:p w14:paraId="002603E4" w14:textId="77777777" w:rsidR="008218C2" w:rsidRPr="00C33AC8" w:rsidRDefault="008218C2" w:rsidP="009B0EE1">
      <w:pPr>
        <w:spacing w:line="276" w:lineRule="auto"/>
        <w:jc w:val="center"/>
        <w:rPr>
          <w:rFonts w:ascii="Times New Roman" w:hAnsi="Times New Roman"/>
          <w:b/>
          <w:szCs w:val="24"/>
          <w:highlight w:val="yellow"/>
        </w:rPr>
      </w:pPr>
    </w:p>
    <w:p w14:paraId="587661CA" w14:textId="77777777" w:rsidR="008218C2" w:rsidRPr="00C33AC8" w:rsidRDefault="008218C2" w:rsidP="009B0EE1">
      <w:pPr>
        <w:spacing w:line="276" w:lineRule="auto"/>
        <w:jc w:val="center"/>
        <w:rPr>
          <w:rFonts w:ascii="Times New Roman" w:hAnsi="Times New Roman"/>
          <w:b/>
          <w:szCs w:val="24"/>
          <w:highlight w:val="yellow"/>
        </w:rPr>
      </w:pPr>
    </w:p>
    <w:p w14:paraId="50925986" w14:textId="355F4D0E" w:rsidR="008218C2" w:rsidRPr="00C33AC8" w:rsidRDefault="008218C2" w:rsidP="009B0EE1">
      <w:pPr>
        <w:tabs>
          <w:tab w:val="left" w:pos="4536"/>
        </w:tabs>
        <w:spacing w:line="276" w:lineRule="auto"/>
        <w:jc w:val="center"/>
        <w:rPr>
          <w:rFonts w:ascii="Times New Roman" w:hAnsi="Times New Roman"/>
          <w:b/>
          <w:szCs w:val="24"/>
          <w:highlight w:val="yellow"/>
        </w:rPr>
      </w:pPr>
    </w:p>
    <w:p w14:paraId="19814D0A" w14:textId="564B0DA3" w:rsidR="00F10E88" w:rsidRPr="00C33AC8" w:rsidRDefault="00F10E88" w:rsidP="009B0EE1">
      <w:pPr>
        <w:overflowPunct/>
        <w:autoSpaceDE/>
        <w:autoSpaceDN/>
        <w:adjustRightInd/>
        <w:textAlignment w:val="auto"/>
        <w:rPr>
          <w:rFonts w:ascii="Times New Roman" w:hAnsi="Times New Roman"/>
          <w:b/>
          <w:szCs w:val="24"/>
          <w:highlight w:val="yellow"/>
        </w:rPr>
      </w:pPr>
      <w:r w:rsidRPr="00C33AC8">
        <w:rPr>
          <w:rFonts w:ascii="Times New Roman" w:hAnsi="Times New Roman"/>
          <w:b/>
          <w:szCs w:val="24"/>
          <w:highlight w:val="yellow"/>
        </w:rPr>
        <w:br w:type="page"/>
      </w:r>
    </w:p>
    <w:p w14:paraId="24F3DBD4" w14:textId="77777777" w:rsidR="00441897" w:rsidRPr="00FC163E" w:rsidRDefault="00441897" w:rsidP="009B0EE1">
      <w:pPr>
        <w:spacing w:line="276" w:lineRule="auto"/>
        <w:jc w:val="both"/>
        <w:rPr>
          <w:rFonts w:ascii="Times New Roman" w:hAnsi="Times New Roman"/>
          <w:b/>
          <w:szCs w:val="24"/>
        </w:rPr>
      </w:pPr>
      <w:r w:rsidRPr="00FC163E">
        <w:rPr>
          <w:rFonts w:ascii="Times New Roman" w:hAnsi="Times New Roman"/>
          <w:b/>
          <w:szCs w:val="24"/>
        </w:rPr>
        <w:lastRenderedPageBreak/>
        <w:t>TURINYS</w:t>
      </w:r>
    </w:p>
    <w:p w14:paraId="3A452AA2" w14:textId="77777777" w:rsidR="00441897" w:rsidRPr="00FC163E" w:rsidRDefault="00441897" w:rsidP="009B0EE1">
      <w:pPr>
        <w:spacing w:line="276" w:lineRule="auto"/>
        <w:jc w:val="both"/>
        <w:rPr>
          <w:rFonts w:ascii="Times New Roman" w:hAnsi="Times New Roman"/>
          <w:szCs w:val="24"/>
        </w:rPr>
      </w:pPr>
    </w:p>
    <w:p w14:paraId="0A8161CC" w14:textId="77777777" w:rsidR="00441897" w:rsidRPr="00FC163E" w:rsidRDefault="00441897" w:rsidP="009B0EE1">
      <w:pPr>
        <w:numPr>
          <w:ilvl w:val="0"/>
          <w:numId w:val="1"/>
        </w:numPr>
        <w:tabs>
          <w:tab w:val="left" w:pos="1418"/>
        </w:tabs>
        <w:spacing w:line="276" w:lineRule="auto"/>
        <w:ind w:left="0" w:firstLine="0"/>
        <w:jc w:val="both"/>
        <w:rPr>
          <w:rFonts w:ascii="Times New Roman" w:hAnsi="Times New Roman"/>
          <w:szCs w:val="24"/>
        </w:rPr>
      </w:pPr>
      <w:r w:rsidRPr="00FC163E">
        <w:rPr>
          <w:rFonts w:ascii="Times New Roman" w:hAnsi="Times New Roman"/>
          <w:szCs w:val="24"/>
        </w:rPr>
        <w:t>PREAMBULĖ</w:t>
      </w:r>
    </w:p>
    <w:p w14:paraId="20917387" w14:textId="77777777" w:rsidR="00441897" w:rsidRPr="00FC163E" w:rsidRDefault="00441897" w:rsidP="009B0EE1">
      <w:pPr>
        <w:numPr>
          <w:ilvl w:val="0"/>
          <w:numId w:val="1"/>
        </w:numPr>
        <w:tabs>
          <w:tab w:val="left" w:pos="1418"/>
        </w:tabs>
        <w:spacing w:line="276" w:lineRule="auto"/>
        <w:ind w:left="0" w:firstLine="0"/>
        <w:jc w:val="both"/>
        <w:rPr>
          <w:rFonts w:ascii="Times New Roman" w:hAnsi="Times New Roman"/>
          <w:szCs w:val="24"/>
        </w:rPr>
      </w:pPr>
      <w:r w:rsidRPr="00FC163E">
        <w:rPr>
          <w:rFonts w:ascii="Times New Roman" w:hAnsi="Times New Roman"/>
          <w:szCs w:val="24"/>
        </w:rPr>
        <w:t>I SKYRIUS. SĄVOKOS IR TRUMPINIAI</w:t>
      </w:r>
    </w:p>
    <w:p w14:paraId="0709C02A" w14:textId="77777777" w:rsidR="00441897" w:rsidRPr="00FC163E" w:rsidRDefault="00441897" w:rsidP="009B0EE1">
      <w:pPr>
        <w:numPr>
          <w:ilvl w:val="0"/>
          <w:numId w:val="1"/>
        </w:numPr>
        <w:tabs>
          <w:tab w:val="left" w:pos="1418"/>
        </w:tabs>
        <w:spacing w:line="276" w:lineRule="auto"/>
        <w:ind w:left="0" w:firstLine="0"/>
        <w:jc w:val="both"/>
        <w:rPr>
          <w:rFonts w:ascii="Times New Roman" w:hAnsi="Times New Roman"/>
          <w:szCs w:val="24"/>
        </w:rPr>
      </w:pPr>
      <w:r w:rsidRPr="00FC163E">
        <w:rPr>
          <w:rFonts w:ascii="Times New Roman" w:hAnsi="Times New Roman"/>
          <w:szCs w:val="24"/>
        </w:rPr>
        <w:t>II SKYRIUS. SUTARTIES OBJEKTAS (TAIKYMO SRITIS IR TIKSLAS)</w:t>
      </w:r>
    </w:p>
    <w:p w14:paraId="1C1DAEA0" w14:textId="77777777" w:rsidR="002838AA" w:rsidRPr="00FC163E" w:rsidRDefault="00441897" w:rsidP="009B0EE1">
      <w:pPr>
        <w:numPr>
          <w:ilvl w:val="0"/>
          <w:numId w:val="1"/>
        </w:numPr>
        <w:tabs>
          <w:tab w:val="left" w:pos="1418"/>
        </w:tabs>
        <w:spacing w:line="276" w:lineRule="auto"/>
        <w:ind w:left="0" w:firstLine="0"/>
        <w:jc w:val="both"/>
        <w:rPr>
          <w:rFonts w:ascii="Times New Roman" w:hAnsi="Times New Roman"/>
          <w:szCs w:val="24"/>
        </w:rPr>
      </w:pPr>
      <w:r w:rsidRPr="00FC163E">
        <w:rPr>
          <w:rFonts w:ascii="Times New Roman" w:hAnsi="Times New Roman"/>
          <w:szCs w:val="24"/>
        </w:rPr>
        <w:t>III SKYRIUS</w:t>
      </w:r>
      <w:r w:rsidR="00203D75" w:rsidRPr="00FC163E">
        <w:rPr>
          <w:rFonts w:ascii="Times New Roman" w:hAnsi="Times New Roman"/>
          <w:szCs w:val="24"/>
        </w:rPr>
        <w:t xml:space="preserve">. </w:t>
      </w:r>
      <w:r w:rsidR="002B5E44" w:rsidRPr="00FC163E">
        <w:rPr>
          <w:rFonts w:ascii="Times New Roman" w:hAnsi="Times New Roman"/>
          <w:szCs w:val="24"/>
        </w:rPr>
        <w:t xml:space="preserve">TEISĖS IR </w:t>
      </w:r>
      <w:r w:rsidR="00203D75" w:rsidRPr="00FC163E">
        <w:rPr>
          <w:rFonts w:ascii="Times New Roman" w:hAnsi="Times New Roman"/>
          <w:szCs w:val="24"/>
        </w:rPr>
        <w:t>ĮSIPAREIGOJIMAI</w:t>
      </w:r>
    </w:p>
    <w:p w14:paraId="39C0FFC6" w14:textId="77777777" w:rsidR="00441897" w:rsidRPr="00FC163E" w:rsidRDefault="00441897" w:rsidP="009B0EE1">
      <w:pPr>
        <w:numPr>
          <w:ilvl w:val="0"/>
          <w:numId w:val="1"/>
        </w:numPr>
        <w:tabs>
          <w:tab w:val="left" w:pos="1418"/>
        </w:tabs>
        <w:spacing w:line="276" w:lineRule="auto"/>
        <w:ind w:left="0" w:firstLine="0"/>
        <w:jc w:val="both"/>
        <w:rPr>
          <w:rFonts w:ascii="Times New Roman" w:hAnsi="Times New Roman"/>
          <w:szCs w:val="24"/>
        </w:rPr>
      </w:pPr>
      <w:r w:rsidRPr="00FC163E">
        <w:rPr>
          <w:rFonts w:ascii="Times New Roman" w:hAnsi="Times New Roman"/>
          <w:szCs w:val="24"/>
        </w:rPr>
        <w:t>IV SKYRIUS</w:t>
      </w:r>
      <w:r w:rsidR="002B5E44" w:rsidRPr="00FC163E">
        <w:rPr>
          <w:rFonts w:ascii="Times New Roman" w:hAnsi="Times New Roman"/>
          <w:szCs w:val="24"/>
        </w:rPr>
        <w:t xml:space="preserve">. </w:t>
      </w:r>
      <w:r w:rsidR="00456893" w:rsidRPr="00FC163E">
        <w:rPr>
          <w:rFonts w:ascii="Times New Roman" w:hAnsi="Times New Roman"/>
          <w:szCs w:val="24"/>
        </w:rPr>
        <w:t>PORTFELIO FORMAVIMO SĄLYGOS</w:t>
      </w:r>
    </w:p>
    <w:p w14:paraId="3553BFA8" w14:textId="61BC660E" w:rsidR="00947F76" w:rsidRPr="00FC163E" w:rsidRDefault="00441897" w:rsidP="009B0EE1">
      <w:pPr>
        <w:numPr>
          <w:ilvl w:val="0"/>
          <w:numId w:val="1"/>
        </w:numPr>
        <w:tabs>
          <w:tab w:val="left" w:pos="1418"/>
        </w:tabs>
        <w:spacing w:line="276" w:lineRule="auto"/>
        <w:ind w:left="0" w:firstLine="0"/>
        <w:jc w:val="both"/>
        <w:rPr>
          <w:rFonts w:ascii="Times New Roman" w:hAnsi="Times New Roman"/>
          <w:szCs w:val="24"/>
        </w:rPr>
      </w:pPr>
      <w:r w:rsidRPr="00FC163E">
        <w:rPr>
          <w:rFonts w:ascii="Times New Roman" w:hAnsi="Times New Roman"/>
          <w:szCs w:val="24"/>
        </w:rPr>
        <w:t>V SKYRIUS</w:t>
      </w:r>
      <w:r w:rsidR="003A7D75" w:rsidRPr="00FC163E">
        <w:rPr>
          <w:rFonts w:ascii="Times New Roman" w:hAnsi="Times New Roman"/>
          <w:szCs w:val="24"/>
        </w:rPr>
        <w:t xml:space="preserve">. </w:t>
      </w:r>
      <w:r w:rsidR="00F578D2" w:rsidRPr="00FC163E">
        <w:rPr>
          <w:rFonts w:ascii="Times New Roman" w:hAnsi="Times New Roman"/>
          <w:szCs w:val="24"/>
        </w:rPr>
        <w:t>FAKTORINGO SANDORIŲ</w:t>
      </w:r>
      <w:r w:rsidR="0021369B" w:rsidRPr="00FC163E">
        <w:rPr>
          <w:rFonts w:ascii="Times New Roman" w:hAnsi="Times New Roman"/>
          <w:szCs w:val="24"/>
        </w:rPr>
        <w:t xml:space="preserve"> TEIKIMO SĄLYGOS</w:t>
      </w:r>
    </w:p>
    <w:p w14:paraId="3C212BFE" w14:textId="4FF1BBD0" w:rsidR="00441897" w:rsidRPr="00FC163E" w:rsidRDefault="00947F76" w:rsidP="009B0EE1">
      <w:pPr>
        <w:numPr>
          <w:ilvl w:val="0"/>
          <w:numId w:val="1"/>
        </w:numPr>
        <w:tabs>
          <w:tab w:val="left" w:pos="1418"/>
        </w:tabs>
        <w:spacing w:line="276" w:lineRule="auto"/>
        <w:ind w:left="0" w:firstLine="0"/>
        <w:jc w:val="both"/>
        <w:rPr>
          <w:rFonts w:ascii="Times New Roman" w:hAnsi="Times New Roman"/>
          <w:szCs w:val="24"/>
        </w:rPr>
      </w:pPr>
      <w:r w:rsidRPr="00FC163E">
        <w:rPr>
          <w:rFonts w:ascii="Times New Roman" w:hAnsi="Times New Roman"/>
          <w:szCs w:val="24"/>
        </w:rPr>
        <w:t>VI</w:t>
      </w:r>
      <w:r w:rsidR="00F72850" w:rsidRPr="00FC163E">
        <w:rPr>
          <w:rFonts w:ascii="Times New Roman" w:hAnsi="Times New Roman"/>
          <w:szCs w:val="24"/>
        </w:rPr>
        <w:t xml:space="preserve"> </w:t>
      </w:r>
      <w:r w:rsidR="0021369B" w:rsidRPr="00FC163E">
        <w:rPr>
          <w:rFonts w:ascii="Times New Roman" w:hAnsi="Times New Roman"/>
          <w:szCs w:val="24"/>
        </w:rPr>
        <w:t xml:space="preserve">SKYRIUS. </w:t>
      </w:r>
      <w:r w:rsidR="00C75617" w:rsidRPr="00FC163E">
        <w:rPr>
          <w:rFonts w:ascii="Times New Roman" w:hAnsi="Times New Roman"/>
          <w:szCs w:val="24"/>
        </w:rPr>
        <w:t>GARANTIJOS MOKESTIS</w:t>
      </w:r>
    </w:p>
    <w:p w14:paraId="5FA179AD" w14:textId="2E441EA3" w:rsidR="002838AA" w:rsidRPr="00FC163E" w:rsidRDefault="00441897" w:rsidP="009B0EE1">
      <w:pPr>
        <w:numPr>
          <w:ilvl w:val="0"/>
          <w:numId w:val="1"/>
        </w:numPr>
        <w:tabs>
          <w:tab w:val="left" w:pos="1418"/>
        </w:tabs>
        <w:spacing w:line="276" w:lineRule="auto"/>
        <w:ind w:left="0" w:firstLine="0"/>
        <w:jc w:val="both"/>
        <w:rPr>
          <w:rFonts w:ascii="Times New Roman" w:hAnsi="Times New Roman"/>
          <w:szCs w:val="24"/>
        </w:rPr>
      </w:pPr>
      <w:r w:rsidRPr="00FC163E">
        <w:rPr>
          <w:rFonts w:ascii="Times New Roman" w:hAnsi="Times New Roman"/>
          <w:szCs w:val="24"/>
        </w:rPr>
        <w:t>VI</w:t>
      </w:r>
      <w:r w:rsidR="00502254" w:rsidRPr="00FC163E">
        <w:rPr>
          <w:rFonts w:ascii="Times New Roman" w:hAnsi="Times New Roman"/>
          <w:szCs w:val="24"/>
        </w:rPr>
        <w:t>I</w:t>
      </w:r>
      <w:r w:rsidRPr="00FC163E">
        <w:rPr>
          <w:rFonts w:ascii="Times New Roman" w:hAnsi="Times New Roman"/>
          <w:szCs w:val="24"/>
        </w:rPr>
        <w:t xml:space="preserve"> SKYRIUS</w:t>
      </w:r>
      <w:r w:rsidR="003A7D75" w:rsidRPr="00FC163E">
        <w:rPr>
          <w:rFonts w:ascii="Times New Roman" w:hAnsi="Times New Roman"/>
          <w:szCs w:val="24"/>
        </w:rPr>
        <w:t xml:space="preserve">. </w:t>
      </w:r>
      <w:r w:rsidR="00077D9F" w:rsidRPr="00FC163E">
        <w:rPr>
          <w:rFonts w:ascii="Times New Roman" w:hAnsi="Times New Roman"/>
          <w:szCs w:val="24"/>
        </w:rPr>
        <w:t xml:space="preserve">REGRESAS, </w:t>
      </w:r>
      <w:r w:rsidR="002838AA" w:rsidRPr="00FC163E">
        <w:rPr>
          <w:rFonts w:ascii="Times New Roman" w:hAnsi="Times New Roman"/>
          <w:szCs w:val="24"/>
        </w:rPr>
        <w:t>IŠMOKOS</w:t>
      </w:r>
      <w:r w:rsidR="00947F76" w:rsidRPr="00FC163E">
        <w:rPr>
          <w:rFonts w:ascii="Times New Roman" w:hAnsi="Times New Roman"/>
          <w:szCs w:val="24"/>
        </w:rPr>
        <w:t xml:space="preserve"> MOKĖJIMAS</w:t>
      </w:r>
      <w:r w:rsidR="002838AA" w:rsidRPr="00FC163E">
        <w:rPr>
          <w:rFonts w:ascii="Times New Roman" w:hAnsi="Times New Roman"/>
          <w:szCs w:val="24"/>
        </w:rPr>
        <w:t xml:space="preserve"> IR </w:t>
      </w:r>
      <w:r w:rsidR="00947F76" w:rsidRPr="00FC163E">
        <w:rPr>
          <w:rFonts w:ascii="Times New Roman" w:hAnsi="Times New Roman"/>
          <w:szCs w:val="24"/>
        </w:rPr>
        <w:t xml:space="preserve">SKOLŲ </w:t>
      </w:r>
      <w:r w:rsidR="00827CE9" w:rsidRPr="00FC163E">
        <w:rPr>
          <w:rFonts w:ascii="Times New Roman" w:hAnsi="Times New Roman"/>
          <w:szCs w:val="24"/>
        </w:rPr>
        <w:tab/>
      </w:r>
      <w:r w:rsidR="00947F76" w:rsidRPr="00FC163E">
        <w:rPr>
          <w:rFonts w:ascii="Times New Roman" w:hAnsi="Times New Roman"/>
          <w:szCs w:val="24"/>
        </w:rPr>
        <w:t>IŠIEŠKOJIMAS</w:t>
      </w:r>
    </w:p>
    <w:p w14:paraId="4EDD682B" w14:textId="5F009D48" w:rsidR="007A7359" w:rsidRPr="00FC163E" w:rsidRDefault="007A7359" w:rsidP="009B0EE1">
      <w:pPr>
        <w:pStyle w:val="List"/>
        <w:numPr>
          <w:ilvl w:val="0"/>
          <w:numId w:val="1"/>
        </w:numPr>
        <w:tabs>
          <w:tab w:val="left" w:pos="1418"/>
        </w:tabs>
        <w:spacing w:line="276" w:lineRule="auto"/>
        <w:ind w:left="0" w:firstLine="0"/>
        <w:jc w:val="both"/>
        <w:rPr>
          <w:rFonts w:ascii="Times New Roman" w:hAnsi="Times New Roman"/>
          <w:szCs w:val="24"/>
        </w:rPr>
      </w:pPr>
      <w:r w:rsidRPr="00FC163E">
        <w:rPr>
          <w:rFonts w:ascii="Times New Roman" w:hAnsi="Times New Roman"/>
          <w:szCs w:val="24"/>
        </w:rPr>
        <w:t>VIII SKYRIUS.</w:t>
      </w:r>
      <w:r w:rsidR="00D34F98" w:rsidRPr="00FC163E">
        <w:rPr>
          <w:rFonts w:ascii="Times New Roman" w:hAnsi="Times New Roman"/>
          <w:szCs w:val="24"/>
        </w:rPr>
        <w:t xml:space="preserve"> </w:t>
      </w:r>
      <w:r w:rsidR="00D34F98" w:rsidRPr="00FC163E">
        <w:rPr>
          <w:rFonts w:ascii="Times New Roman" w:hAnsi="Times New Roman"/>
          <w:caps/>
          <w:szCs w:val="24"/>
        </w:rPr>
        <w:t>Ataskaitų formos ir jų pateikimo tvarka</w:t>
      </w:r>
    </w:p>
    <w:p w14:paraId="1EF20766" w14:textId="53221C1E" w:rsidR="00F22372" w:rsidRPr="00FC163E" w:rsidRDefault="00F22372" w:rsidP="009B0EE1">
      <w:pPr>
        <w:numPr>
          <w:ilvl w:val="0"/>
          <w:numId w:val="1"/>
        </w:numPr>
        <w:tabs>
          <w:tab w:val="left" w:pos="1418"/>
        </w:tabs>
        <w:spacing w:line="276" w:lineRule="auto"/>
        <w:ind w:left="0" w:firstLine="0"/>
        <w:jc w:val="both"/>
        <w:rPr>
          <w:rFonts w:ascii="Times New Roman" w:hAnsi="Times New Roman"/>
          <w:szCs w:val="24"/>
        </w:rPr>
      </w:pPr>
      <w:r w:rsidRPr="00FC163E">
        <w:rPr>
          <w:rFonts w:ascii="Times New Roman" w:hAnsi="Times New Roman"/>
          <w:szCs w:val="24"/>
        </w:rPr>
        <w:t>IX SKYRIUS. NEREIKŠMINGOS VALSTYBĖS PAGALBOS TEIKIMAS</w:t>
      </w:r>
    </w:p>
    <w:p w14:paraId="53055A20" w14:textId="053B20CD" w:rsidR="009035B0" w:rsidRPr="00FC163E" w:rsidRDefault="009035B0" w:rsidP="009B0EE1">
      <w:pPr>
        <w:numPr>
          <w:ilvl w:val="0"/>
          <w:numId w:val="1"/>
        </w:numPr>
        <w:tabs>
          <w:tab w:val="left" w:pos="1418"/>
        </w:tabs>
        <w:spacing w:line="276" w:lineRule="auto"/>
        <w:ind w:left="0" w:firstLine="0"/>
        <w:jc w:val="both"/>
        <w:rPr>
          <w:rFonts w:ascii="Times New Roman" w:hAnsi="Times New Roman"/>
          <w:szCs w:val="24"/>
        </w:rPr>
      </w:pPr>
      <w:r w:rsidRPr="00FC163E">
        <w:rPr>
          <w:rFonts w:ascii="Times New Roman" w:hAnsi="Times New Roman"/>
          <w:szCs w:val="24"/>
        </w:rPr>
        <w:t>X SKYRIUS. SUTARTIES ĮSIGALIOJIMAS IR NUTRAUKIMAS</w:t>
      </w:r>
    </w:p>
    <w:p w14:paraId="0F5F5C43" w14:textId="0E0AE5E4" w:rsidR="00147088" w:rsidRPr="00FC163E" w:rsidRDefault="00147088" w:rsidP="009B0EE1">
      <w:pPr>
        <w:numPr>
          <w:ilvl w:val="0"/>
          <w:numId w:val="1"/>
        </w:numPr>
        <w:tabs>
          <w:tab w:val="left" w:pos="1418"/>
        </w:tabs>
        <w:spacing w:line="276" w:lineRule="auto"/>
        <w:ind w:left="0" w:firstLine="0"/>
        <w:jc w:val="both"/>
        <w:rPr>
          <w:rFonts w:ascii="Times New Roman" w:hAnsi="Times New Roman"/>
          <w:szCs w:val="24"/>
        </w:rPr>
      </w:pPr>
      <w:r w:rsidRPr="00FC163E">
        <w:rPr>
          <w:rFonts w:ascii="Times New Roman" w:hAnsi="Times New Roman"/>
          <w:caps/>
          <w:szCs w:val="24"/>
        </w:rPr>
        <w:t>X</w:t>
      </w:r>
      <w:r w:rsidR="00A9613B" w:rsidRPr="00FC163E">
        <w:rPr>
          <w:rFonts w:ascii="Times New Roman" w:hAnsi="Times New Roman"/>
          <w:caps/>
          <w:szCs w:val="24"/>
        </w:rPr>
        <w:t>I</w:t>
      </w:r>
      <w:r w:rsidR="00DA1444" w:rsidRPr="00FC163E">
        <w:rPr>
          <w:rFonts w:ascii="Times New Roman" w:hAnsi="Times New Roman"/>
          <w:caps/>
          <w:szCs w:val="24"/>
        </w:rPr>
        <w:t xml:space="preserve"> </w:t>
      </w:r>
      <w:r w:rsidRPr="00FC163E">
        <w:rPr>
          <w:rFonts w:ascii="Times New Roman" w:hAnsi="Times New Roman"/>
          <w:caps/>
          <w:szCs w:val="24"/>
        </w:rPr>
        <w:t>SKYRIUS. BAIGIAMOSIOS NUOSTATOS</w:t>
      </w:r>
    </w:p>
    <w:p w14:paraId="586339A0" w14:textId="3F44898C" w:rsidR="00D1176D" w:rsidRPr="00FC163E" w:rsidRDefault="00147088" w:rsidP="009B0EE1">
      <w:pPr>
        <w:numPr>
          <w:ilvl w:val="0"/>
          <w:numId w:val="1"/>
        </w:numPr>
        <w:tabs>
          <w:tab w:val="left" w:pos="1418"/>
        </w:tabs>
        <w:spacing w:line="276" w:lineRule="auto"/>
        <w:ind w:left="0" w:firstLine="0"/>
        <w:jc w:val="both"/>
        <w:rPr>
          <w:rFonts w:ascii="Times New Roman" w:hAnsi="Times New Roman"/>
          <w:szCs w:val="24"/>
        </w:rPr>
      </w:pPr>
      <w:r w:rsidRPr="00FC163E">
        <w:rPr>
          <w:rFonts w:ascii="Times New Roman" w:hAnsi="Times New Roman"/>
          <w:caps/>
          <w:szCs w:val="24"/>
        </w:rPr>
        <w:t>XI</w:t>
      </w:r>
      <w:r w:rsidR="00A9613B" w:rsidRPr="00FC163E">
        <w:rPr>
          <w:rFonts w:ascii="Times New Roman" w:hAnsi="Times New Roman"/>
          <w:caps/>
          <w:szCs w:val="24"/>
        </w:rPr>
        <w:t>I</w:t>
      </w:r>
      <w:r w:rsidRPr="00FC163E">
        <w:rPr>
          <w:rFonts w:ascii="Times New Roman" w:hAnsi="Times New Roman"/>
          <w:caps/>
          <w:szCs w:val="24"/>
        </w:rPr>
        <w:t xml:space="preserve"> SKYRIUS. Sutarties šalių adresai ir rekvizitai</w:t>
      </w:r>
    </w:p>
    <w:p w14:paraId="71A68D4F" w14:textId="6BED6C16" w:rsidR="00422357" w:rsidRPr="000C4855" w:rsidRDefault="00441897" w:rsidP="009B0EE1">
      <w:pPr>
        <w:spacing w:line="276" w:lineRule="auto"/>
        <w:ind w:left="-284"/>
        <w:jc w:val="both"/>
        <w:rPr>
          <w:rStyle w:val="Strong"/>
          <w:rFonts w:ascii="Times New Roman" w:hAnsi="Times New Roman"/>
          <w:b w:val="0"/>
          <w:szCs w:val="24"/>
        </w:rPr>
      </w:pPr>
      <w:r w:rsidRPr="00C33AC8">
        <w:rPr>
          <w:rFonts w:ascii="Times New Roman" w:hAnsi="Times New Roman"/>
          <w:szCs w:val="24"/>
          <w:highlight w:val="yellow"/>
        </w:rPr>
        <w:br w:type="page"/>
      </w:r>
      <w:r w:rsidR="009E0B89" w:rsidRPr="000C4855">
        <w:rPr>
          <w:rFonts w:ascii="Times New Roman" w:hAnsi="Times New Roman"/>
          <w:szCs w:val="24"/>
        </w:rPr>
        <w:lastRenderedPageBreak/>
        <w:t>20</w:t>
      </w:r>
      <w:r w:rsidR="000C4855" w:rsidRPr="000C4855">
        <w:rPr>
          <w:rFonts w:ascii="Times New Roman" w:hAnsi="Times New Roman"/>
          <w:szCs w:val="24"/>
        </w:rPr>
        <w:t>20</w:t>
      </w:r>
      <w:r w:rsidR="007B732F" w:rsidRPr="000C4855">
        <w:rPr>
          <w:rFonts w:ascii="Times New Roman" w:hAnsi="Times New Roman"/>
          <w:szCs w:val="24"/>
        </w:rPr>
        <w:t xml:space="preserve"> </w:t>
      </w:r>
      <w:r w:rsidR="00C41D8E" w:rsidRPr="000C4855">
        <w:rPr>
          <w:rFonts w:ascii="Times New Roman" w:hAnsi="Times New Roman"/>
          <w:szCs w:val="24"/>
        </w:rPr>
        <w:t>m.</w:t>
      </w:r>
      <w:r w:rsidR="00E81E2D" w:rsidRPr="000C4855">
        <w:rPr>
          <w:rFonts w:ascii="Times New Roman" w:hAnsi="Times New Roman"/>
          <w:szCs w:val="24"/>
        </w:rPr>
        <w:t xml:space="preserve"> </w:t>
      </w:r>
      <w:r w:rsidR="000C4855" w:rsidRPr="000C4855">
        <w:rPr>
          <w:rFonts w:ascii="Times New Roman" w:hAnsi="Times New Roman"/>
          <w:b/>
          <w:szCs w:val="24"/>
        </w:rPr>
        <w:t>[_]</w:t>
      </w:r>
      <w:r w:rsidR="007B732F" w:rsidRPr="000C4855">
        <w:rPr>
          <w:rFonts w:ascii="Times New Roman" w:hAnsi="Times New Roman"/>
          <w:szCs w:val="24"/>
        </w:rPr>
        <w:t xml:space="preserve"> </w:t>
      </w:r>
      <w:r w:rsidR="00C41D8E" w:rsidRPr="000C4855">
        <w:rPr>
          <w:rFonts w:ascii="Times New Roman" w:hAnsi="Times New Roman"/>
          <w:szCs w:val="24"/>
        </w:rPr>
        <w:t>d. šią</w:t>
      </w:r>
      <w:r w:rsidR="00777925" w:rsidRPr="000C4855">
        <w:rPr>
          <w:rFonts w:ascii="Times New Roman" w:hAnsi="Times New Roman"/>
          <w:szCs w:val="24"/>
        </w:rPr>
        <w:t xml:space="preserve"> </w:t>
      </w:r>
      <w:r w:rsidR="002447CE" w:rsidRPr="000C4855">
        <w:rPr>
          <w:rFonts w:ascii="Times New Roman" w:hAnsi="Times New Roman"/>
          <w:szCs w:val="24"/>
        </w:rPr>
        <w:t xml:space="preserve">sutartį dėl </w:t>
      </w:r>
      <w:r w:rsidR="00C51F33" w:rsidRPr="000C4855">
        <w:rPr>
          <w:rFonts w:ascii="Times New Roman" w:hAnsi="Times New Roman"/>
          <w:szCs w:val="24"/>
        </w:rPr>
        <w:t>PGF</w:t>
      </w:r>
      <w:r w:rsidR="000C4855" w:rsidRPr="000C4855">
        <w:rPr>
          <w:rFonts w:ascii="Times New Roman" w:hAnsi="Times New Roman"/>
          <w:szCs w:val="24"/>
        </w:rPr>
        <w:t>2</w:t>
      </w:r>
      <w:r w:rsidR="00C41D8E" w:rsidRPr="000C4855">
        <w:rPr>
          <w:rStyle w:val="Strong"/>
          <w:rFonts w:ascii="Times New Roman" w:hAnsi="Times New Roman"/>
          <w:b w:val="0"/>
          <w:szCs w:val="24"/>
        </w:rPr>
        <w:t xml:space="preserve"> priemonės</w:t>
      </w:r>
      <w:r w:rsidR="002447CE" w:rsidRPr="000C4855">
        <w:rPr>
          <w:rFonts w:ascii="Times New Roman" w:hAnsi="Times New Roman"/>
          <w:szCs w:val="24"/>
        </w:rPr>
        <w:t xml:space="preserve"> </w:t>
      </w:r>
      <w:r w:rsidR="007B732F" w:rsidRPr="000C4855">
        <w:rPr>
          <w:rFonts w:ascii="Times New Roman" w:hAnsi="Times New Roman"/>
          <w:szCs w:val="24"/>
        </w:rPr>
        <w:t>į</w:t>
      </w:r>
      <w:r w:rsidR="00422357" w:rsidRPr="000C4855">
        <w:rPr>
          <w:rStyle w:val="Strong"/>
          <w:rFonts w:ascii="Times New Roman" w:hAnsi="Times New Roman"/>
          <w:b w:val="0"/>
          <w:szCs w:val="24"/>
        </w:rPr>
        <w:t>gyvendinimo sudarė:</w:t>
      </w:r>
    </w:p>
    <w:p w14:paraId="1D87F5E7" w14:textId="2C7012B8" w:rsidR="00422357" w:rsidRPr="000C4855" w:rsidRDefault="00422357" w:rsidP="009B0EE1">
      <w:pPr>
        <w:spacing w:line="276" w:lineRule="auto"/>
        <w:ind w:left="-284"/>
        <w:jc w:val="both"/>
        <w:rPr>
          <w:rFonts w:ascii="Times New Roman" w:hAnsi="Times New Roman"/>
          <w:szCs w:val="24"/>
        </w:rPr>
      </w:pPr>
      <w:r w:rsidRPr="000C4855">
        <w:rPr>
          <w:rFonts w:ascii="Times New Roman" w:hAnsi="Times New Roman"/>
          <w:szCs w:val="24"/>
        </w:rPr>
        <w:t>uždaroji akcinė bendrovė „</w:t>
      </w:r>
      <w:r w:rsidR="007B732F" w:rsidRPr="000C4855">
        <w:rPr>
          <w:rFonts w:ascii="Times New Roman" w:hAnsi="Times New Roman"/>
          <w:szCs w:val="24"/>
        </w:rPr>
        <w:t>INVESTICIJŲ IR VERSLO GARANTIJOS</w:t>
      </w:r>
      <w:r w:rsidRPr="000C4855">
        <w:rPr>
          <w:rFonts w:ascii="Times New Roman" w:hAnsi="Times New Roman"/>
          <w:szCs w:val="24"/>
        </w:rPr>
        <w:t>“,</w:t>
      </w:r>
    </w:p>
    <w:p w14:paraId="3C5D0F08" w14:textId="77777777" w:rsidR="005A1FE4" w:rsidRPr="000C4855" w:rsidRDefault="005A1FE4" w:rsidP="005A1FE4">
      <w:pPr>
        <w:spacing w:line="276" w:lineRule="auto"/>
        <w:ind w:left="-284"/>
        <w:jc w:val="both"/>
        <w:rPr>
          <w:rFonts w:ascii="Times New Roman" w:hAnsi="Times New Roman"/>
          <w:szCs w:val="24"/>
        </w:rPr>
      </w:pPr>
      <w:r w:rsidRPr="000C4855">
        <w:rPr>
          <w:rFonts w:ascii="Times New Roman" w:hAnsi="Times New Roman"/>
          <w:szCs w:val="24"/>
        </w:rPr>
        <w:t>juridinio asmens kodas 110084026,</w:t>
      </w:r>
    </w:p>
    <w:p w14:paraId="59167A33" w14:textId="77777777" w:rsidR="005A1FE4" w:rsidRPr="000C4855" w:rsidRDefault="005A1FE4" w:rsidP="005A1FE4">
      <w:pPr>
        <w:spacing w:line="276" w:lineRule="auto"/>
        <w:ind w:left="-284"/>
        <w:jc w:val="both"/>
        <w:rPr>
          <w:rFonts w:ascii="Times New Roman" w:hAnsi="Times New Roman"/>
          <w:szCs w:val="24"/>
        </w:rPr>
      </w:pPr>
      <w:r w:rsidRPr="000C4855">
        <w:rPr>
          <w:rFonts w:ascii="Times New Roman" w:hAnsi="Times New Roman"/>
          <w:szCs w:val="24"/>
        </w:rPr>
        <w:t>adresas Konstitucijos pr. 7, 09308 Vilnius</w:t>
      </w:r>
    </w:p>
    <w:p w14:paraId="03F16F78" w14:textId="5488A525" w:rsidR="00422357" w:rsidRPr="000C4855" w:rsidRDefault="00422357" w:rsidP="009B0EE1">
      <w:pPr>
        <w:spacing w:line="276" w:lineRule="auto"/>
        <w:ind w:left="-284"/>
        <w:jc w:val="both"/>
        <w:rPr>
          <w:rFonts w:ascii="Times New Roman" w:hAnsi="Times New Roman"/>
          <w:szCs w:val="24"/>
        </w:rPr>
      </w:pPr>
      <w:r w:rsidRPr="000C4855">
        <w:rPr>
          <w:rFonts w:ascii="Times New Roman" w:hAnsi="Times New Roman"/>
          <w:szCs w:val="24"/>
        </w:rPr>
        <w:t>atstovaujama generalinio direktoriaus</w:t>
      </w:r>
      <w:r w:rsidR="00345299" w:rsidRPr="000C4855">
        <w:rPr>
          <w:rFonts w:ascii="Times New Roman" w:hAnsi="Times New Roman"/>
          <w:szCs w:val="24"/>
        </w:rPr>
        <w:t xml:space="preserve"> </w:t>
      </w:r>
      <w:r w:rsidR="00D25E35" w:rsidRPr="000C4855">
        <w:rPr>
          <w:rFonts w:ascii="Times New Roman" w:hAnsi="Times New Roman"/>
          <w:szCs w:val="24"/>
        </w:rPr>
        <w:t>Kęstučio Motiejūno</w:t>
      </w:r>
      <w:r w:rsidRPr="000C4855">
        <w:rPr>
          <w:rFonts w:ascii="Times New Roman" w:hAnsi="Times New Roman"/>
          <w:szCs w:val="24"/>
        </w:rPr>
        <w:t>,</w:t>
      </w:r>
    </w:p>
    <w:p w14:paraId="604E0C2F" w14:textId="39C37685" w:rsidR="00422357" w:rsidRPr="000C4855" w:rsidRDefault="00422357" w:rsidP="009B0EE1">
      <w:pPr>
        <w:spacing w:line="276" w:lineRule="auto"/>
        <w:ind w:left="-284"/>
        <w:jc w:val="both"/>
        <w:rPr>
          <w:rFonts w:ascii="Times New Roman" w:hAnsi="Times New Roman"/>
          <w:szCs w:val="24"/>
        </w:rPr>
      </w:pPr>
      <w:r w:rsidRPr="000C4855">
        <w:rPr>
          <w:rFonts w:ascii="Times New Roman" w:hAnsi="Times New Roman"/>
          <w:szCs w:val="24"/>
        </w:rPr>
        <w:t xml:space="preserve">pagal savo kompetenciją veikianti kaip </w:t>
      </w:r>
      <w:r w:rsidR="00F578D2" w:rsidRPr="000C4855">
        <w:rPr>
          <w:rFonts w:ascii="Times New Roman" w:hAnsi="Times New Roman"/>
          <w:szCs w:val="24"/>
        </w:rPr>
        <w:t>INVEGOS</w:t>
      </w:r>
      <w:r w:rsidR="007F5CBE" w:rsidRPr="000C4855">
        <w:rPr>
          <w:rFonts w:ascii="Times New Roman" w:hAnsi="Times New Roman"/>
          <w:szCs w:val="24"/>
        </w:rPr>
        <w:t xml:space="preserve"> f</w:t>
      </w:r>
      <w:r w:rsidR="00936B60" w:rsidRPr="000C4855">
        <w:rPr>
          <w:rFonts w:ascii="Times New Roman" w:hAnsi="Times New Roman"/>
          <w:szCs w:val="24"/>
        </w:rPr>
        <w:t>ondo valdytoja</w:t>
      </w:r>
      <w:r w:rsidRPr="000C4855">
        <w:rPr>
          <w:rFonts w:ascii="Times New Roman" w:hAnsi="Times New Roman"/>
          <w:szCs w:val="24"/>
        </w:rPr>
        <w:t>,</w:t>
      </w:r>
    </w:p>
    <w:p w14:paraId="7365A153" w14:textId="78BEAC38" w:rsidR="00C41D8E" w:rsidRPr="000C4855" w:rsidRDefault="00422357" w:rsidP="009B0EE1">
      <w:pPr>
        <w:spacing w:line="276" w:lineRule="auto"/>
        <w:ind w:left="-284"/>
        <w:jc w:val="both"/>
        <w:rPr>
          <w:rFonts w:ascii="Times New Roman" w:hAnsi="Times New Roman"/>
          <w:szCs w:val="24"/>
        </w:rPr>
      </w:pPr>
      <w:r w:rsidRPr="000C4855">
        <w:rPr>
          <w:rFonts w:ascii="Times New Roman" w:hAnsi="Times New Roman"/>
          <w:szCs w:val="24"/>
        </w:rPr>
        <w:t xml:space="preserve">(toliau – </w:t>
      </w:r>
      <w:r w:rsidR="00C564F6" w:rsidRPr="000C4855">
        <w:rPr>
          <w:rFonts w:ascii="Times New Roman" w:hAnsi="Times New Roman"/>
          <w:szCs w:val="24"/>
        </w:rPr>
        <w:t>„Invega“</w:t>
      </w:r>
      <w:r w:rsidRPr="000C4855">
        <w:rPr>
          <w:rFonts w:ascii="Times New Roman" w:hAnsi="Times New Roman"/>
          <w:szCs w:val="24"/>
        </w:rPr>
        <w:t>)</w:t>
      </w:r>
    </w:p>
    <w:p w14:paraId="17CF3D6A" w14:textId="77777777" w:rsidR="00251378" w:rsidRPr="000C4855" w:rsidRDefault="00251378" w:rsidP="009B0EE1">
      <w:pPr>
        <w:spacing w:line="276" w:lineRule="auto"/>
        <w:ind w:left="-284"/>
        <w:jc w:val="both"/>
        <w:rPr>
          <w:rStyle w:val="Strong"/>
          <w:rFonts w:ascii="Times New Roman" w:hAnsi="Times New Roman"/>
          <w:caps/>
          <w:szCs w:val="24"/>
        </w:rPr>
      </w:pPr>
    </w:p>
    <w:p w14:paraId="1CEAD036" w14:textId="77777777" w:rsidR="00441897" w:rsidRPr="000C4855" w:rsidRDefault="003127BB" w:rsidP="009B0EE1">
      <w:pPr>
        <w:spacing w:line="276" w:lineRule="auto"/>
        <w:ind w:left="-284"/>
        <w:jc w:val="both"/>
        <w:rPr>
          <w:rFonts w:ascii="Times New Roman" w:hAnsi="Times New Roman"/>
          <w:szCs w:val="24"/>
        </w:rPr>
      </w:pPr>
      <w:r w:rsidRPr="000C4855">
        <w:rPr>
          <w:rFonts w:ascii="Times New Roman" w:hAnsi="Times New Roman"/>
          <w:szCs w:val="24"/>
        </w:rPr>
        <w:t>i</w:t>
      </w:r>
      <w:r w:rsidR="00422357" w:rsidRPr="000C4855">
        <w:rPr>
          <w:rFonts w:ascii="Times New Roman" w:hAnsi="Times New Roman"/>
          <w:szCs w:val="24"/>
        </w:rPr>
        <w:t>r</w:t>
      </w:r>
    </w:p>
    <w:p w14:paraId="7E6D5E29" w14:textId="2254C11E" w:rsidR="00842023" w:rsidRPr="00C33AC8" w:rsidRDefault="00842023" w:rsidP="009B0EE1">
      <w:pPr>
        <w:spacing w:line="276" w:lineRule="auto"/>
        <w:ind w:left="-284"/>
        <w:jc w:val="both"/>
        <w:rPr>
          <w:rFonts w:ascii="Times New Roman" w:hAnsi="Times New Roman"/>
          <w:szCs w:val="24"/>
          <w:highlight w:val="yellow"/>
        </w:rPr>
      </w:pPr>
    </w:p>
    <w:p w14:paraId="4C4BDB64" w14:textId="5CCA2BD9" w:rsidR="00345299" w:rsidRPr="00C33AC8" w:rsidRDefault="00345299" w:rsidP="009B0EE1">
      <w:pPr>
        <w:spacing w:line="276" w:lineRule="auto"/>
        <w:ind w:left="-284"/>
        <w:jc w:val="both"/>
        <w:rPr>
          <w:rFonts w:ascii="Times New Roman" w:hAnsi="Times New Roman"/>
          <w:szCs w:val="24"/>
          <w:highlight w:val="yellow"/>
        </w:rPr>
      </w:pPr>
    </w:p>
    <w:p w14:paraId="60157E0C" w14:textId="77777777" w:rsidR="00345299" w:rsidRPr="00C33AC8" w:rsidRDefault="00345299" w:rsidP="009B0EE1">
      <w:pPr>
        <w:spacing w:line="276" w:lineRule="auto"/>
        <w:ind w:left="-284"/>
        <w:jc w:val="both"/>
        <w:rPr>
          <w:rFonts w:ascii="Times New Roman" w:hAnsi="Times New Roman"/>
          <w:szCs w:val="24"/>
          <w:highlight w:val="yellow"/>
        </w:rPr>
      </w:pPr>
    </w:p>
    <w:p w14:paraId="288150E0" w14:textId="77777777" w:rsidR="006E099B" w:rsidRPr="000C4855" w:rsidRDefault="006E099B" w:rsidP="009B0EE1">
      <w:pPr>
        <w:spacing w:line="276" w:lineRule="auto"/>
        <w:ind w:left="-284"/>
        <w:jc w:val="both"/>
        <w:rPr>
          <w:rFonts w:ascii="Times New Roman" w:hAnsi="Times New Roman"/>
          <w:szCs w:val="24"/>
        </w:rPr>
      </w:pPr>
    </w:p>
    <w:p w14:paraId="040864F7" w14:textId="77777777" w:rsidR="006E099B" w:rsidRPr="000C4855" w:rsidRDefault="006E099B" w:rsidP="009B0EE1">
      <w:pPr>
        <w:spacing w:line="276" w:lineRule="auto"/>
        <w:ind w:left="-284"/>
        <w:jc w:val="both"/>
        <w:rPr>
          <w:rFonts w:ascii="Times New Roman" w:hAnsi="Times New Roman"/>
          <w:szCs w:val="24"/>
        </w:rPr>
      </w:pPr>
    </w:p>
    <w:p w14:paraId="017482F6" w14:textId="77777777" w:rsidR="00842023" w:rsidRPr="000C4855" w:rsidRDefault="00842023" w:rsidP="009B0EE1">
      <w:pPr>
        <w:spacing w:line="276" w:lineRule="auto"/>
        <w:ind w:left="-284"/>
        <w:jc w:val="both"/>
        <w:rPr>
          <w:rFonts w:ascii="Times New Roman" w:hAnsi="Times New Roman"/>
          <w:szCs w:val="24"/>
        </w:rPr>
      </w:pPr>
    </w:p>
    <w:p w14:paraId="6DD0D93A" w14:textId="77777777" w:rsidR="00842023" w:rsidRPr="000C4855" w:rsidRDefault="00842023" w:rsidP="009B0EE1">
      <w:pPr>
        <w:spacing w:line="276" w:lineRule="auto"/>
        <w:ind w:left="-284"/>
        <w:jc w:val="both"/>
        <w:rPr>
          <w:rFonts w:ascii="Times New Roman" w:hAnsi="Times New Roman"/>
          <w:szCs w:val="24"/>
        </w:rPr>
      </w:pPr>
    </w:p>
    <w:p w14:paraId="002A7951" w14:textId="77777777" w:rsidR="00E42816" w:rsidRPr="000C4855" w:rsidRDefault="00E42816" w:rsidP="009B0EE1">
      <w:pPr>
        <w:spacing w:line="276" w:lineRule="auto"/>
        <w:ind w:left="-284"/>
        <w:jc w:val="both"/>
        <w:rPr>
          <w:rFonts w:ascii="Times New Roman" w:hAnsi="Times New Roman"/>
          <w:szCs w:val="24"/>
        </w:rPr>
      </w:pPr>
    </w:p>
    <w:p w14:paraId="787CBF03" w14:textId="41BFDBEA" w:rsidR="00842023" w:rsidRPr="000C4855" w:rsidRDefault="00E859D8" w:rsidP="009B0EE1">
      <w:pPr>
        <w:tabs>
          <w:tab w:val="left" w:pos="993"/>
        </w:tabs>
        <w:spacing w:line="276" w:lineRule="auto"/>
        <w:ind w:left="-284"/>
        <w:jc w:val="both"/>
        <w:rPr>
          <w:rFonts w:ascii="Times New Roman" w:hAnsi="Times New Roman"/>
          <w:szCs w:val="24"/>
        </w:rPr>
      </w:pPr>
      <w:r w:rsidRPr="000C4855">
        <w:rPr>
          <w:rFonts w:ascii="Times New Roman" w:hAnsi="Times New Roman"/>
          <w:szCs w:val="24"/>
        </w:rPr>
        <w:t>(toliau kiekviena atskira</w:t>
      </w:r>
      <w:r w:rsidR="00C74948" w:rsidRPr="000C4855">
        <w:rPr>
          <w:rFonts w:ascii="Times New Roman" w:hAnsi="Times New Roman"/>
          <w:szCs w:val="24"/>
        </w:rPr>
        <w:t>i – Š</w:t>
      </w:r>
      <w:r w:rsidR="00842023" w:rsidRPr="000C4855">
        <w:rPr>
          <w:rFonts w:ascii="Times New Roman" w:hAnsi="Times New Roman"/>
          <w:szCs w:val="24"/>
        </w:rPr>
        <w:t xml:space="preserve">alis, o </w:t>
      </w:r>
      <w:r w:rsidR="001340F9" w:rsidRPr="000C4855">
        <w:rPr>
          <w:rFonts w:ascii="Times New Roman" w:hAnsi="Times New Roman"/>
          <w:szCs w:val="24"/>
        </w:rPr>
        <w:t xml:space="preserve">visos </w:t>
      </w:r>
      <w:r w:rsidR="00842023" w:rsidRPr="000C4855">
        <w:rPr>
          <w:rFonts w:ascii="Times New Roman" w:hAnsi="Times New Roman"/>
          <w:szCs w:val="24"/>
        </w:rPr>
        <w:t>kartu – Šalys)</w:t>
      </w:r>
    </w:p>
    <w:p w14:paraId="64B8C4D5" w14:textId="77777777" w:rsidR="00E859D8" w:rsidRPr="00C33AC8" w:rsidRDefault="00842023" w:rsidP="009B0EE1">
      <w:pPr>
        <w:tabs>
          <w:tab w:val="left" w:pos="284"/>
        </w:tabs>
        <w:spacing w:line="276" w:lineRule="auto"/>
        <w:ind w:left="-851" w:firstLine="851"/>
        <w:jc w:val="center"/>
        <w:rPr>
          <w:rFonts w:ascii="Times New Roman" w:hAnsi="Times New Roman"/>
          <w:b/>
          <w:szCs w:val="24"/>
          <w:highlight w:val="yellow"/>
        </w:rPr>
      </w:pPr>
      <w:r w:rsidRPr="00C33AC8">
        <w:rPr>
          <w:rFonts w:ascii="Times New Roman" w:hAnsi="Times New Roman"/>
          <w:szCs w:val="24"/>
          <w:highlight w:val="yellow"/>
        </w:rPr>
        <w:br w:type="page"/>
      </w:r>
      <w:r w:rsidRPr="003212B6">
        <w:rPr>
          <w:rFonts w:ascii="Times New Roman" w:hAnsi="Times New Roman"/>
          <w:b/>
          <w:szCs w:val="24"/>
        </w:rPr>
        <w:lastRenderedPageBreak/>
        <w:t>PREAMBULĖ</w:t>
      </w:r>
    </w:p>
    <w:p w14:paraId="79AE0F99" w14:textId="77777777" w:rsidR="007137B1" w:rsidRPr="005F3241" w:rsidRDefault="007137B1" w:rsidP="009B0EE1">
      <w:pPr>
        <w:tabs>
          <w:tab w:val="left" w:pos="284"/>
        </w:tabs>
        <w:spacing w:line="276" w:lineRule="auto"/>
        <w:ind w:left="-851" w:firstLine="851"/>
        <w:jc w:val="both"/>
        <w:rPr>
          <w:rFonts w:ascii="Times New Roman" w:hAnsi="Times New Roman"/>
          <w:szCs w:val="24"/>
        </w:rPr>
      </w:pPr>
    </w:p>
    <w:p w14:paraId="1F641970" w14:textId="7E6CA0D6" w:rsidR="00842023" w:rsidRPr="00407616" w:rsidRDefault="00A9613B" w:rsidP="009B0EE1">
      <w:pPr>
        <w:tabs>
          <w:tab w:val="left" w:pos="284"/>
        </w:tabs>
        <w:spacing w:line="276" w:lineRule="auto"/>
        <w:ind w:left="-851" w:firstLine="851"/>
        <w:jc w:val="both"/>
        <w:rPr>
          <w:rFonts w:ascii="Times New Roman" w:hAnsi="Times New Roman"/>
          <w:szCs w:val="24"/>
        </w:rPr>
      </w:pPr>
      <w:r w:rsidRPr="00407616">
        <w:rPr>
          <w:rFonts w:ascii="Times New Roman" w:hAnsi="Times New Roman"/>
          <w:szCs w:val="24"/>
        </w:rPr>
        <w:t>Vadovaujantis</w:t>
      </w:r>
      <w:r w:rsidR="00842023" w:rsidRPr="00407616">
        <w:rPr>
          <w:rFonts w:ascii="Times New Roman" w:hAnsi="Times New Roman"/>
          <w:szCs w:val="24"/>
        </w:rPr>
        <w:t>:</w:t>
      </w:r>
    </w:p>
    <w:p w14:paraId="56D34230" w14:textId="77777777" w:rsidR="00764B6F" w:rsidRPr="00B060E4" w:rsidRDefault="00764B6F" w:rsidP="009B0EE1">
      <w:pPr>
        <w:numPr>
          <w:ilvl w:val="0"/>
          <w:numId w:val="2"/>
        </w:numPr>
        <w:tabs>
          <w:tab w:val="left" w:pos="284"/>
        </w:tabs>
        <w:overflowPunct/>
        <w:autoSpaceDE/>
        <w:autoSpaceDN/>
        <w:adjustRightInd/>
        <w:spacing w:line="276" w:lineRule="auto"/>
        <w:ind w:left="-851" w:firstLine="851"/>
        <w:jc w:val="both"/>
        <w:textAlignment w:val="auto"/>
        <w:rPr>
          <w:rFonts w:ascii="Times New Roman" w:hAnsi="Times New Roman"/>
          <w:bCs/>
          <w:szCs w:val="24"/>
          <w:shd w:val="clear" w:color="auto" w:fill="FFFFFF"/>
        </w:rPr>
      </w:pPr>
      <w:r w:rsidRPr="00407616">
        <w:rPr>
          <w:rFonts w:ascii="Times New Roman" w:hAnsi="Times New Roman"/>
          <w:bCs/>
          <w:szCs w:val="24"/>
          <w:shd w:val="clear" w:color="auto" w:fill="FFFFFF"/>
        </w:rPr>
        <w:t>2013 m. gruodžio 18 d. Komisijos reglamentu (ES) Nr.</w:t>
      </w:r>
      <w:r w:rsidRPr="00407616">
        <w:rPr>
          <w:rFonts w:ascii="Times New Roman" w:hAnsi="Times New Roman"/>
          <w:szCs w:val="24"/>
        </w:rPr>
        <w:t xml:space="preserve"> </w:t>
      </w:r>
      <w:r w:rsidRPr="00407616">
        <w:rPr>
          <w:rFonts w:ascii="Times New Roman" w:hAnsi="Times New Roman"/>
          <w:bCs/>
          <w:szCs w:val="24"/>
          <w:shd w:val="clear" w:color="auto" w:fill="FFFFFF"/>
        </w:rPr>
        <w:t xml:space="preserve">1407/2013 dėl Sutarties dėl Europos Sąjungos veikimo 107 ir 108 straipsnių taikymo </w:t>
      </w:r>
      <w:r w:rsidRPr="00407616">
        <w:rPr>
          <w:rFonts w:ascii="Times New Roman" w:hAnsi="Times New Roman"/>
          <w:bCs/>
          <w:i/>
          <w:szCs w:val="24"/>
          <w:shd w:val="clear" w:color="auto" w:fill="FFFFFF"/>
        </w:rPr>
        <w:t>de minimis</w:t>
      </w:r>
      <w:r w:rsidRPr="00407616">
        <w:rPr>
          <w:rFonts w:ascii="Times New Roman" w:hAnsi="Times New Roman"/>
          <w:bCs/>
          <w:szCs w:val="24"/>
          <w:shd w:val="clear" w:color="auto" w:fill="FFFFFF"/>
        </w:rPr>
        <w:t xml:space="preserve"> pagalbai (OL 2013, L 352, p. 1), (toliau – </w:t>
      </w:r>
      <w:r w:rsidRPr="00407616">
        <w:rPr>
          <w:rFonts w:ascii="Times New Roman" w:hAnsi="Times New Roman"/>
          <w:i/>
          <w:szCs w:val="24"/>
        </w:rPr>
        <w:t xml:space="preserve">De </w:t>
      </w:r>
      <w:r w:rsidRPr="00B060E4">
        <w:rPr>
          <w:rFonts w:ascii="Times New Roman" w:hAnsi="Times New Roman"/>
          <w:i/>
          <w:szCs w:val="24"/>
        </w:rPr>
        <w:t>minimis</w:t>
      </w:r>
      <w:r w:rsidRPr="00B060E4">
        <w:rPr>
          <w:rFonts w:ascii="Times New Roman" w:hAnsi="Times New Roman"/>
          <w:szCs w:val="24"/>
        </w:rPr>
        <w:t xml:space="preserve"> reglamentas);</w:t>
      </w:r>
    </w:p>
    <w:p w14:paraId="04130593" w14:textId="78688451" w:rsidR="00F578D2" w:rsidRPr="00A02934" w:rsidRDefault="00F578D2" w:rsidP="009B0EE1">
      <w:pPr>
        <w:numPr>
          <w:ilvl w:val="0"/>
          <w:numId w:val="2"/>
        </w:numPr>
        <w:tabs>
          <w:tab w:val="left" w:pos="284"/>
          <w:tab w:val="left" w:pos="567"/>
          <w:tab w:val="left" w:pos="1560"/>
        </w:tabs>
        <w:overflowPunct/>
        <w:autoSpaceDE/>
        <w:autoSpaceDN/>
        <w:adjustRightInd/>
        <w:spacing w:line="276" w:lineRule="auto"/>
        <w:ind w:left="-851" w:firstLine="851"/>
        <w:jc w:val="both"/>
        <w:textAlignment w:val="auto"/>
        <w:rPr>
          <w:rFonts w:ascii="Times New Roman" w:hAnsi="Times New Roman"/>
          <w:szCs w:val="24"/>
        </w:rPr>
      </w:pPr>
      <w:r w:rsidRPr="00A02934">
        <w:rPr>
          <w:rFonts w:ascii="Times New Roman" w:hAnsi="Times New Roman"/>
          <w:szCs w:val="24"/>
        </w:rPr>
        <w:t>Lietuvos Respublikos smulkiojo ir vidutinio verslo pl</w:t>
      </w:r>
      <w:r w:rsidRPr="00A02934">
        <w:rPr>
          <w:rFonts w:ascii="Times New Roman" w:hAnsi="Times New Roman" w:hint="eastAsia"/>
          <w:szCs w:val="24"/>
        </w:rPr>
        <w:t>ė</w:t>
      </w:r>
      <w:r w:rsidRPr="00A02934">
        <w:rPr>
          <w:rFonts w:ascii="Times New Roman" w:hAnsi="Times New Roman"/>
          <w:szCs w:val="24"/>
        </w:rPr>
        <w:t xml:space="preserve">tros </w:t>
      </w:r>
      <w:r w:rsidR="00C50E9D" w:rsidRPr="00A02934">
        <w:rPr>
          <w:rFonts w:ascii="Times New Roman" w:hAnsi="Times New Roman" w:hint="eastAsia"/>
          <w:szCs w:val="24"/>
        </w:rPr>
        <w:t>į</w:t>
      </w:r>
      <w:r w:rsidR="00C50E9D" w:rsidRPr="00A02934">
        <w:rPr>
          <w:rFonts w:ascii="Times New Roman" w:hAnsi="Times New Roman"/>
          <w:szCs w:val="24"/>
        </w:rPr>
        <w:t xml:space="preserve">statymu </w:t>
      </w:r>
      <w:r w:rsidRPr="00A02934">
        <w:rPr>
          <w:rFonts w:ascii="Times New Roman" w:hAnsi="Times New Roman"/>
          <w:szCs w:val="24"/>
        </w:rPr>
        <w:t xml:space="preserve">(toliau – SVV </w:t>
      </w:r>
      <w:r w:rsidRPr="00A02934">
        <w:rPr>
          <w:rFonts w:ascii="Times New Roman" w:hAnsi="Times New Roman" w:hint="eastAsia"/>
          <w:szCs w:val="24"/>
        </w:rPr>
        <w:t>į</w:t>
      </w:r>
      <w:r w:rsidRPr="00A02934">
        <w:rPr>
          <w:rFonts w:ascii="Times New Roman" w:hAnsi="Times New Roman"/>
          <w:szCs w:val="24"/>
        </w:rPr>
        <w:t>statymas);</w:t>
      </w:r>
    </w:p>
    <w:p w14:paraId="68C99757" w14:textId="5A30B8F2" w:rsidR="00F578D2" w:rsidRPr="00A02934" w:rsidRDefault="00F578D2" w:rsidP="009B0EE1">
      <w:pPr>
        <w:numPr>
          <w:ilvl w:val="0"/>
          <w:numId w:val="2"/>
        </w:numPr>
        <w:tabs>
          <w:tab w:val="left" w:pos="284"/>
          <w:tab w:val="left" w:pos="567"/>
          <w:tab w:val="left" w:pos="1560"/>
        </w:tabs>
        <w:overflowPunct/>
        <w:autoSpaceDE/>
        <w:autoSpaceDN/>
        <w:adjustRightInd/>
        <w:spacing w:line="276" w:lineRule="auto"/>
        <w:ind w:left="-851" w:firstLine="851"/>
        <w:jc w:val="both"/>
        <w:textAlignment w:val="auto"/>
        <w:rPr>
          <w:rFonts w:ascii="Times New Roman" w:hAnsi="Times New Roman"/>
          <w:szCs w:val="24"/>
        </w:rPr>
      </w:pPr>
      <w:r w:rsidRPr="00A02934">
        <w:rPr>
          <w:rFonts w:ascii="Times New Roman" w:hAnsi="Times New Roman"/>
          <w:szCs w:val="24"/>
        </w:rPr>
        <w:t>Lietuvos Respublikos valstyb</w:t>
      </w:r>
      <w:r w:rsidRPr="00A02934">
        <w:rPr>
          <w:rFonts w:ascii="Times New Roman" w:hAnsi="Times New Roman" w:hint="eastAsia"/>
          <w:szCs w:val="24"/>
        </w:rPr>
        <w:t>ė</w:t>
      </w:r>
      <w:r w:rsidRPr="00A02934">
        <w:rPr>
          <w:rFonts w:ascii="Times New Roman" w:hAnsi="Times New Roman"/>
          <w:szCs w:val="24"/>
        </w:rPr>
        <w:t xml:space="preserve">s skolos </w:t>
      </w:r>
      <w:r w:rsidRPr="00A02934">
        <w:rPr>
          <w:rFonts w:ascii="Times New Roman" w:hAnsi="Times New Roman" w:hint="eastAsia"/>
          <w:szCs w:val="24"/>
        </w:rPr>
        <w:t>į</w:t>
      </w:r>
      <w:r w:rsidRPr="00A02934">
        <w:rPr>
          <w:rFonts w:ascii="Times New Roman" w:hAnsi="Times New Roman"/>
          <w:szCs w:val="24"/>
        </w:rPr>
        <w:t>statym</w:t>
      </w:r>
      <w:r w:rsidR="00C50E9D" w:rsidRPr="00A02934">
        <w:rPr>
          <w:rFonts w:ascii="Times New Roman" w:hAnsi="Times New Roman"/>
          <w:szCs w:val="24"/>
        </w:rPr>
        <w:t>u</w:t>
      </w:r>
      <w:r w:rsidRPr="00A02934">
        <w:rPr>
          <w:rFonts w:ascii="Times New Roman" w:hAnsi="Times New Roman"/>
          <w:szCs w:val="24"/>
        </w:rPr>
        <w:t>;</w:t>
      </w:r>
    </w:p>
    <w:p w14:paraId="523061BA" w14:textId="6F1B742E" w:rsidR="00A67BFD" w:rsidRDefault="00A67BFD" w:rsidP="009B0EE1">
      <w:pPr>
        <w:numPr>
          <w:ilvl w:val="0"/>
          <w:numId w:val="2"/>
        </w:numPr>
        <w:tabs>
          <w:tab w:val="left" w:pos="284"/>
          <w:tab w:val="left" w:pos="567"/>
          <w:tab w:val="left" w:pos="1560"/>
        </w:tabs>
        <w:overflowPunct/>
        <w:autoSpaceDE/>
        <w:autoSpaceDN/>
        <w:adjustRightInd/>
        <w:spacing w:line="276" w:lineRule="auto"/>
        <w:ind w:left="-851" w:firstLine="851"/>
        <w:jc w:val="both"/>
        <w:textAlignment w:val="auto"/>
        <w:rPr>
          <w:rFonts w:ascii="Times New Roman" w:hAnsi="Times New Roman"/>
          <w:szCs w:val="24"/>
        </w:rPr>
      </w:pPr>
      <w:r w:rsidRPr="00A67BFD">
        <w:rPr>
          <w:rFonts w:ascii="Times New Roman" w:hAnsi="Times New Roman"/>
          <w:szCs w:val="24"/>
        </w:rPr>
        <w:t>Lietuvos Respublikos nacionalinių plėtros įstaigų įstatym</w:t>
      </w:r>
      <w:r>
        <w:rPr>
          <w:rFonts w:ascii="Times New Roman" w:hAnsi="Times New Roman"/>
          <w:szCs w:val="24"/>
        </w:rPr>
        <w:t>u;</w:t>
      </w:r>
    </w:p>
    <w:p w14:paraId="6CCE5669" w14:textId="23880842" w:rsidR="00A67BFD" w:rsidRDefault="00A67BFD" w:rsidP="009B0EE1">
      <w:pPr>
        <w:numPr>
          <w:ilvl w:val="0"/>
          <w:numId w:val="2"/>
        </w:numPr>
        <w:tabs>
          <w:tab w:val="left" w:pos="284"/>
          <w:tab w:val="left" w:pos="567"/>
          <w:tab w:val="left" w:pos="1560"/>
        </w:tabs>
        <w:overflowPunct/>
        <w:autoSpaceDE/>
        <w:autoSpaceDN/>
        <w:adjustRightInd/>
        <w:spacing w:line="276" w:lineRule="auto"/>
        <w:ind w:left="-851" w:firstLine="851"/>
        <w:jc w:val="both"/>
        <w:textAlignment w:val="auto"/>
        <w:rPr>
          <w:rFonts w:ascii="Times New Roman" w:hAnsi="Times New Roman"/>
          <w:szCs w:val="24"/>
        </w:rPr>
      </w:pPr>
      <w:r w:rsidRPr="00A67BFD">
        <w:rPr>
          <w:rFonts w:ascii="Times New Roman" w:hAnsi="Times New Roman"/>
          <w:szCs w:val="24"/>
        </w:rPr>
        <w:t>Lietuvos Respublikos civilini</w:t>
      </w:r>
      <w:r>
        <w:rPr>
          <w:rFonts w:ascii="Times New Roman" w:hAnsi="Times New Roman"/>
          <w:szCs w:val="24"/>
        </w:rPr>
        <w:t>u</w:t>
      </w:r>
      <w:r w:rsidRPr="00A67BFD">
        <w:rPr>
          <w:rFonts w:ascii="Times New Roman" w:hAnsi="Times New Roman"/>
          <w:szCs w:val="24"/>
        </w:rPr>
        <w:t xml:space="preserve"> kodeks</w:t>
      </w:r>
      <w:r>
        <w:rPr>
          <w:rFonts w:ascii="Times New Roman" w:hAnsi="Times New Roman"/>
          <w:szCs w:val="24"/>
        </w:rPr>
        <w:t>u</w:t>
      </w:r>
      <w:r w:rsidRPr="00A67BFD">
        <w:rPr>
          <w:rFonts w:ascii="Times New Roman" w:hAnsi="Times New Roman"/>
          <w:szCs w:val="24"/>
        </w:rPr>
        <w:t>;</w:t>
      </w:r>
    </w:p>
    <w:p w14:paraId="18BFD4A0" w14:textId="2DE95E2B" w:rsidR="00F578D2" w:rsidRPr="00427626" w:rsidRDefault="00F578D2" w:rsidP="009B0EE1">
      <w:pPr>
        <w:numPr>
          <w:ilvl w:val="0"/>
          <w:numId w:val="2"/>
        </w:numPr>
        <w:tabs>
          <w:tab w:val="left" w:pos="284"/>
          <w:tab w:val="left" w:pos="567"/>
          <w:tab w:val="left" w:pos="1560"/>
        </w:tabs>
        <w:overflowPunct/>
        <w:autoSpaceDE/>
        <w:autoSpaceDN/>
        <w:adjustRightInd/>
        <w:spacing w:line="276" w:lineRule="auto"/>
        <w:ind w:left="-851" w:firstLine="851"/>
        <w:jc w:val="both"/>
        <w:textAlignment w:val="auto"/>
        <w:rPr>
          <w:rFonts w:ascii="Times New Roman" w:hAnsi="Times New Roman"/>
          <w:szCs w:val="24"/>
        </w:rPr>
      </w:pPr>
      <w:r w:rsidRPr="00A02934">
        <w:rPr>
          <w:rFonts w:ascii="Times New Roman" w:hAnsi="Times New Roman"/>
          <w:szCs w:val="24"/>
        </w:rPr>
        <w:t>Lietuvos Respublikos Vyriausyb</w:t>
      </w:r>
      <w:r w:rsidRPr="00A02934">
        <w:rPr>
          <w:rFonts w:ascii="Times New Roman" w:hAnsi="Times New Roman" w:hint="eastAsia"/>
          <w:szCs w:val="24"/>
        </w:rPr>
        <w:t>ė</w:t>
      </w:r>
      <w:r w:rsidRPr="00A02934">
        <w:rPr>
          <w:rFonts w:ascii="Times New Roman" w:hAnsi="Times New Roman"/>
          <w:szCs w:val="24"/>
        </w:rPr>
        <w:t>s 2013 m. rugpj</w:t>
      </w:r>
      <w:r w:rsidRPr="00A02934">
        <w:rPr>
          <w:rFonts w:ascii="Times New Roman" w:hAnsi="Times New Roman" w:hint="eastAsia"/>
          <w:szCs w:val="24"/>
        </w:rPr>
        <w:t>ūč</w:t>
      </w:r>
      <w:r w:rsidRPr="00A02934">
        <w:rPr>
          <w:rFonts w:ascii="Times New Roman" w:hAnsi="Times New Roman"/>
          <w:szCs w:val="24"/>
        </w:rPr>
        <w:t>io 28 d. nutarim</w:t>
      </w:r>
      <w:r w:rsidR="00C50E9D" w:rsidRPr="00A02934">
        <w:rPr>
          <w:rFonts w:ascii="Times New Roman" w:hAnsi="Times New Roman"/>
          <w:szCs w:val="24"/>
        </w:rPr>
        <w:t>u</w:t>
      </w:r>
      <w:r w:rsidRPr="00A02934">
        <w:rPr>
          <w:rFonts w:ascii="Times New Roman" w:hAnsi="Times New Roman"/>
          <w:szCs w:val="24"/>
        </w:rPr>
        <w:t xml:space="preserve"> Nr. 791 „D</w:t>
      </w:r>
      <w:r w:rsidRPr="00A02934">
        <w:rPr>
          <w:rFonts w:ascii="Times New Roman" w:hAnsi="Times New Roman" w:hint="eastAsia"/>
          <w:szCs w:val="24"/>
        </w:rPr>
        <w:t>ė</w:t>
      </w:r>
      <w:r w:rsidRPr="00A02934">
        <w:rPr>
          <w:rFonts w:ascii="Times New Roman" w:hAnsi="Times New Roman"/>
          <w:szCs w:val="24"/>
        </w:rPr>
        <w:t xml:space="preserve">l </w:t>
      </w:r>
      <w:r w:rsidRPr="00DA7CEF">
        <w:rPr>
          <w:rFonts w:ascii="Times New Roman" w:hAnsi="Times New Roman" w:hint="eastAsia"/>
          <w:szCs w:val="24"/>
        </w:rPr>
        <w:t>į</w:t>
      </w:r>
      <w:r w:rsidRPr="00DA7CEF">
        <w:rPr>
          <w:rFonts w:ascii="Times New Roman" w:hAnsi="Times New Roman"/>
          <w:szCs w:val="24"/>
        </w:rPr>
        <w:t>gyvendinant finans</w:t>
      </w:r>
      <w:r w:rsidRPr="00DA7CEF">
        <w:rPr>
          <w:rFonts w:ascii="Times New Roman" w:hAnsi="Times New Roman" w:hint="eastAsia"/>
          <w:szCs w:val="24"/>
        </w:rPr>
        <w:t>ų</w:t>
      </w:r>
      <w:r w:rsidRPr="00DA7CEF">
        <w:rPr>
          <w:rFonts w:ascii="Times New Roman" w:hAnsi="Times New Roman"/>
          <w:szCs w:val="24"/>
        </w:rPr>
        <w:t xml:space="preserve"> inžinerijos priemon</w:t>
      </w:r>
      <w:r w:rsidR="00953B96" w:rsidRPr="00DA7CEF">
        <w:rPr>
          <w:rFonts w:ascii="Times New Roman" w:hAnsi="Times New Roman"/>
          <w:szCs w:val="24"/>
        </w:rPr>
        <w:t>e</w:t>
      </w:r>
      <w:r w:rsidRPr="00DA7CEF">
        <w:rPr>
          <w:rFonts w:ascii="Times New Roman" w:hAnsi="Times New Roman"/>
          <w:szCs w:val="24"/>
        </w:rPr>
        <w:t>s gr</w:t>
      </w:r>
      <w:r w:rsidRPr="00A95205">
        <w:rPr>
          <w:rFonts w:ascii="Times New Roman" w:hAnsi="Times New Roman" w:hint="eastAsia"/>
          <w:szCs w:val="24"/>
        </w:rPr>
        <w:t>įž</w:t>
      </w:r>
      <w:r w:rsidRPr="00A95205">
        <w:rPr>
          <w:rFonts w:ascii="Times New Roman" w:hAnsi="Times New Roman"/>
          <w:szCs w:val="24"/>
        </w:rPr>
        <w:t>usi</w:t>
      </w:r>
      <w:r w:rsidRPr="00A95205">
        <w:rPr>
          <w:rFonts w:ascii="Times New Roman" w:hAnsi="Times New Roman" w:hint="eastAsia"/>
          <w:szCs w:val="24"/>
        </w:rPr>
        <w:t>ų</w:t>
      </w:r>
      <w:r w:rsidRPr="00A95205">
        <w:rPr>
          <w:rFonts w:ascii="Times New Roman" w:hAnsi="Times New Roman"/>
          <w:szCs w:val="24"/>
        </w:rPr>
        <w:t xml:space="preserve"> ir gr</w:t>
      </w:r>
      <w:r w:rsidRPr="00A95205">
        <w:rPr>
          <w:rFonts w:ascii="Times New Roman" w:hAnsi="Times New Roman" w:hint="eastAsia"/>
          <w:szCs w:val="24"/>
        </w:rPr>
        <w:t>įš</w:t>
      </w:r>
      <w:r w:rsidRPr="00A95205">
        <w:rPr>
          <w:rFonts w:ascii="Times New Roman" w:hAnsi="Times New Roman"/>
          <w:szCs w:val="24"/>
        </w:rPr>
        <w:t>ian</w:t>
      </w:r>
      <w:r w:rsidRPr="00A95205">
        <w:rPr>
          <w:rFonts w:ascii="Times New Roman" w:hAnsi="Times New Roman" w:hint="eastAsia"/>
          <w:szCs w:val="24"/>
        </w:rPr>
        <w:t>č</w:t>
      </w:r>
      <w:r w:rsidRPr="00A95205">
        <w:rPr>
          <w:rFonts w:ascii="Times New Roman" w:hAnsi="Times New Roman"/>
          <w:szCs w:val="24"/>
        </w:rPr>
        <w:t>i</w:t>
      </w:r>
      <w:r w:rsidRPr="00A95205">
        <w:rPr>
          <w:rFonts w:ascii="Times New Roman" w:hAnsi="Times New Roman" w:hint="eastAsia"/>
          <w:szCs w:val="24"/>
        </w:rPr>
        <w:t>ų</w:t>
      </w:r>
      <w:r w:rsidRPr="00A95205">
        <w:rPr>
          <w:rFonts w:ascii="Times New Roman" w:hAnsi="Times New Roman"/>
          <w:szCs w:val="24"/>
        </w:rPr>
        <w:t xml:space="preserve"> l</w:t>
      </w:r>
      <w:r w:rsidRPr="00A95205">
        <w:rPr>
          <w:rFonts w:ascii="Times New Roman" w:hAnsi="Times New Roman" w:hint="eastAsia"/>
          <w:szCs w:val="24"/>
        </w:rPr>
        <w:t>ėšų</w:t>
      </w:r>
      <w:r w:rsidRPr="00A95205">
        <w:rPr>
          <w:rFonts w:ascii="Times New Roman" w:hAnsi="Times New Roman"/>
          <w:szCs w:val="24"/>
        </w:rPr>
        <w:t xml:space="preserve"> panaudojimo tvarkos aprašo patvirtinimo“;</w:t>
      </w:r>
    </w:p>
    <w:p w14:paraId="2673AE05" w14:textId="379B26CD" w:rsidR="00F578D2" w:rsidRPr="00A02934" w:rsidRDefault="00F578D2" w:rsidP="009B0EE1">
      <w:pPr>
        <w:numPr>
          <w:ilvl w:val="0"/>
          <w:numId w:val="2"/>
        </w:numPr>
        <w:tabs>
          <w:tab w:val="left" w:pos="284"/>
          <w:tab w:val="left" w:pos="567"/>
          <w:tab w:val="left" w:pos="1560"/>
        </w:tabs>
        <w:overflowPunct/>
        <w:autoSpaceDE/>
        <w:autoSpaceDN/>
        <w:adjustRightInd/>
        <w:spacing w:line="276" w:lineRule="auto"/>
        <w:ind w:left="-851" w:firstLine="851"/>
        <w:jc w:val="both"/>
        <w:textAlignment w:val="auto"/>
        <w:rPr>
          <w:rFonts w:ascii="Times New Roman" w:hAnsi="Times New Roman"/>
          <w:szCs w:val="24"/>
        </w:rPr>
      </w:pPr>
      <w:r w:rsidRPr="00A02934">
        <w:rPr>
          <w:rFonts w:ascii="Times New Roman" w:hAnsi="Times New Roman"/>
          <w:szCs w:val="24"/>
        </w:rPr>
        <w:t>Lietuvos Respublikos Vyriausyb</w:t>
      </w:r>
      <w:r w:rsidRPr="00A02934">
        <w:rPr>
          <w:rFonts w:ascii="Times New Roman" w:hAnsi="Times New Roman" w:hint="eastAsia"/>
          <w:szCs w:val="24"/>
        </w:rPr>
        <w:t>ė</w:t>
      </w:r>
      <w:r w:rsidRPr="00A02934">
        <w:rPr>
          <w:rFonts w:ascii="Times New Roman" w:hAnsi="Times New Roman"/>
          <w:szCs w:val="24"/>
        </w:rPr>
        <w:t>s 2001 m. liepos 11 d. nutarim</w:t>
      </w:r>
      <w:r w:rsidR="00404F31" w:rsidRPr="00A02934">
        <w:rPr>
          <w:rFonts w:ascii="Times New Roman" w:hAnsi="Times New Roman"/>
          <w:szCs w:val="24"/>
        </w:rPr>
        <w:t>u</w:t>
      </w:r>
      <w:r w:rsidRPr="00A02934">
        <w:rPr>
          <w:rFonts w:ascii="Times New Roman" w:hAnsi="Times New Roman"/>
          <w:szCs w:val="24"/>
        </w:rPr>
        <w:t xml:space="preserve"> Nr. 887 „D</w:t>
      </w:r>
      <w:r w:rsidRPr="00A02934">
        <w:rPr>
          <w:rFonts w:ascii="Times New Roman" w:hAnsi="Times New Roman" w:hint="eastAsia"/>
          <w:szCs w:val="24"/>
        </w:rPr>
        <w:t>ė</w:t>
      </w:r>
      <w:r w:rsidRPr="00A02934">
        <w:rPr>
          <w:rFonts w:ascii="Times New Roman" w:hAnsi="Times New Roman"/>
          <w:szCs w:val="24"/>
        </w:rPr>
        <w:t xml:space="preserve">l </w:t>
      </w:r>
      <w:r w:rsidR="009F263B" w:rsidRPr="00A02934">
        <w:rPr>
          <w:rFonts w:ascii="Times New Roman" w:hAnsi="Times New Roman"/>
          <w:szCs w:val="24"/>
        </w:rPr>
        <w:t>Uždarosios akcinės bendrovės</w:t>
      </w:r>
      <w:r w:rsidR="00EA538D" w:rsidRPr="00A02934">
        <w:rPr>
          <w:rFonts w:ascii="Times New Roman" w:hAnsi="Times New Roman"/>
          <w:szCs w:val="24"/>
        </w:rPr>
        <w:t xml:space="preserve"> „</w:t>
      </w:r>
      <w:r w:rsidR="009F263B" w:rsidRPr="00A02934">
        <w:rPr>
          <w:rFonts w:ascii="Times New Roman" w:hAnsi="Times New Roman"/>
          <w:szCs w:val="24"/>
        </w:rPr>
        <w:t>Investicijų ir verslo garantijos veiklos“</w:t>
      </w:r>
      <w:r w:rsidRPr="00A02934">
        <w:rPr>
          <w:rFonts w:ascii="Times New Roman" w:hAnsi="Times New Roman"/>
          <w:szCs w:val="24"/>
        </w:rPr>
        <w:t>;</w:t>
      </w:r>
    </w:p>
    <w:p w14:paraId="6874D2DD" w14:textId="05DBB489" w:rsidR="00284B5A" w:rsidRPr="00A02934" w:rsidRDefault="000D2CE5" w:rsidP="009B0EE1">
      <w:pPr>
        <w:numPr>
          <w:ilvl w:val="0"/>
          <w:numId w:val="2"/>
        </w:numPr>
        <w:tabs>
          <w:tab w:val="left" w:pos="284"/>
          <w:tab w:val="left" w:pos="567"/>
          <w:tab w:val="left" w:pos="1560"/>
        </w:tabs>
        <w:overflowPunct/>
        <w:autoSpaceDE/>
        <w:autoSpaceDN/>
        <w:adjustRightInd/>
        <w:spacing w:line="276" w:lineRule="auto"/>
        <w:ind w:left="-851" w:firstLine="851"/>
        <w:jc w:val="both"/>
        <w:textAlignment w:val="auto"/>
        <w:rPr>
          <w:rFonts w:ascii="Times New Roman" w:hAnsi="Times New Roman"/>
          <w:szCs w:val="24"/>
        </w:rPr>
      </w:pPr>
      <w:bookmarkStart w:id="0" w:name="_Hlk37430660"/>
      <w:r w:rsidRPr="000D2819">
        <w:rPr>
          <w:rFonts w:ascii="Times New Roman" w:hAnsi="Times New Roman"/>
          <w:szCs w:val="24"/>
        </w:rPr>
        <w:t xml:space="preserve">Lietuvos Respublikos </w:t>
      </w:r>
      <w:r>
        <w:rPr>
          <w:rFonts w:ascii="Times New Roman" w:hAnsi="Times New Roman"/>
          <w:szCs w:val="24"/>
        </w:rPr>
        <w:t>ekonomikos ir inovacijų</w:t>
      </w:r>
      <w:r w:rsidRPr="000D2819">
        <w:rPr>
          <w:rFonts w:ascii="Times New Roman" w:hAnsi="Times New Roman"/>
          <w:szCs w:val="24"/>
        </w:rPr>
        <w:t xml:space="preserve"> ministro </w:t>
      </w:r>
      <w:r w:rsidRPr="006C186B">
        <w:rPr>
          <w:rFonts w:ascii="Times New Roman" w:hAnsi="Times New Roman"/>
          <w:szCs w:val="24"/>
        </w:rPr>
        <w:t>2020</w:t>
      </w:r>
      <w:r>
        <w:rPr>
          <w:rFonts w:ascii="Times New Roman" w:hAnsi="Times New Roman"/>
          <w:szCs w:val="24"/>
        </w:rPr>
        <w:t> </w:t>
      </w:r>
      <w:r w:rsidRPr="006C186B">
        <w:rPr>
          <w:rFonts w:ascii="Times New Roman" w:hAnsi="Times New Roman"/>
          <w:szCs w:val="24"/>
        </w:rPr>
        <w:t>m. balandžio</w:t>
      </w:r>
      <w:r>
        <w:rPr>
          <w:rFonts w:ascii="Times New Roman" w:hAnsi="Times New Roman"/>
          <w:szCs w:val="24"/>
        </w:rPr>
        <w:t> </w:t>
      </w:r>
      <w:r w:rsidRPr="006C186B">
        <w:rPr>
          <w:rFonts w:ascii="Times New Roman" w:hAnsi="Times New Roman"/>
          <w:szCs w:val="24"/>
        </w:rPr>
        <w:t>10</w:t>
      </w:r>
      <w:r>
        <w:rPr>
          <w:rFonts w:ascii="Times New Roman" w:hAnsi="Times New Roman"/>
          <w:szCs w:val="24"/>
        </w:rPr>
        <w:t> </w:t>
      </w:r>
      <w:r w:rsidRPr="006C186B">
        <w:rPr>
          <w:rFonts w:ascii="Times New Roman" w:hAnsi="Times New Roman"/>
          <w:szCs w:val="24"/>
        </w:rPr>
        <w:t xml:space="preserve">d. </w:t>
      </w:r>
      <w:r>
        <w:rPr>
          <w:rFonts w:ascii="Times New Roman" w:hAnsi="Times New Roman"/>
          <w:szCs w:val="24"/>
        </w:rPr>
        <w:t>įsakym</w:t>
      </w:r>
      <w:r w:rsidR="00DF407C">
        <w:rPr>
          <w:rFonts w:ascii="Times New Roman" w:hAnsi="Times New Roman"/>
          <w:szCs w:val="24"/>
        </w:rPr>
        <w:t>u</w:t>
      </w:r>
      <w:r w:rsidRPr="00233282">
        <w:rPr>
          <w:rFonts w:ascii="Times New Roman" w:hAnsi="Times New Roman"/>
          <w:szCs w:val="24"/>
        </w:rPr>
        <w:t xml:space="preserve"> Nr.</w:t>
      </w:r>
      <w:r w:rsidRPr="006C40B9">
        <w:rPr>
          <w:rFonts w:ascii="Times New Roman" w:hAnsi="Times New Roman"/>
          <w:szCs w:val="24"/>
        </w:rPr>
        <w:t xml:space="preserve"> </w:t>
      </w:r>
      <w:r w:rsidRPr="006C186B">
        <w:rPr>
          <w:rFonts w:ascii="Times New Roman" w:hAnsi="Times New Roman"/>
          <w:szCs w:val="24"/>
        </w:rPr>
        <w:t xml:space="preserve">4-223 </w:t>
      </w:r>
      <w:r w:rsidRPr="00233282">
        <w:rPr>
          <w:rFonts w:ascii="Times New Roman" w:hAnsi="Times New Roman"/>
          <w:szCs w:val="24"/>
        </w:rPr>
        <w:t xml:space="preserve"> „Dėl finansų inžinerijos priemonės „P</w:t>
      </w:r>
      <w:r w:rsidRPr="003F6337">
        <w:rPr>
          <w:rFonts w:ascii="Times New Roman" w:hAnsi="Times New Roman"/>
        </w:rPr>
        <w:t xml:space="preserve">ortfelinės garantijos </w:t>
      </w:r>
      <w:r w:rsidRPr="00233282">
        <w:rPr>
          <w:rFonts w:ascii="Times New Roman" w:hAnsi="Times New Roman"/>
          <w:szCs w:val="24"/>
        </w:rPr>
        <w:t>faktoringo sandoriams</w:t>
      </w:r>
      <w:r>
        <w:rPr>
          <w:rFonts w:ascii="Times New Roman" w:hAnsi="Times New Roman"/>
          <w:szCs w:val="24"/>
        </w:rPr>
        <w:t> </w:t>
      </w:r>
      <w:r w:rsidRPr="003F6337">
        <w:rPr>
          <w:rFonts w:ascii="Times New Roman" w:hAnsi="Times New Roman"/>
          <w:szCs w:val="24"/>
        </w:rPr>
        <w:t>2</w:t>
      </w:r>
      <w:r w:rsidRPr="00233282">
        <w:rPr>
          <w:rFonts w:ascii="Times New Roman" w:hAnsi="Times New Roman"/>
          <w:szCs w:val="24"/>
        </w:rPr>
        <w:t>“ schemos patvirtinimo“</w:t>
      </w:r>
      <w:bookmarkEnd w:id="0"/>
      <w:r>
        <w:rPr>
          <w:rFonts w:ascii="Times New Roman" w:hAnsi="Times New Roman"/>
          <w:szCs w:val="24"/>
        </w:rPr>
        <w:t xml:space="preserve"> </w:t>
      </w:r>
      <w:r w:rsidRPr="000D2819">
        <w:rPr>
          <w:rFonts w:ascii="Times New Roman" w:hAnsi="Times New Roman"/>
          <w:szCs w:val="24"/>
        </w:rPr>
        <w:t xml:space="preserve">(toliau – </w:t>
      </w:r>
      <w:bookmarkStart w:id="1" w:name="_Hlk37841991"/>
      <w:r>
        <w:rPr>
          <w:rFonts w:ascii="Times New Roman" w:hAnsi="Times New Roman"/>
          <w:szCs w:val="24"/>
        </w:rPr>
        <w:t>PGF2</w:t>
      </w:r>
      <w:r w:rsidRPr="000D2819">
        <w:rPr>
          <w:rFonts w:ascii="Times New Roman" w:hAnsi="Times New Roman"/>
          <w:szCs w:val="24"/>
        </w:rPr>
        <w:t xml:space="preserve"> priemonės schema</w:t>
      </w:r>
      <w:bookmarkEnd w:id="1"/>
      <w:r w:rsidRPr="000D2819">
        <w:rPr>
          <w:rFonts w:ascii="Times New Roman" w:hAnsi="Times New Roman"/>
          <w:szCs w:val="24"/>
        </w:rPr>
        <w:t>)</w:t>
      </w:r>
      <w:r w:rsidR="00DF407C">
        <w:rPr>
          <w:rFonts w:ascii="Times New Roman" w:hAnsi="Times New Roman"/>
          <w:szCs w:val="24"/>
        </w:rPr>
        <w:t>;</w:t>
      </w:r>
    </w:p>
    <w:p w14:paraId="7A816F18" w14:textId="5916CA0E" w:rsidR="00F578D2" w:rsidRPr="00A02934" w:rsidRDefault="00F578D2" w:rsidP="009B0EE1">
      <w:pPr>
        <w:numPr>
          <w:ilvl w:val="0"/>
          <w:numId w:val="2"/>
        </w:numPr>
        <w:tabs>
          <w:tab w:val="left" w:pos="284"/>
          <w:tab w:val="left" w:pos="567"/>
          <w:tab w:val="left" w:pos="1560"/>
        </w:tabs>
        <w:overflowPunct/>
        <w:autoSpaceDE/>
        <w:autoSpaceDN/>
        <w:adjustRightInd/>
        <w:spacing w:line="276" w:lineRule="auto"/>
        <w:ind w:left="-851" w:firstLine="851"/>
        <w:jc w:val="both"/>
        <w:textAlignment w:val="auto"/>
        <w:rPr>
          <w:rFonts w:ascii="Times New Roman" w:hAnsi="Times New Roman"/>
          <w:szCs w:val="24"/>
        </w:rPr>
      </w:pPr>
      <w:r w:rsidRPr="00A02934">
        <w:rPr>
          <w:rFonts w:ascii="Times New Roman" w:hAnsi="Times New Roman"/>
          <w:szCs w:val="24"/>
        </w:rPr>
        <w:t>Statistikos departamento prie Lietuvos Respublikos Vyriausyb</w:t>
      </w:r>
      <w:r w:rsidRPr="00A02934">
        <w:rPr>
          <w:rFonts w:ascii="Times New Roman" w:hAnsi="Times New Roman" w:hint="eastAsia"/>
          <w:szCs w:val="24"/>
        </w:rPr>
        <w:t>ė</w:t>
      </w:r>
      <w:r w:rsidRPr="00A02934">
        <w:rPr>
          <w:rFonts w:ascii="Times New Roman" w:hAnsi="Times New Roman"/>
          <w:szCs w:val="24"/>
        </w:rPr>
        <w:t xml:space="preserve">s generalinio direktoriaus 2007 m. spalio 31 d. </w:t>
      </w:r>
      <w:r w:rsidRPr="00A02934">
        <w:rPr>
          <w:rFonts w:ascii="Times New Roman" w:hAnsi="Times New Roman" w:hint="eastAsia"/>
          <w:szCs w:val="24"/>
        </w:rPr>
        <w:t>į</w:t>
      </w:r>
      <w:r w:rsidRPr="00A02934">
        <w:rPr>
          <w:rFonts w:ascii="Times New Roman" w:hAnsi="Times New Roman"/>
          <w:szCs w:val="24"/>
        </w:rPr>
        <w:t>sakymu Nr. D</w:t>
      </w:r>
      <w:r w:rsidRPr="00A02934">
        <w:rPr>
          <w:rFonts w:ascii="Times New Roman" w:hAnsi="Times New Roman" w:hint="eastAsia"/>
          <w:szCs w:val="24"/>
        </w:rPr>
        <w:t>Į</w:t>
      </w:r>
      <w:r w:rsidRPr="00A02934">
        <w:rPr>
          <w:rFonts w:ascii="Times New Roman" w:hAnsi="Times New Roman"/>
          <w:szCs w:val="24"/>
        </w:rPr>
        <w:t xml:space="preserve"> 226 „D</w:t>
      </w:r>
      <w:r w:rsidRPr="00A02934">
        <w:rPr>
          <w:rFonts w:ascii="Times New Roman" w:hAnsi="Times New Roman" w:hint="eastAsia"/>
          <w:szCs w:val="24"/>
        </w:rPr>
        <w:t>ė</w:t>
      </w:r>
      <w:r w:rsidRPr="00A02934">
        <w:rPr>
          <w:rFonts w:ascii="Times New Roman" w:hAnsi="Times New Roman"/>
          <w:szCs w:val="24"/>
        </w:rPr>
        <w:t>l ekonomin</w:t>
      </w:r>
      <w:r w:rsidRPr="00A02934">
        <w:rPr>
          <w:rFonts w:ascii="Times New Roman" w:hAnsi="Times New Roman" w:hint="eastAsia"/>
          <w:szCs w:val="24"/>
        </w:rPr>
        <w:t>ė</w:t>
      </w:r>
      <w:r w:rsidRPr="00A02934">
        <w:rPr>
          <w:rFonts w:ascii="Times New Roman" w:hAnsi="Times New Roman"/>
          <w:szCs w:val="24"/>
        </w:rPr>
        <w:t>s veiklos r</w:t>
      </w:r>
      <w:r w:rsidRPr="00A02934">
        <w:rPr>
          <w:rFonts w:ascii="Times New Roman" w:hAnsi="Times New Roman" w:hint="eastAsia"/>
          <w:szCs w:val="24"/>
        </w:rPr>
        <w:t>ūš</w:t>
      </w:r>
      <w:r w:rsidRPr="00A02934">
        <w:rPr>
          <w:rFonts w:ascii="Times New Roman" w:hAnsi="Times New Roman"/>
          <w:szCs w:val="24"/>
        </w:rPr>
        <w:t>i</w:t>
      </w:r>
      <w:r w:rsidRPr="00A02934">
        <w:rPr>
          <w:rFonts w:ascii="Times New Roman" w:hAnsi="Times New Roman" w:hint="eastAsia"/>
          <w:szCs w:val="24"/>
        </w:rPr>
        <w:t>ų</w:t>
      </w:r>
      <w:r w:rsidRPr="00A02934">
        <w:rPr>
          <w:rFonts w:ascii="Times New Roman" w:hAnsi="Times New Roman"/>
          <w:szCs w:val="24"/>
        </w:rPr>
        <w:t xml:space="preserve"> klasifikatoriaus patvirtinimo“ patvirtint</w:t>
      </w:r>
      <w:r w:rsidR="005973BE" w:rsidRPr="00A02934">
        <w:rPr>
          <w:rFonts w:ascii="Times New Roman" w:hAnsi="Times New Roman"/>
          <w:szCs w:val="24"/>
        </w:rPr>
        <w:t>u</w:t>
      </w:r>
      <w:r w:rsidRPr="00A02934">
        <w:rPr>
          <w:rFonts w:ascii="Times New Roman" w:hAnsi="Times New Roman"/>
          <w:szCs w:val="24"/>
        </w:rPr>
        <w:t xml:space="preserve"> Ekonomin</w:t>
      </w:r>
      <w:r w:rsidRPr="00A02934">
        <w:rPr>
          <w:rFonts w:ascii="Times New Roman" w:hAnsi="Times New Roman" w:hint="eastAsia"/>
          <w:szCs w:val="24"/>
        </w:rPr>
        <w:t>ė</w:t>
      </w:r>
      <w:r w:rsidRPr="00A02934">
        <w:rPr>
          <w:rFonts w:ascii="Times New Roman" w:hAnsi="Times New Roman"/>
          <w:szCs w:val="24"/>
        </w:rPr>
        <w:t>s veiklos r</w:t>
      </w:r>
      <w:r w:rsidRPr="00A02934">
        <w:rPr>
          <w:rFonts w:ascii="Times New Roman" w:hAnsi="Times New Roman" w:hint="eastAsia"/>
          <w:szCs w:val="24"/>
        </w:rPr>
        <w:t>ūš</w:t>
      </w:r>
      <w:r w:rsidRPr="00A02934">
        <w:rPr>
          <w:rFonts w:ascii="Times New Roman" w:hAnsi="Times New Roman"/>
          <w:szCs w:val="24"/>
        </w:rPr>
        <w:t>i</w:t>
      </w:r>
      <w:r w:rsidRPr="00A02934">
        <w:rPr>
          <w:rFonts w:ascii="Times New Roman" w:hAnsi="Times New Roman" w:hint="eastAsia"/>
          <w:szCs w:val="24"/>
        </w:rPr>
        <w:t>ų</w:t>
      </w:r>
      <w:r w:rsidRPr="00A02934">
        <w:rPr>
          <w:rFonts w:ascii="Times New Roman" w:hAnsi="Times New Roman"/>
          <w:szCs w:val="24"/>
        </w:rPr>
        <w:t xml:space="preserve"> klasifikatoriu</w:t>
      </w:r>
      <w:r w:rsidR="005973BE" w:rsidRPr="00A02934">
        <w:rPr>
          <w:rFonts w:ascii="Times New Roman" w:hAnsi="Times New Roman"/>
          <w:szCs w:val="24"/>
        </w:rPr>
        <w:t>mi</w:t>
      </w:r>
      <w:r w:rsidRPr="00A02934">
        <w:rPr>
          <w:rFonts w:ascii="Times New Roman" w:hAnsi="Times New Roman"/>
          <w:szCs w:val="24"/>
        </w:rPr>
        <w:t xml:space="preserve"> (EVRK 2 red.) (toliau – EVRK);</w:t>
      </w:r>
    </w:p>
    <w:p w14:paraId="63FBF131" w14:textId="5360C635" w:rsidR="00A9613B" w:rsidRPr="00F64C68" w:rsidRDefault="00A9613B" w:rsidP="009B0EE1">
      <w:pPr>
        <w:pStyle w:val="Pagrindinistekstas1"/>
        <w:tabs>
          <w:tab w:val="left" w:pos="540"/>
          <w:tab w:val="left" w:pos="567"/>
          <w:tab w:val="left" w:pos="709"/>
        </w:tabs>
        <w:spacing w:line="276" w:lineRule="auto"/>
        <w:ind w:firstLine="0"/>
        <w:rPr>
          <w:rFonts w:ascii="Times New Roman" w:hAnsi="Times New Roman"/>
          <w:sz w:val="24"/>
          <w:szCs w:val="24"/>
          <w:lang w:val="lt-LT"/>
        </w:rPr>
      </w:pPr>
      <w:r w:rsidRPr="00F64C68">
        <w:rPr>
          <w:rFonts w:ascii="Times New Roman" w:hAnsi="Times New Roman"/>
          <w:sz w:val="24"/>
          <w:szCs w:val="24"/>
          <w:lang w:val="lt-LT"/>
        </w:rPr>
        <w:t>ir atsižvelgiant į tai, kad:</w:t>
      </w:r>
    </w:p>
    <w:p w14:paraId="518B063A" w14:textId="12FCCDD8" w:rsidR="009F488D" w:rsidRPr="00CD005B" w:rsidRDefault="00BD26DF" w:rsidP="009B0EE1">
      <w:pPr>
        <w:numPr>
          <w:ilvl w:val="0"/>
          <w:numId w:val="2"/>
        </w:numPr>
        <w:tabs>
          <w:tab w:val="left" w:pos="567"/>
        </w:tabs>
        <w:overflowPunct/>
        <w:autoSpaceDE/>
        <w:autoSpaceDN/>
        <w:adjustRightInd/>
        <w:spacing w:line="276" w:lineRule="auto"/>
        <w:ind w:left="-851" w:firstLine="851"/>
        <w:jc w:val="both"/>
        <w:textAlignment w:val="auto"/>
        <w:rPr>
          <w:rFonts w:ascii="Times New Roman" w:hAnsi="Times New Roman"/>
          <w:szCs w:val="24"/>
        </w:rPr>
      </w:pPr>
      <w:r w:rsidRPr="00321F86">
        <w:rPr>
          <w:rFonts w:ascii="Times New Roman" w:hAnsi="Times New Roman"/>
          <w:bCs/>
          <w:szCs w:val="24"/>
        </w:rPr>
        <w:t>2009 m. balandžio 7 d. tarp Lietuvos Respublikos finansų ministerijos</w:t>
      </w:r>
      <w:r w:rsidR="0049151F" w:rsidRPr="00321F86">
        <w:rPr>
          <w:rFonts w:ascii="Times New Roman" w:hAnsi="Times New Roman"/>
          <w:bCs/>
          <w:szCs w:val="24"/>
        </w:rPr>
        <w:t xml:space="preserve"> (toliau </w:t>
      </w:r>
      <w:r w:rsidR="00B71EF7" w:rsidRPr="00321F86">
        <w:rPr>
          <w:rFonts w:ascii="Times New Roman" w:hAnsi="Times New Roman"/>
          <w:szCs w:val="24"/>
        </w:rPr>
        <w:t>–</w:t>
      </w:r>
      <w:r w:rsidR="0049151F" w:rsidRPr="00321F86">
        <w:rPr>
          <w:rFonts w:ascii="Times New Roman" w:hAnsi="Times New Roman"/>
          <w:bCs/>
          <w:szCs w:val="24"/>
        </w:rPr>
        <w:t xml:space="preserve"> FM)</w:t>
      </w:r>
      <w:r w:rsidR="000D3355" w:rsidRPr="00321F86">
        <w:rPr>
          <w:rFonts w:ascii="Times New Roman" w:hAnsi="Times New Roman"/>
          <w:bCs/>
          <w:szCs w:val="24"/>
        </w:rPr>
        <w:t xml:space="preserve">, </w:t>
      </w:r>
      <w:r w:rsidRPr="00321F86">
        <w:rPr>
          <w:rFonts w:ascii="Times New Roman" w:hAnsi="Times New Roman"/>
          <w:bCs/>
          <w:szCs w:val="24"/>
        </w:rPr>
        <w:t>Lietuvos Respublikos ūkio ministerijos</w:t>
      </w:r>
      <w:r w:rsidR="0049151F" w:rsidRPr="00321F86">
        <w:rPr>
          <w:rFonts w:ascii="Times New Roman" w:hAnsi="Times New Roman"/>
          <w:bCs/>
          <w:szCs w:val="24"/>
        </w:rPr>
        <w:t xml:space="preserve"> </w:t>
      </w:r>
      <w:r w:rsidRPr="00321F86">
        <w:rPr>
          <w:rFonts w:ascii="Times New Roman" w:hAnsi="Times New Roman"/>
          <w:bCs/>
          <w:szCs w:val="24"/>
        </w:rPr>
        <w:t xml:space="preserve"> ir „Invegos“ buvo pasirašyta Finansavimo sutartis, kuria buvo įsteigtas kontroliuojantysis fondas „INVEGOS fondas“ (toliau – INVEGOS fondas). Pagal šią sutartį </w:t>
      </w:r>
      <w:r w:rsidRPr="00CD005B">
        <w:rPr>
          <w:rFonts w:ascii="Times New Roman" w:hAnsi="Times New Roman"/>
          <w:bCs/>
          <w:szCs w:val="24"/>
        </w:rPr>
        <w:t>INVEGOS fondo valdytoja paskirta „Invega“</w:t>
      </w:r>
      <w:r w:rsidR="00FC4048" w:rsidRPr="00CD005B">
        <w:rPr>
          <w:rFonts w:ascii="Times New Roman" w:hAnsi="Times New Roman"/>
          <w:szCs w:val="24"/>
        </w:rPr>
        <w:t>;</w:t>
      </w:r>
    </w:p>
    <w:p w14:paraId="1937DD84" w14:textId="1C5B1C51" w:rsidR="0044519C" w:rsidRPr="00FF57F7" w:rsidRDefault="009F488D" w:rsidP="00696D7B">
      <w:pPr>
        <w:numPr>
          <w:ilvl w:val="0"/>
          <w:numId w:val="2"/>
        </w:numPr>
        <w:tabs>
          <w:tab w:val="left" w:pos="567"/>
        </w:tabs>
        <w:overflowPunct/>
        <w:autoSpaceDE/>
        <w:autoSpaceDN/>
        <w:adjustRightInd/>
        <w:spacing w:line="276" w:lineRule="auto"/>
        <w:ind w:left="-851" w:firstLine="851"/>
        <w:jc w:val="both"/>
        <w:textAlignment w:val="auto"/>
        <w:rPr>
          <w:rFonts w:ascii="Times New Roman" w:hAnsi="Times New Roman"/>
          <w:szCs w:val="24"/>
        </w:rPr>
      </w:pPr>
      <w:r w:rsidRPr="00FF57F7">
        <w:rPr>
          <w:rFonts w:ascii="Times New Roman" w:hAnsi="Times New Roman"/>
          <w:szCs w:val="24"/>
        </w:rPr>
        <w:t>v</w:t>
      </w:r>
      <w:r w:rsidR="00F53944" w:rsidRPr="00FF57F7">
        <w:rPr>
          <w:rFonts w:ascii="Times New Roman" w:hAnsi="Times New Roman"/>
          <w:szCs w:val="24"/>
        </w:rPr>
        <w:t>adovaujantis</w:t>
      </w:r>
      <w:r w:rsidR="0018332D" w:rsidRPr="00FF57F7">
        <w:rPr>
          <w:rFonts w:ascii="Times New Roman" w:hAnsi="Times New Roman"/>
          <w:szCs w:val="24"/>
        </w:rPr>
        <w:t xml:space="preserve"> </w:t>
      </w:r>
      <w:r w:rsidR="00B87184">
        <w:rPr>
          <w:rFonts w:ascii="Times New Roman" w:hAnsi="Times New Roman"/>
          <w:szCs w:val="24"/>
        </w:rPr>
        <w:t xml:space="preserve">Finansų inžinerijos priemonės „Portfelinės garantijos faktoringo sandoriams </w:t>
      </w:r>
      <w:r w:rsidR="00B87184" w:rsidRPr="00D01C37">
        <w:rPr>
          <w:rFonts w:ascii="Times New Roman" w:hAnsi="Times New Roman"/>
          <w:szCs w:val="24"/>
        </w:rPr>
        <w:t>2</w:t>
      </w:r>
      <w:r w:rsidR="00B87184">
        <w:rPr>
          <w:rFonts w:ascii="Times New Roman" w:hAnsi="Times New Roman"/>
          <w:szCs w:val="24"/>
        </w:rPr>
        <w:t xml:space="preserve">“ </w:t>
      </w:r>
      <w:r w:rsidR="00F635AE">
        <w:rPr>
          <w:rFonts w:ascii="Times New Roman" w:hAnsi="Times New Roman"/>
          <w:szCs w:val="24"/>
        </w:rPr>
        <w:t>į</w:t>
      </w:r>
      <w:r w:rsidR="00B87184">
        <w:rPr>
          <w:rFonts w:ascii="Times New Roman" w:hAnsi="Times New Roman"/>
          <w:szCs w:val="24"/>
        </w:rPr>
        <w:t>gyven</w:t>
      </w:r>
      <w:r w:rsidR="00F635AE">
        <w:rPr>
          <w:rFonts w:ascii="Times New Roman" w:hAnsi="Times New Roman"/>
          <w:szCs w:val="24"/>
        </w:rPr>
        <w:t>d</w:t>
      </w:r>
      <w:r w:rsidR="00B87184">
        <w:rPr>
          <w:rFonts w:ascii="Times New Roman" w:hAnsi="Times New Roman"/>
          <w:szCs w:val="24"/>
        </w:rPr>
        <w:t>inimo sąlygų aprašu</w:t>
      </w:r>
      <w:r w:rsidR="00F635AE">
        <w:rPr>
          <w:rFonts w:ascii="Times New Roman" w:hAnsi="Times New Roman"/>
          <w:szCs w:val="24"/>
        </w:rPr>
        <w:t>,</w:t>
      </w:r>
      <w:r w:rsidR="00681A2B">
        <w:rPr>
          <w:rFonts w:ascii="Times New Roman" w:hAnsi="Times New Roman"/>
          <w:szCs w:val="24"/>
        </w:rPr>
        <w:t xml:space="preserve"> patvirtintu UAB „Investicijų ir verslo garantijos</w:t>
      </w:r>
      <w:r w:rsidR="00F635AE">
        <w:rPr>
          <w:rFonts w:ascii="Times New Roman" w:hAnsi="Times New Roman"/>
          <w:szCs w:val="24"/>
        </w:rPr>
        <w:t>“</w:t>
      </w:r>
      <w:r w:rsidR="00681A2B">
        <w:rPr>
          <w:rFonts w:ascii="Times New Roman" w:hAnsi="Times New Roman"/>
          <w:szCs w:val="24"/>
        </w:rPr>
        <w:t xml:space="preserve"> generalinio direktoriaus </w:t>
      </w:r>
      <w:r w:rsidR="00681A2B" w:rsidRPr="00D01C37">
        <w:rPr>
          <w:rFonts w:ascii="Times New Roman" w:hAnsi="Times New Roman"/>
          <w:szCs w:val="24"/>
        </w:rPr>
        <w:t>2020 m. ba</w:t>
      </w:r>
      <w:r w:rsidR="00681A2B">
        <w:rPr>
          <w:rFonts w:ascii="Times New Roman" w:hAnsi="Times New Roman"/>
          <w:szCs w:val="24"/>
        </w:rPr>
        <w:t xml:space="preserve">landžio </w:t>
      </w:r>
      <w:r w:rsidR="00DF407C">
        <w:rPr>
          <w:rFonts w:ascii="Times New Roman" w:hAnsi="Times New Roman"/>
          <w:szCs w:val="24"/>
          <w:lang w:val="en-US"/>
        </w:rPr>
        <w:t>10</w:t>
      </w:r>
      <w:r w:rsidR="00681A2B">
        <w:rPr>
          <w:rFonts w:ascii="Times New Roman" w:hAnsi="Times New Roman"/>
          <w:szCs w:val="24"/>
        </w:rPr>
        <w:t xml:space="preserve"> d. įsakymu Nr. B-</w:t>
      </w:r>
      <w:r w:rsidR="00DF407C">
        <w:rPr>
          <w:rFonts w:ascii="Times New Roman" w:hAnsi="Times New Roman"/>
          <w:szCs w:val="24"/>
        </w:rPr>
        <w:t>40</w:t>
      </w:r>
      <w:r w:rsidR="00B71EF7" w:rsidRPr="00FF57F7">
        <w:rPr>
          <w:rFonts w:ascii="Times New Roman" w:hAnsi="Times New Roman"/>
          <w:szCs w:val="24"/>
        </w:rPr>
        <w:t>,</w:t>
      </w:r>
      <w:r w:rsidR="0005649B">
        <w:rPr>
          <w:rFonts w:ascii="Times New Roman" w:hAnsi="Times New Roman"/>
          <w:szCs w:val="24"/>
        </w:rPr>
        <w:t xml:space="preserve"> (toliau – Aprašas)</w:t>
      </w:r>
      <w:r w:rsidR="00845771">
        <w:rPr>
          <w:rFonts w:ascii="Times New Roman" w:hAnsi="Times New Roman"/>
          <w:szCs w:val="24"/>
        </w:rPr>
        <w:t>,</w:t>
      </w:r>
      <w:r w:rsidR="0018332D" w:rsidRPr="00FF57F7">
        <w:rPr>
          <w:rFonts w:ascii="Times New Roman" w:hAnsi="Times New Roman"/>
          <w:szCs w:val="24"/>
        </w:rPr>
        <w:t xml:space="preserve"> </w:t>
      </w:r>
      <w:r w:rsidR="00C51F33" w:rsidRPr="00FF57F7">
        <w:rPr>
          <w:rFonts w:ascii="Times New Roman" w:hAnsi="Times New Roman"/>
          <w:szCs w:val="24"/>
        </w:rPr>
        <w:t>PGF</w:t>
      </w:r>
      <w:r w:rsidR="006B6D0D" w:rsidRPr="00FF57F7">
        <w:rPr>
          <w:rFonts w:ascii="Times New Roman" w:hAnsi="Times New Roman"/>
          <w:szCs w:val="24"/>
        </w:rPr>
        <w:t>2</w:t>
      </w:r>
      <w:r w:rsidR="009C0181" w:rsidRPr="00FF57F7">
        <w:rPr>
          <w:rFonts w:ascii="Times New Roman" w:hAnsi="Times New Roman"/>
          <w:szCs w:val="24"/>
        </w:rPr>
        <w:t xml:space="preserve"> priemonės valdytojas</w:t>
      </w:r>
      <w:r w:rsidR="00F53944" w:rsidRPr="00FF57F7">
        <w:rPr>
          <w:rFonts w:ascii="Times New Roman" w:hAnsi="Times New Roman"/>
          <w:szCs w:val="24"/>
        </w:rPr>
        <w:t xml:space="preserve"> buvo </w:t>
      </w:r>
      <w:r w:rsidR="00E41858" w:rsidRPr="001334A5">
        <w:rPr>
          <w:rFonts w:ascii="Times New Roman" w:hAnsi="Times New Roman"/>
          <w:szCs w:val="24"/>
        </w:rPr>
        <w:t>atrinktas</w:t>
      </w:r>
      <w:r w:rsidR="001334A5" w:rsidRPr="001334A5">
        <w:rPr>
          <w:rFonts w:ascii="Times New Roman" w:hAnsi="Times New Roman"/>
          <w:szCs w:val="24"/>
        </w:rPr>
        <w:t xml:space="preserve"> sudaryti šią sutartį, kuria bus įgyvendinta PGF2 priemonė</w:t>
      </w:r>
      <w:r w:rsidR="00B207B4">
        <w:rPr>
          <w:rFonts w:ascii="Times New Roman" w:hAnsi="Times New Roman"/>
          <w:szCs w:val="24"/>
        </w:rPr>
        <w:t xml:space="preserve"> pagal Pagrindinės </w:t>
      </w:r>
      <w:r w:rsidR="00B207B4" w:rsidRPr="00B207B4">
        <w:rPr>
          <w:rFonts w:ascii="Times New Roman" w:hAnsi="Times New Roman"/>
          <w:szCs w:val="24"/>
        </w:rPr>
        <w:t xml:space="preserve">priemonės „Portfelinės garantijos faktoringo </w:t>
      </w:r>
      <w:r w:rsidR="00845771" w:rsidRPr="00B207B4">
        <w:rPr>
          <w:rFonts w:ascii="Times New Roman" w:hAnsi="Times New Roman"/>
          <w:szCs w:val="24"/>
        </w:rPr>
        <w:t>sandoriams</w:t>
      </w:r>
      <w:r w:rsidR="00845771">
        <w:rPr>
          <w:rFonts w:ascii="Times New Roman" w:hAnsi="Times New Roman"/>
          <w:szCs w:val="24"/>
        </w:rPr>
        <w:t> </w:t>
      </w:r>
      <w:r w:rsidR="00B207B4" w:rsidRPr="00B207B4">
        <w:rPr>
          <w:rFonts w:ascii="Times New Roman" w:hAnsi="Times New Roman"/>
          <w:szCs w:val="24"/>
        </w:rPr>
        <w:t>2“</w:t>
      </w:r>
      <w:r w:rsidR="00B207B4">
        <w:rPr>
          <w:rFonts w:ascii="Times New Roman" w:hAnsi="Times New Roman"/>
          <w:szCs w:val="24"/>
        </w:rPr>
        <w:t xml:space="preserve"> sąlygas</w:t>
      </w:r>
      <w:r w:rsidR="001334A5">
        <w:rPr>
          <w:rFonts w:ascii="Times New Roman" w:hAnsi="Times New Roman"/>
          <w:szCs w:val="24"/>
        </w:rPr>
        <w:t>.</w:t>
      </w:r>
    </w:p>
    <w:p w14:paraId="6F058D22" w14:textId="77777777" w:rsidR="00254ADB" w:rsidRPr="00AC37E8" w:rsidRDefault="00254ADB" w:rsidP="00254ADB">
      <w:pPr>
        <w:tabs>
          <w:tab w:val="left" w:pos="567"/>
        </w:tabs>
        <w:overflowPunct/>
        <w:autoSpaceDE/>
        <w:autoSpaceDN/>
        <w:adjustRightInd/>
        <w:spacing w:line="276" w:lineRule="auto"/>
        <w:jc w:val="both"/>
        <w:textAlignment w:val="auto"/>
        <w:rPr>
          <w:rFonts w:ascii="Times New Roman" w:hAnsi="Times New Roman"/>
          <w:szCs w:val="24"/>
        </w:rPr>
      </w:pPr>
    </w:p>
    <w:p w14:paraId="72DC00A9" w14:textId="77777777" w:rsidR="00807E23" w:rsidRPr="00AC37E8" w:rsidRDefault="00BF4B00" w:rsidP="009B0EE1">
      <w:pPr>
        <w:tabs>
          <w:tab w:val="right" w:pos="9071"/>
        </w:tabs>
        <w:spacing w:line="276" w:lineRule="auto"/>
        <w:jc w:val="both"/>
        <w:rPr>
          <w:rFonts w:ascii="Times New Roman" w:hAnsi="Times New Roman"/>
          <w:b/>
          <w:szCs w:val="24"/>
        </w:rPr>
      </w:pPr>
      <w:r w:rsidRPr="00AC37E8">
        <w:rPr>
          <w:rFonts w:ascii="Times New Roman" w:hAnsi="Times New Roman"/>
          <w:b/>
          <w:caps/>
          <w:szCs w:val="24"/>
        </w:rPr>
        <w:t>susitaria</w:t>
      </w:r>
      <w:r w:rsidR="003F1908" w:rsidRPr="00AC37E8">
        <w:rPr>
          <w:rFonts w:ascii="Times New Roman" w:hAnsi="Times New Roman"/>
          <w:b/>
          <w:szCs w:val="24"/>
        </w:rPr>
        <w:t>:</w:t>
      </w:r>
    </w:p>
    <w:p w14:paraId="3F4112D1" w14:textId="77777777" w:rsidR="00807E23" w:rsidRPr="0052670D" w:rsidRDefault="00807E23" w:rsidP="009B0EE1">
      <w:pPr>
        <w:tabs>
          <w:tab w:val="right" w:pos="9071"/>
        </w:tabs>
        <w:spacing w:line="276" w:lineRule="auto"/>
        <w:jc w:val="both"/>
        <w:rPr>
          <w:rFonts w:ascii="Times New Roman" w:hAnsi="Times New Roman"/>
          <w:szCs w:val="24"/>
        </w:rPr>
      </w:pPr>
    </w:p>
    <w:p w14:paraId="638E9BA5" w14:textId="7D1239D1" w:rsidR="00807E23" w:rsidRPr="0052670D" w:rsidRDefault="00807E23" w:rsidP="009B0EE1">
      <w:pPr>
        <w:tabs>
          <w:tab w:val="right" w:pos="9071"/>
        </w:tabs>
        <w:spacing w:line="276" w:lineRule="auto"/>
        <w:jc w:val="center"/>
        <w:rPr>
          <w:rFonts w:ascii="Times New Roman" w:hAnsi="Times New Roman"/>
          <w:b/>
          <w:szCs w:val="24"/>
        </w:rPr>
      </w:pPr>
      <w:r w:rsidRPr="0052670D">
        <w:rPr>
          <w:rFonts w:ascii="Times New Roman" w:hAnsi="Times New Roman"/>
          <w:b/>
          <w:szCs w:val="24"/>
        </w:rPr>
        <w:t>I SKYRIUS. SĄVOKOS IR TRUMPINIAI</w:t>
      </w:r>
    </w:p>
    <w:p w14:paraId="39810AAF" w14:textId="77777777" w:rsidR="00807E23" w:rsidRPr="0052670D" w:rsidRDefault="00807E23" w:rsidP="009B0EE1">
      <w:pPr>
        <w:tabs>
          <w:tab w:val="right" w:pos="9071"/>
        </w:tabs>
        <w:spacing w:line="276" w:lineRule="auto"/>
        <w:jc w:val="both"/>
        <w:rPr>
          <w:rFonts w:ascii="Times New Roman" w:hAnsi="Times New Roman"/>
          <w:szCs w:val="24"/>
        </w:rPr>
      </w:pPr>
    </w:p>
    <w:p w14:paraId="0C997EFD" w14:textId="470C7192" w:rsidR="003F1908" w:rsidRPr="0052670D" w:rsidRDefault="00807E23" w:rsidP="009B0EE1">
      <w:pPr>
        <w:pStyle w:val="ListParagraph"/>
        <w:numPr>
          <w:ilvl w:val="1"/>
          <w:numId w:val="3"/>
        </w:numPr>
        <w:tabs>
          <w:tab w:val="left" w:pos="567"/>
        </w:tabs>
        <w:spacing w:after="0"/>
        <w:ind w:left="-851" w:firstLine="851"/>
        <w:jc w:val="both"/>
        <w:rPr>
          <w:sz w:val="24"/>
          <w:szCs w:val="24"/>
          <w:lang w:val="lt-LT"/>
        </w:rPr>
      </w:pPr>
      <w:r w:rsidRPr="0052670D">
        <w:rPr>
          <w:sz w:val="24"/>
          <w:szCs w:val="24"/>
          <w:lang w:val="lt-LT"/>
        </w:rPr>
        <w:t xml:space="preserve">Sutartyje </w:t>
      </w:r>
      <w:r w:rsidR="00805F55">
        <w:rPr>
          <w:sz w:val="24"/>
          <w:szCs w:val="24"/>
          <w:lang w:val="lt-LT"/>
        </w:rPr>
        <w:t xml:space="preserve">iš didžiosios raidės </w:t>
      </w:r>
      <w:r w:rsidRPr="0052670D">
        <w:rPr>
          <w:sz w:val="24"/>
          <w:szCs w:val="24"/>
          <w:lang w:val="lt-LT"/>
        </w:rPr>
        <w:t>vartojamos sąvokos ir trumpiniai suprantami taip (jei pagal kontekstą nereikalaujama kitaip):</w:t>
      </w:r>
    </w:p>
    <w:tbl>
      <w:tblPr>
        <w:tblW w:w="992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6096"/>
      </w:tblGrid>
      <w:tr w:rsidR="007F2A2A" w:rsidRPr="00C33AC8" w14:paraId="744F0264"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77A9688E" w14:textId="77777777" w:rsidR="008E5685" w:rsidRPr="00DC5D26" w:rsidRDefault="008E5685"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391CF5B7" w14:textId="77777777" w:rsidR="008E5685" w:rsidRPr="00DC5D26" w:rsidRDefault="008E5685" w:rsidP="009B0EE1">
            <w:pPr>
              <w:spacing w:line="276" w:lineRule="auto"/>
              <w:rPr>
                <w:rFonts w:ascii="Times New Roman" w:hAnsi="Times New Roman"/>
                <w:b/>
                <w:szCs w:val="24"/>
              </w:rPr>
            </w:pPr>
            <w:r w:rsidRPr="00DC5D26">
              <w:rPr>
                <w:rFonts w:ascii="Times New Roman" w:hAnsi="Times New Roman"/>
                <w:b/>
                <w:szCs w:val="24"/>
              </w:rPr>
              <w:t>Audito institucij</w:t>
            </w:r>
            <w:r w:rsidR="00A11825" w:rsidRPr="00DC5D26">
              <w:rPr>
                <w:rFonts w:ascii="Times New Roman" w:hAnsi="Times New Roman"/>
                <w:b/>
                <w:szCs w:val="24"/>
              </w:rPr>
              <w:t>os</w:t>
            </w:r>
          </w:p>
        </w:tc>
        <w:tc>
          <w:tcPr>
            <w:tcW w:w="6096" w:type="dxa"/>
            <w:tcBorders>
              <w:top w:val="single" w:sz="4" w:space="0" w:color="auto"/>
              <w:left w:val="single" w:sz="4" w:space="0" w:color="auto"/>
              <w:bottom w:val="single" w:sz="4" w:space="0" w:color="auto"/>
              <w:right w:val="single" w:sz="4" w:space="0" w:color="auto"/>
            </w:tcBorders>
          </w:tcPr>
          <w:p w14:paraId="270B3723" w14:textId="50CAA03F" w:rsidR="008E5685" w:rsidRPr="00DC5D26" w:rsidRDefault="001F692F" w:rsidP="009B0EE1">
            <w:pPr>
              <w:spacing w:line="276" w:lineRule="auto"/>
              <w:ind w:left="34"/>
              <w:jc w:val="both"/>
              <w:rPr>
                <w:rFonts w:ascii="Times New Roman" w:hAnsi="Times New Roman"/>
                <w:szCs w:val="24"/>
              </w:rPr>
            </w:pPr>
            <w:r w:rsidRPr="00DC5D26">
              <w:rPr>
                <w:rFonts w:ascii="Times New Roman" w:hAnsi="Times New Roman"/>
                <w:szCs w:val="24"/>
              </w:rPr>
              <w:t xml:space="preserve">Lietuvos Respublikos valstybės kontrolė, </w:t>
            </w:r>
            <w:r w:rsidR="001F7664" w:rsidRPr="00DC5D26">
              <w:rPr>
                <w:rFonts w:ascii="Times New Roman" w:hAnsi="Times New Roman"/>
                <w:szCs w:val="24"/>
              </w:rPr>
              <w:t>Lietuvos Respublikos ekonomikos ir inovacijų ministerija</w:t>
            </w:r>
            <w:r w:rsidR="00A11825" w:rsidRPr="00B04999">
              <w:rPr>
                <w:rFonts w:ascii="Times New Roman" w:hAnsi="Times New Roman"/>
                <w:szCs w:val="24"/>
              </w:rPr>
              <w:t xml:space="preserve">, FM, </w:t>
            </w:r>
            <w:r w:rsidR="00A11825" w:rsidRPr="00EC75F5">
              <w:rPr>
                <w:rFonts w:ascii="Times New Roman" w:hAnsi="Times New Roman"/>
                <w:szCs w:val="24"/>
              </w:rPr>
              <w:t>„Invega</w:t>
            </w:r>
            <w:r w:rsidRPr="00EC75F5">
              <w:rPr>
                <w:rFonts w:ascii="Times New Roman" w:hAnsi="Times New Roman"/>
                <w:szCs w:val="24"/>
              </w:rPr>
              <w:t>“, Finansinių nusikaltimų</w:t>
            </w:r>
            <w:r w:rsidR="00A11825" w:rsidRPr="00EC75F5">
              <w:rPr>
                <w:rFonts w:ascii="Times New Roman" w:hAnsi="Times New Roman"/>
                <w:szCs w:val="24"/>
              </w:rPr>
              <w:t xml:space="preserve"> tyr</w:t>
            </w:r>
            <w:r w:rsidR="00A11825" w:rsidRPr="00232CDE">
              <w:rPr>
                <w:rFonts w:ascii="Times New Roman" w:hAnsi="Times New Roman"/>
                <w:szCs w:val="24"/>
              </w:rPr>
              <w:t>imo tarnyba</w:t>
            </w:r>
            <w:r w:rsidRPr="00232CDE">
              <w:rPr>
                <w:rFonts w:ascii="Times New Roman" w:hAnsi="Times New Roman"/>
                <w:szCs w:val="24"/>
              </w:rPr>
              <w:t xml:space="preserve"> prie Vidaus reikalų </w:t>
            </w:r>
            <w:r w:rsidRPr="00667C14">
              <w:rPr>
                <w:rFonts w:ascii="Times New Roman" w:hAnsi="Times New Roman"/>
                <w:szCs w:val="24"/>
              </w:rPr>
              <w:t>ministerijos, Lietuvos Respublikos specialiųjų</w:t>
            </w:r>
            <w:r w:rsidRPr="00671F0D">
              <w:rPr>
                <w:rFonts w:ascii="Times New Roman" w:hAnsi="Times New Roman"/>
                <w:szCs w:val="24"/>
              </w:rPr>
              <w:t xml:space="preserve"> tyrimų tarnyb</w:t>
            </w:r>
            <w:r w:rsidR="00A11825" w:rsidRPr="00E12160">
              <w:rPr>
                <w:rFonts w:ascii="Times New Roman" w:hAnsi="Times New Roman"/>
                <w:szCs w:val="24"/>
              </w:rPr>
              <w:t xml:space="preserve">a, </w:t>
            </w:r>
            <w:r w:rsidR="003023A9" w:rsidRPr="00E12160">
              <w:rPr>
                <w:rFonts w:ascii="Times New Roman" w:hAnsi="Times New Roman"/>
                <w:szCs w:val="24"/>
              </w:rPr>
              <w:t>Lietuvos Respublikos k</w:t>
            </w:r>
            <w:r w:rsidR="00A11825" w:rsidRPr="000B26DE">
              <w:rPr>
                <w:rFonts w:ascii="Times New Roman" w:hAnsi="Times New Roman"/>
                <w:szCs w:val="24"/>
              </w:rPr>
              <w:t>onkurencijos taryba</w:t>
            </w:r>
            <w:r w:rsidRPr="000B26DE">
              <w:rPr>
                <w:rFonts w:ascii="Times New Roman" w:hAnsi="Times New Roman"/>
                <w:szCs w:val="24"/>
              </w:rPr>
              <w:t xml:space="preserve">, </w:t>
            </w:r>
            <w:r w:rsidR="003023A9" w:rsidRPr="00DC5D26">
              <w:rPr>
                <w:rFonts w:ascii="Times New Roman" w:hAnsi="Times New Roman"/>
                <w:szCs w:val="24"/>
              </w:rPr>
              <w:t xml:space="preserve">kiti </w:t>
            </w:r>
            <w:r w:rsidR="00BB128F" w:rsidRPr="00DC5D26">
              <w:rPr>
                <w:rFonts w:ascii="Times New Roman" w:hAnsi="Times New Roman"/>
                <w:szCs w:val="24"/>
              </w:rPr>
              <w:t xml:space="preserve">tinkamai įgalioti </w:t>
            </w:r>
            <w:r w:rsidRPr="00DC5D26">
              <w:rPr>
                <w:rFonts w:ascii="Times New Roman" w:hAnsi="Times New Roman"/>
                <w:szCs w:val="24"/>
              </w:rPr>
              <w:t>nacionalini</w:t>
            </w:r>
            <w:r w:rsidR="00A11825" w:rsidRPr="00DC5D26">
              <w:rPr>
                <w:rFonts w:ascii="Times New Roman" w:hAnsi="Times New Roman"/>
                <w:szCs w:val="24"/>
              </w:rPr>
              <w:t>ai</w:t>
            </w:r>
            <w:r w:rsidR="00B71EF7" w:rsidRPr="00DC5D26">
              <w:rPr>
                <w:rFonts w:ascii="Times New Roman" w:hAnsi="Times New Roman"/>
                <w:szCs w:val="24"/>
              </w:rPr>
              <w:t xml:space="preserve"> </w:t>
            </w:r>
            <w:r w:rsidRPr="00DC5D26">
              <w:rPr>
                <w:rFonts w:ascii="Times New Roman" w:hAnsi="Times New Roman"/>
                <w:szCs w:val="24"/>
              </w:rPr>
              <w:t>subjekt</w:t>
            </w:r>
            <w:r w:rsidR="00A11825" w:rsidRPr="00DC5D26">
              <w:rPr>
                <w:rFonts w:ascii="Times New Roman" w:hAnsi="Times New Roman"/>
                <w:szCs w:val="24"/>
              </w:rPr>
              <w:t>ai</w:t>
            </w:r>
            <w:r w:rsidRPr="00DC5D26">
              <w:rPr>
                <w:rFonts w:ascii="Times New Roman" w:hAnsi="Times New Roman"/>
                <w:szCs w:val="24"/>
              </w:rPr>
              <w:t>, turin</w:t>
            </w:r>
            <w:r w:rsidR="00A11825" w:rsidRPr="00DC5D26">
              <w:rPr>
                <w:rFonts w:ascii="Times New Roman" w:hAnsi="Times New Roman"/>
                <w:szCs w:val="24"/>
              </w:rPr>
              <w:t>tys</w:t>
            </w:r>
            <w:r w:rsidRPr="00DC5D26">
              <w:rPr>
                <w:rFonts w:ascii="Times New Roman" w:hAnsi="Times New Roman"/>
                <w:szCs w:val="24"/>
              </w:rPr>
              <w:t xml:space="preserve"> teisę tikrinti, kaip naudojamos</w:t>
            </w:r>
            <w:r w:rsidR="00054EBE" w:rsidRPr="00DC5D26">
              <w:rPr>
                <w:rFonts w:ascii="Times New Roman" w:hAnsi="Times New Roman"/>
                <w:szCs w:val="24"/>
              </w:rPr>
              <w:t xml:space="preserve"> </w:t>
            </w:r>
            <w:r w:rsidR="0049151F" w:rsidRPr="00DC5D26">
              <w:rPr>
                <w:rFonts w:ascii="Times New Roman" w:hAnsi="Times New Roman"/>
                <w:szCs w:val="24"/>
              </w:rPr>
              <w:t>INVEGOS fondo</w:t>
            </w:r>
            <w:r w:rsidRPr="00DC5D26">
              <w:rPr>
                <w:rFonts w:ascii="Times New Roman" w:hAnsi="Times New Roman"/>
                <w:szCs w:val="24"/>
              </w:rPr>
              <w:t xml:space="preserve"> lėšos</w:t>
            </w:r>
            <w:r w:rsidR="00377987">
              <w:rPr>
                <w:rFonts w:ascii="Times New Roman" w:hAnsi="Times New Roman"/>
                <w:szCs w:val="24"/>
              </w:rPr>
              <w:t>.</w:t>
            </w:r>
          </w:p>
        </w:tc>
      </w:tr>
      <w:tr w:rsidR="007F2A2A" w:rsidRPr="00C33AC8" w14:paraId="6BE4448E"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1824B271" w14:textId="77777777" w:rsidR="00F21757" w:rsidRPr="0059645E" w:rsidRDefault="00F21757" w:rsidP="009B0EE1">
            <w:pPr>
              <w:pStyle w:val="ListParagraph"/>
              <w:numPr>
                <w:ilvl w:val="0"/>
                <w:numId w:val="13"/>
              </w:numPr>
              <w:spacing w:after="0"/>
              <w:jc w:val="center"/>
              <w:rPr>
                <w:sz w:val="24"/>
                <w:szCs w:val="24"/>
                <w:lang w:val="lt-LT"/>
              </w:rPr>
            </w:pPr>
          </w:p>
        </w:tc>
        <w:tc>
          <w:tcPr>
            <w:tcW w:w="3119" w:type="dxa"/>
            <w:tcBorders>
              <w:bottom w:val="single" w:sz="4" w:space="0" w:color="000000"/>
            </w:tcBorders>
          </w:tcPr>
          <w:p w14:paraId="52DE4D6D" w14:textId="7134788D" w:rsidR="00F21757" w:rsidRPr="0059645E" w:rsidRDefault="00F21757" w:rsidP="009B0EE1">
            <w:pPr>
              <w:spacing w:line="276" w:lineRule="auto"/>
              <w:rPr>
                <w:rFonts w:ascii="Times New Roman" w:hAnsi="Times New Roman"/>
                <w:b/>
                <w:szCs w:val="24"/>
              </w:rPr>
            </w:pPr>
            <w:r w:rsidRPr="0059645E">
              <w:rPr>
                <w:rFonts w:ascii="Times New Roman" w:hAnsi="Times New Roman"/>
                <w:b/>
                <w:szCs w:val="24"/>
              </w:rPr>
              <w:t>Didžiausia išmokos pagal Faktoringo sandorį suma</w:t>
            </w:r>
          </w:p>
        </w:tc>
        <w:tc>
          <w:tcPr>
            <w:tcW w:w="6096" w:type="dxa"/>
            <w:tcBorders>
              <w:bottom w:val="single" w:sz="4" w:space="0" w:color="000000"/>
            </w:tcBorders>
          </w:tcPr>
          <w:p w14:paraId="354D272A" w14:textId="2767733C" w:rsidR="00F21757" w:rsidRPr="0059645E" w:rsidRDefault="00F21757" w:rsidP="009B0EE1">
            <w:pPr>
              <w:spacing w:line="276" w:lineRule="auto"/>
              <w:ind w:left="34"/>
              <w:jc w:val="both"/>
              <w:rPr>
                <w:rFonts w:ascii="Times New Roman" w:hAnsi="Times New Roman"/>
                <w:szCs w:val="24"/>
              </w:rPr>
            </w:pPr>
            <w:r w:rsidRPr="0059645E">
              <w:rPr>
                <w:rFonts w:ascii="Times New Roman" w:hAnsi="Times New Roman"/>
                <w:szCs w:val="24"/>
              </w:rPr>
              <w:t>Pagal sukontraktuotą ir į Portfelį įtrauktą Faktoringo sandorį išmokėta MVĮ Faktoringo avansų suma, neviršijanti Faktoringo limito, padauginta iš Garantijos dydžio (80 proc.), tačiau ši suma negali viršyti Didžiausios išmokų sumos, ribojamos Viršutinės ribos normos dydžio</w:t>
            </w:r>
            <w:r w:rsidR="00B130AD">
              <w:rPr>
                <w:rFonts w:ascii="Times New Roman" w:hAnsi="Times New Roman"/>
                <w:szCs w:val="24"/>
              </w:rPr>
              <w:t>.</w:t>
            </w:r>
          </w:p>
        </w:tc>
      </w:tr>
      <w:tr w:rsidR="007F2A2A" w:rsidRPr="00C33AC8" w14:paraId="313ECE6C"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2A2A9A3D" w14:textId="77777777" w:rsidR="005B6E65" w:rsidRPr="007341A4" w:rsidRDefault="005B6E65" w:rsidP="009B0EE1">
            <w:pPr>
              <w:pStyle w:val="ListParagraph"/>
              <w:numPr>
                <w:ilvl w:val="0"/>
                <w:numId w:val="13"/>
              </w:numPr>
              <w:spacing w:after="0"/>
              <w:jc w:val="center"/>
              <w:rPr>
                <w:sz w:val="24"/>
                <w:szCs w:val="24"/>
                <w:lang w:val="lt-LT"/>
              </w:rPr>
            </w:pPr>
          </w:p>
        </w:tc>
        <w:tc>
          <w:tcPr>
            <w:tcW w:w="3119" w:type="dxa"/>
            <w:tcBorders>
              <w:bottom w:val="single" w:sz="4" w:space="0" w:color="000000"/>
            </w:tcBorders>
          </w:tcPr>
          <w:p w14:paraId="3F6BD387" w14:textId="0A1A4F83" w:rsidR="005B6E65" w:rsidRPr="007341A4" w:rsidRDefault="005B6E65" w:rsidP="009B0EE1">
            <w:pPr>
              <w:spacing w:line="276" w:lineRule="auto"/>
              <w:rPr>
                <w:rFonts w:ascii="Times New Roman" w:hAnsi="Times New Roman"/>
                <w:b/>
                <w:szCs w:val="24"/>
              </w:rPr>
            </w:pPr>
            <w:r w:rsidRPr="007341A4">
              <w:rPr>
                <w:rFonts w:ascii="Times New Roman" w:hAnsi="Times New Roman"/>
                <w:b/>
                <w:szCs w:val="24"/>
              </w:rPr>
              <w:t>Didžiausia išmokų suma</w:t>
            </w:r>
          </w:p>
        </w:tc>
        <w:tc>
          <w:tcPr>
            <w:tcW w:w="6096" w:type="dxa"/>
            <w:tcBorders>
              <w:bottom w:val="single" w:sz="4" w:space="0" w:color="000000"/>
            </w:tcBorders>
          </w:tcPr>
          <w:p w14:paraId="4C5CBE2D" w14:textId="08727B5D" w:rsidR="002F044A" w:rsidRPr="007341A4" w:rsidRDefault="000D3355" w:rsidP="009B0EE1">
            <w:pPr>
              <w:spacing w:line="276" w:lineRule="auto"/>
              <w:ind w:left="34"/>
              <w:jc w:val="both"/>
              <w:rPr>
                <w:rFonts w:ascii="Times New Roman" w:hAnsi="Times New Roman"/>
                <w:szCs w:val="24"/>
              </w:rPr>
            </w:pPr>
            <w:r w:rsidRPr="007341A4">
              <w:rPr>
                <w:rFonts w:ascii="Times New Roman" w:hAnsi="Times New Roman"/>
                <w:szCs w:val="24"/>
              </w:rPr>
              <w:t>Didžiausia išmokų suma</w:t>
            </w:r>
            <w:r w:rsidR="002F044A" w:rsidRPr="007341A4">
              <w:rPr>
                <w:rFonts w:ascii="Times New Roman" w:hAnsi="Times New Roman"/>
                <w:szCs w:val="24"/>
              </w:rPr>
              <w:t>,</w:t>
            </w:r>
            <w:r w:rsidRPr="007341A4">
              <w:rPr>
                <w:rFonts w:ascii="Times New Roman" w:hAnsi="Times New Roman"/>
                <w:szCs w:val="24"/>
              </w:rPr>
              <w:t xml:space="preserve"> </w:t>
            </w:r>
            <w:r w:rsidR="002F044A" w:rsidRPr="007341A4">
              <w:rPr>
                <w:rFonts w:ascii="Times New Roman" w:hAnsi="Times New Roman"/>
                <w:szCs w:val="24"/>
              </w:rPr>
              <w:t xml:space="preserve">kurią atrinktas PGF2 priemonės valdytojas galėtų gauti pagal </w:t>
            </w:r>
            <w:r w:rsidR="00BC4646">
              <w:rPr>
                <w:rFonts w:ascii="Times New Roman" w:hAnsi="Times New Roman"/>
                <w:szCs w:val="24"/>
              </w:rPr>
              <w:t>S</w:t>
            </w:r>
            <w:r w:rsidR="002F044A" w:rsidRPr="007341A4">
              <w:rPr>
                <w:rFonts w:ascii="Times New Roman" w:hAnsi="Times New Roman"/>
                <w:szCs w:val="24"/>
              </w:rPr>
              <w:t>utartį, sudarytą su „Invega“.</w:t>
            </w:r>
          </w:p>
          <w:p w14:paraId="104FEFDE" w14:textId="791A7631" w:rsidR="005B6E65" w:rsidRPr="007341A4" w:rsidRDefault="002F044A" w:rsidP="009B0EE1">
            <w:pPr>
              <w:spacing w:line="276" w:lineRule="auto"/>
              <w:ind w:left="34"/>
              <w:jc w:val="both"/>
              <w:rPr>
                <w:rFonts w:ascii="Times New Roman" w:hAnsi="Times New Roman"/>
                <w:szCs w:val="24"/>
              </w:rPr>
            </w:pPr>
            <w:r w:rsidRPr="007341A4">
              <w:rPr>
                <w:rFonts w:ascii="Times New Roman" w:hAnsi="Times New Roman"/>
                <w:szCs w:val="24"/>
              </w:rPr>
              <w:t xml:space="preserve">Suma </w:t>
            </w:r>
            <w:r w:rsidR="005B6E65" w:rsidRPr="007341A4">
              <w:rPr>
                <w:rFonts w:ascii="Times New Roman" w:hAnsi="Times New Roman"/>
                <w:szCs w:val="24"/>
              </w:rPr>
              <w:t>apskaičiuojama naudojant formulę:</w:t>
            </w:r>
          </w:p>
          <w:p w14:paraId="65B1C0A2" w14:textId="77777777" w:rsidR="005B6E65" w:rsidRPr="007341A4" w:rsidRDefault="005B6E65" w:rsidP="009B0EE1">
            <w:pPr>
              <w:spacing w:line="276" w:lineRule="auto"/>
              <w:ind w:left="34"/>
              <w:jc w:val="both"/>
              <w:rPr>
                <w:rFonts w:ascii="Times New Roman" w:hAnsi="Times New Roman"/>
                <w:szCs w:val="24"/>
              </w:rPr>
            </w:pPr>
            <w:r w:rsidRPr="007341A4">
              <w:rPr>
                <w:rFonts w:ascii="Times New Roman" w:hAnsi="Times New Roman"/>
                <w:szCs w:val="24"/>
              </w:rPr>
              <w:t>I = A x G x R, kur:</w:t>
            </w:r>
          </w:p>
          <w:p w14:paraId="6F37EE66" w14:textId="77777777" w:rsidR="005B6E65" w:rsidRPr="007341A4" w:rsidRDefault="005B6E65" w:rsidP="009B0EE1">
            <w:pPr>
              <w:spacing w:line="276" w:lineRule="auto"/>
              <w:ind w:left="34"/>
              <w:jc w:val="both"/>
              <w:rPr>
                <w:rFonts w:ascii="Times New Roman" w:hAnsi="Times New Roman"/>
                <w:szCs w:val="24"/>
              </w:rPr>
            </w:pPr>
            <w:r w:rsidRPr="007341A4">
              <w:rPr>
                <w:rFonts w:ascii="Times New Roman" w:hAnsi="Times New Roman"/>
                <w:szCs w:val="24"/>
              </w:rPr>
              <w:t>I – Didžiausia išmokų suma;</w:t>
            </w:r>
          </w:p>
          <w:p w14:paraId="4FC1C04E" w14:textId="4B709240" w:rsidR="005B6E65" w:rsidRPr="007341A4" w:rsidRDefault="005B6E65" w:rsidP="009B0EE1">
            <w:pPr>
              <w:spacing w:line="276" w:lineRule="auto"/>
              <w:ind w:left="34"/>
              <w:jc w:val="both"/>
              <w:rPr>
                <w:rFonts w:ascii="Times New Roman" w:hAnsi="Times New Roman"/>
                <w:szCs w:val="24"/>
              </w:rPr>
            </w:pPr>
            <w:r w:rsidRPr="007341A4">
              <w:rPr>
                <w:rFonts w:ascii="Times New Roman" w:hAnsi="Times New Roman"/>
                <w:szCs w:val="24"/>
              </w:rPr>
              <w:t>A – į Portfelį faktiškai įtrauktų Faktoringo sandori</w:t>
            </w:r>
            <w:r w:rsidR="00B71EF7" w:rsidRPr="007341A4">
              <w:rPr>
                <w:rFonts w:ascii="Times New Roman" w:hAnsi="Times New Roman"/>
                <w:szCs w:val="24"/>
              </w:rPr>
              <w:t>ų</w:t>
            </w:r>
            <w:r w:rsidRPr="007341A4">
              <w:rPr>
                <w:rFonts w:ascii="Times New Roman" w:hAnsi="Times New Roman"/>
                <w:szCs w:val="24"/>
              </w:rPr>
              <w:t xml:space="preserve"> Faktoringo avansų suma, išmokėta MVĮ, neviršijant Faktoringo </w:t>
            </w:r>
            <w:r w:rsidR="00131764" w:rsidRPr="007341A4">
              <w:rPr>
                <w:rFonts w:ascii="Times New Roman" w:hAnsi="Times New Roman"/>
                <w:szCs w:val="24"/>
              </w:rPr>
              <w:t>limitų</w:t>
            </w:r>
            <w:r w:rsidRPr="007341A4">
              <w:rPr>
                <w:rFonts w:ascii="Times New Roman" w:hAnsi="Times New Roman"/>
                <w:szCs w:val="24"/>
              </w:rPr>
              <w:t>;</w:t>
            </w:r>
          </w:p>
          <w:p w14:paraId="56FB56E9" w14:textId="77777777" w:rsidR="005B6E65" w:rsidRPr="007341A4" w:rsidRDefault="005B6E65" w:rsidP="009B0EE1">
            <w:pPr>
              <w:spacing w:line="276" w:lineRule="auto"/>
              <w:ind w:left="34"/>
              <w:jc w:val="both"/>
              <w:rPr>
                <w:rFonts w:ascii="Times New Roman" w:hAnsi="Times New Roman"/>
                <w:szCs w:val="24"/>
              </w:rPr>
            </w:pPr>
            <w:r w:rsidRPr="007341A4">
              <w:rPr>
                <w:rFonts w:ascii="Times New Roman" w:hAnsi="Times New Roman"/>
                <w:szCs w:val="24"/>
              </w:rPr>
              <w:t>G – Garantijos dydis (80 proc.);</w:t>
            </w:r>
          </w:p>
          <w:p w14:paraId="269EB2D1" w14:textId="2068B0C8" w:rsidR="005B6E65" w:rsidRPr="007341A4" w:rsidRDefault="005B6E65" w:rsidP="009B0EE1">
            <w:pPr>
              <w:spacing w:line="276" w:lineRule="auto"/>
              <w:ind w:left="34"/>
              <w:jc w:val="both"/>
              <w:rPr>
                <w:rFonts w:ascii="Times New Roman" w:hAnsi="Times New Roman"/>
                <w:szCs w:val="24"/>
              </w:rPr>
            </w:pPr>
            <w:r w:rsidRPr="007341A4">
              <w:rPr>
                <w:rFonts w:ascii="Times New Roman" w:hAnsi="Times New Roman"/>
                <w:szCs w:val="24"/>
              </w:rPr>
              <w:t>R – Viršutinės ribos normos dydis (20 proc.)</w:t>
            </w:r>
            <w:r w:rsidR="00D1612E">
              <w:rPr>
                <w:rFonts w:ascii="Times New Roman" w:hAnsi="Times New Roman"/>
                <w:szCs w:val="24"/>
              </w:rPr>
              <w:t>.</w:t>
            </w:r>
          </w:p>
        </w:tc>
      </w:tr>
      <w:tr w:rsidR="007F2A2A" w:rsidRPr="00C33AC8" w14:paraId="55EFB40F"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35B69F10" w14:textId="77777777" w:rsidR="00623C07" w:rsidRPr="00E20077" w:rsidRDefault="00623C07" w:rsidP="009B0EE1">
            <w:pPr>
              <w:pStyle w:val="ListParagraph"/>
              <w:numPr>
                <w:ilvl w:val="0"/>
                <w:numId w:val="13"/>
              </w:numPr>
              <w:spacing w:after="0"/>
              <w:jc w:val="center"/>
              <w:rPr>
                <w:sz w:val="24"/>
                <w:szCs w:val="24"/>
                <w:lang w:val="lt-LT"/>
              </w:rPr>
            </w:pPr>
          </w:p>
        </w:tc>
        <w:tc>
          <w:tcPr>
            <w:tcW w:w="3119" w:type="dxa"/>
          </w:tcPr>
          <w:p w14:paraId="3A00E940" w14:textId="23557454" w:rsidR="00623C07" w:rsidRPr="00DB229F" w:rsidRDefault="00623C07" w:rsidP="009B0EE1">
            <w:pPr>
              <w:spacing w:line="276" w:lineRule="auto"/>
              <w:rPr>
                <w:rFonts w:ascii="Times New Roman" w:hAnsi="Times New Roman"/>
                <w:b/>
                <w:szCs w:val="24"/>
              </w:rPr>
            </w:pPr>
            <w:r w:rsidRPr="00DB229F">
              <w:rPr>
                <w:rFonts w:ascii="Times New Roman" w:hAnsi="Times New Roman"/>
                <w:b/>
                <w:szCs w:val="24"/>
              </w:rPr>
              <w:t>Einamoji sąskaita</w:t>
            </w:r>
          </w:p>
        </w:tc>
        <w:tc>
          <w:tcPr>
            <w:tcW w:w="6096" w:type="dxa"/>
          </w:tcPr>
          <w:p w14:paraId="50011E2E" w14:textId="544B7EA4" w:rsidR="00623C07" w:rsidRPr="00DB229F" w:rsidRDefault="006A5CC3" w:rsidP="00696D7B">
            <w:pPr>
              <w:spacing w:line="276" w:lineRule="auto"/>
              <w:ind w:left="34"/>
              <w:jc w:val="both"/>
              <w:rPr>
                <w:rFonts w:ascii="Times New Roman" w:hAnsi="Times New Roman"/>
                <w:szCs w:val="24"/>
              </w:rPr>
            </w:pPr>
            <w:r w:rsidRPr="00DB229F">
              <w:rPr>
                <w:rFonts w:ascii="Times New Roman" w:hAnsi="Times New Roman"/>
                <w:szCs w:val="24"/>
              </w:rPr>
              <w:t xml:space="preserve">Sutarties priede Nr. 1 nurodyta </w:t>
            </w:r>
            <w:r w:rsidR="000D3355" w:rsidRPr="00DB229F">
              <w:rPr>
                <w:rFonts w:ascii="Times New Roman" w:hAnsi="Times New Roman"/>
                <w:szCs w:val="24"/>
              </w:rPr>
              <w:t>INVEGOS</w:t>
            </w:r>
            <w:r w:rsidR="00437FE9" w:rsidRPr="00DB229F">
              <w:rPr>
                <w:rFonts w:ascii="Times New Roman" w:hAnsi="Times New Roman"/>
                <w:szCs w:val="24"/>
              </w:rPr>
              <w:t xml:space="preserve"> fondo </w:t>
            </w:r>
            <w:r w:rsidR="006514A5" w:rsidRPr="00DB229F">
              <w:rPr>
                <w:rFonts w:ascii="Times New Roman" w:hAnsi="Times New Roman"/>
                <w:szCs w:val="24"/>
              </w:rPr>
              <w:t xml:space="preserve">grįžusių ir (ar) grįšiančių lėšų </w:t>
            </w:r>
            <w:r w:rsidR="00437FE9" w:rsidRPr="00DB229F">
              <w:rPr>
                <w:rFonts w:ascii="Times New Roman" w:hAnsi="Times New Roman"/>
                <w:szCs w:val="24"/>
              </w:rPr>
              <w:t>s</w:t>
            </w:r>
            <w:r w:rsidR="00437FE9" w:rsidRPr="00DB229F">
              <w:rPr>
                <w:rFonts w:ascii="Times New Roman" w:hAnsi="Times New Roman" w:hint="eastAsia"/>
                <w:szCs w:val="24"/>
              </w:rPr>
              <w:t>ą</w:t>
            </w:r>
            <w:r w:rsidR="00437FE9" w:rsidRPr="00DB229F">
              <w:rPr>
                <w:rFonts w:ascii="Times New Roman" w:hAnsi="Times New Roman"/>
                <w:szCs w:val="24"/>
              </w:rPr>
              <w:t>skaita</w:t>
            </w:r>
            <w:r w:rsidR="006514A5" w:rsidRPr="00DB229F">
              <w:rPr>
                <w:rFonts w:ascii="Times New Roman" w:hAnsi="Times New Roman"/>
                <w:szCs w:val="24"/>
              </w:rPr>
              <w:t xml:space="preserve"> banke</w:t>
            </w:r>
            <w:r w:rsidR="00437FE9" w:rsidRPr="00DB229F">
              <w:rPr>
                <w:rFonts w:ascii="Times New Roman" w:hAnsi="Times New Roman"/>
                <w:szCs w:val="24"/>
              </w:rPr>
              <w:t xml:space="preserve">, į kurią </w:t>
            </w:r>
            <w:r w:rsidR="00C51F33" w:rsidRPr="00DB229F">
              <w:rPr>
                <w:rFonts w:ascii="Times New Roman" w:hAnsi="Times New Roman"/>
                <w:szCs w:val="24"/>
              </w:rPr>
              <w:t>PGF</w:t>
            </w:r>
            <w:r w:rsidR="00DB229F" w:rsidRPr="00DB229F">
              <w:rPr>
                <w:rFonts w:ascii="Times New Roman" w:hAnsi="Times New Roman"/>
                <w:szCs w:val="24"/>
              </w:rPr>
              <w:t>2</w:t>
            </w:r>
            <w:r w:rsidRPr="00DB229F">
              <w:rPr>
                <w:rFonts w:ascii="Times New Roman" w:hAnsi="Times New Roman"/>
                <w:szCs w:val="24"/>
              </w:rPr>
              <w:t xml:space="preserve"> </w:t>
            </w:r>
            <w:r w:rsidR="00437FE9" w:rsidRPr="00DB229F">
              <w:rPr>
                <w:rFonts w:ascii="Times New Roman" w:hAnsi="Times New Roman"/>
                <w:szCs w:val="24"/>
              </w:rPr>
              <w:t>priemon</w:t>
            </w:r>
            <w:r w:rsidR="00437FE9" w:rsidRPr="00DB229F">
              <w:rPr>
                <w:rFonts w:ascii="Times New Roman" w:hAnsi="Times New Roman" w:hint="eastAsia"/>
                <w:szCs w:val="24"/>
              </w:rPr>
              <w:t>ė</w:t>
            </w:r>
            <w:r w:rsidR="00437FE9" w:rsidRPr="00DB229F">
              <w:rPr>
                <w:rFonts w:ascii="Times New Roman" w:hAnsi="Times New Roman"/>
                <w:szCs w:val="24"/>
              </w:rPr>
              <w:t>s valdytojas moka Garantijos mokestį, grąžina išieškotas sumas ir Garantijos išmokas, gautas pagal Reikalavim</w:t>
            </w:r>
            <w:r w:rsidR="00437FE9" w:rsidRPr="00DB229F">
              <w:rPr>
                <w:rFonts w:ascii="Times New Roman" w:hAnsi="Times New Roman" w:hint="eastAsia"/>
                <w:szCs w:val="24"/>
              </w:rPr>
              <w:t>ų</w:t>
            </w:r>
            <w:r w:rsidR="00437FE9" w:rsidRPr="00DB229F">
              <w:rPr>
                <w:rFonts w:ascii="Times New Roman" w:hAnsi="Times New Roman"/>
                <w:szCs w:val="24"/>
              </w:rPr>
              <w:t xml:space="preserve"> </w:t>
            </w:r>
            <w:r w:rsidR="000D3355" w:rsidRPr="00DB229F">
              <w:rPr>
                <w:rFonts w:ascii="Times New Roman" w:hAnsi="Times New Roman"/>
                <w:szCs w:val="24"/>
              </w:rPr>
              <w:t>neatitinkan</w:t>
            </w:r>
            <w:r w:rsidR="000D3355" w:rsidRPr="00DB229F">
              <w:rPr>
                <w:rFonts w:ascii="Times New Roman" w:hAnsi="Times New Roman" w:hint="eastAsia"/>
                <w:szCs w:val="24"/>
              </w:rPr>
              <w:t>č</w:t>
            </w:r>
            <w:r w:rsidR="000D3355" w:rsidRPr="00DB229F">
              <w:rPr>
                <w:rFonts w:ascii="Times New Roman" w:hAnsi="Times New Roman"/>
                <w:szCs w:val="24"/>
              </w:rPr>
              <w:t>ius f</w:t>
            </w:r>
            <w:r w:rsidR="00BE1664" w:rsidRPr="00DB229F">
              <w:rPr>
                <w:rFonts w:ascii="Times New Roman" w:hAnsi="Times New Roman"/>
                <w:szCs w:val="24"/>
              </w:rPr>
              <w:t>aktoringo sandori</w:t>
            </w:r>
            <w:r w:rsidR="000D3355" w:rsidRPr="00DB229F">
              <w:rPr>
                <w:rFonts w:ascii="Times New Roman" w:hAnsi="Times New Roman"/>
                <w:szCs w:val="24"/>
              </w:rPr>
              <w:t>u</w:t>
            </w:r>
            <w:r w:rsidRPr="00DB229F">
              <w:rPr>
                <w:rFonts w:ascii="Times New Roman" w:hAnsi="Times New Roman"/>
                <w:szCs w:val="24"/>
              </w:rPr>
              <w:t>s</w:t>
            </w:r>
            <w:r w:rsidR="00437FE9" w:rsidRPr="00DB229F">
              <w:rPr>
                <w:rFonts w:ascii="Times New Roman" w:hAnsi="Times New Roman"/>
                <w:szCs w:val="24"/>
              </w:rPr>
              <w:t xml:space="preserve">, ir bet kuriems kitiems </w:t>
            </w:r>
            <w:r w:rsidR="00C51F33" w:rsidRPr="00DB229F">
              <w:rPr>
                <w:rFonts w:ascii="Times New Roman" w:hAnsi="Times New Roman"/>
                <w:szCs w:val="24"/>
              </w:rPr>
              <w:t>PGF</w:t>
            </w:r>
            <w:r w:rsidR="00DB229F" w:rsidRPr="00DB229F">
              <w:rPr>
                <w:rFonts w:ascii="Times New Roman" w:hAnsi="Times New Roman"/>
                <w:szCs w:val="24"/>
              </w:rPr>
              <w:t>2</w:t>
            </w:r>
            <w:r w:rsidR="00437FE9" w:rsidRPr="00DB229F">
              <w:rPr>
                <w:rFonts w:ascii="Times New Roman" w:hAnsi="Times New Roman"/>
                <w:szCs w:val="24"/>
              </w:rPr>
              <w:t xml:space="preserve"> priemonės valdytojo mokėjimams „Invegai“ pagal Sutartį atlikti. Pasikeitus šios s</w:t>
            </w:r>
            <w:r w:rsidR="00437FE9" w:rsidRPr="00DB229F">
              <w:rPr>
                <w:rFonts w:ascii="Times New Roman" w:hAnsi="Times New Roman" w:hint="eastAsia"/>
                <w:szCs w:val="24"/>
              </w:rPr>
              <w:t>ą</w:t>
            </w:r>
            <w:r w:rsidR="00437FE9" w:rsidRPr="00DB229F">
              <w:rPr>
                <w:rFonts w:ascii="Times New Roman" w:hAnsi="Times New Roman"/>
                <w:szCs w:val="24"/>
              </w:rPr>
              <w:t xml:space="preserve">skaitos rekvizitams, </w:t>
            </w:r>
            <w:r w:rsidR="00BA49DC" w:rsidRPr="00DB229F">
              <w:rPr>
                <w:rFonts w:ascii="Times New Roman" w:hAnsi="Times New Roman"/>
                <w:szCs w:val="24"/>
              </w:rPr>
              <w:t>„</w:t>
            </w:r>
            <w:r w:rsidR="00437FE9" w:rsidRPr="00DB229F">
              <w:rPr>
                <w:rFonts w:ascii="Times New Roman" w:hAnsi="Times New Roman"/>
                <w:szCs w:val="24"/>
              </w:rPr>
              <w:t>Invega</w:t>
            </w:r>
            <w:r w:rsidR="00BA49DC" w:rsidRPr="00DB229F">
              <w:rPr>
                <w:rFonts w:ascii="Times New Roman" w:hAnsi="Times New Roman"/>
                <w:szCs w:val="24"/>
              </w:rPr>
              <w:t>“</w:t>
            </w:r>
            <w:r w:rsidR="00437FE9" w:rsidRPr="00DB229F">
              <w:rPr>
                <w:rFonts w:ascii="Times New Roman" w:hAnsi="Times New Roman"/>
                <w:szCs w:val="24"/>
              </w:rPr>
              <w:t xml:space="preserve"> ra</w:t>
            </w:r>
            <w:r w:rsidR="00437FE9" w:rsidRPr="00DB229F">
              <w:rPr>
                <w:rFonts w:ascii="Times New Roman" w:hAnsi="Times New Roman" w:hint="eastAsia"/>
                <w:szCs w:val="24"/>
              </w:rPr>
              <w:t>š</w:t>
            </w:r>
            <w:r w:rsidR="00437FE9" w:rsidRPr="00DB229F">
              <w:rPr>
                <w:rFonts w:ascii="Times New Roman" w:hAnsi="Times New Roman"/>
                <w:szCs w:val="24"/>
              </w:rPr>
              <w:t xml:space="preserve">tu informuoja </w:t>
            </w:r>
            <w:r w:rsidR="00C51F33" w:rsidRPr="00DB229F">
              <w:rPr>
                <w:rFonts w:ascii="Times New Roman" w:hAnsi="Times New Roman"/>
                <w:szCs w:val="24"/>
              </w:rPr>
              <w:t>PGF</w:t>
            </w:r>
            <w:r w:rsidR="00DB229F" w:rsidRPr="00DB229F">
              <w:rPr>
                <w:rFonts w:ascii="Times New Roman" w:hAnsi="Times New Roman"/>
                <w:szCs w:val="24"/>
              </w:rPr>
              <w:t>2</w:t>
            </w:r>
            <w:r w:rsidR="00437FE9" w:rsidRPr="00DB229F">
              <w:rPr>
                <w:rFonts w:ascii="Times New Roman" w:hAnsi="Times New Roman"/>
                <w:szCs w:val="24"/>
              </w:rPr>
              <w:t xml:space="preserve"> priemon</w:t>
            </w:r>
            <w:r w:rsidR="00437FE9" w:rsidRPr="00DB229F">
              <w:rPr>
                <w:rFonts w:ascii="Times New Roman" w:hAnsi="Times New Roman" w:hint="eastAsia"/>
                <w:szCs w:val="24"/>
              </w:rPr>
              <w:t>ė</w:t>
            </w:r>
            <w:r w:rsidR="00437FE9" w:rsidRPr="00DB229F">
              <w:rPr>
                <w:rFonts w:ascii="Times New Roman" w:hAnsi="Times New Roman"/>
                <w:szCs w:val="24"/>
              </w:rPr>
              <w:t>s valdytoj</w:t>
            </w:r>
            <w:r w:rsidR="00437FE9" w:rsidRPr="00DB229F">
              <w:rPr>
                <w:rFonts w:ascii="Times New Roman" w:hAnsi="Times New Roman" w:hint="eastAsia"/>
                <w:szCs w:val="24"/>
              </w:rPr>
              <w:t>ą</w:t>
            </w:r>
            <w:r w:rsidR="00437FE9" w:rsidRPr="00DB229F">
              <w:rPr>
                <w:rFonts w:ascii="Times New Roman" w:hAnsi="Times New Roman"/>
                <w:szCs w:val="24"/>
              </w:rPr>
              <w:t xml:space="preserve"> apie pasikeitimus. Visi mok</w:t>
            </w:r>
            <w:r w:rsidR="00437FE9" w:rsidRPr="00DB229F">
              <w:rPr>
                <w:rFonts w:ascii="Times New Roman" w:hAnsi="Times New Roman" w:hint="eastAsia"/>
                <w:szCs w:val="24"/>
              </w:rPr>
              <w:t>ė</w:t>
            </w:r>
            <w:r w:rsidR="00437FE9" w:rsidRPr="00DB229F">
              <w:rPr>
                <w:rFonts w:ascii="Times New Roman" w:hAnsi="Times New Roman"/>
                <w:szCs w:val="24"/>
              </w:rPr>
              <w:t>jimai nuo ra</w:t>
            </w:r>
            <w:r w:rsidR="00437FE9" w:rsidRPr="00DB229F">
              <w:rPr>
                <w:rFonts w:ascii="Times New Roman" w:hAnsi="Times New Roman" w:hint="eastAsia"/>
                <w:szCs w:val="24"/>
              </w:rPr>
              <w:t>š</w:t>
            </w:r>
            <w:r w:rsidR="00437FE9" w:rsidRPr="00DB229F">
              <w:rPr>
                <w:rFonts w:ascii="Times New Roman" w:hAnsi="Times New Roman"/>
                <w:szCs w:val="24"/>
              </w:rPr>
              <w:t>te nurodytos datos turi b</w:t>
            </w:r>
            <w:r w:rsidR="00437FE9" w:rsidRPr="00DB229F">
              <w:rPr>
                <w:rFonts w:ascii="Times New Roman" w:hAnsi="Times New Roman" w:hint="eastAsia"/>
                <w:szCs w:val="24"/>
              </w:rPr>
              <w:t>ū</w:t>
            </w:r>
            <w:r w:rsidR="00437FE9" w:rsidRPr="00DB229F">
              <w:rPr>
                <w:rFonts w:ascii="Times New Roman" w:hAnsi="Times New Roman"/>
                <w:szCs w:val="24"/>
              </w:rPr>
              <w:t xml:space="preserve">ti atliekami </w:t>
            </w:r>
            <w:r w:rsidR="00437FE9" w:rsidRPr="00DB229F">
              <w:rPr>
                <w:rFonts w:ascii="Times New Roman" w:hAnsi="Times New Roman" w:hint="eastAsia"/>
                <w:szCs w:val="24"/>
              </w:rPr>
              <w:t>į</w:t>
            </w:r>
            <w:r w:rsidR="00437FE9" w:rsidRPr="00DB229F">
              <w:rPr>
                <w:rFonts w:ascii="Times New Roman" w:hAnsi="Times New Roman"/>
                <w:szCs w:val="24"/>
              </w:rPr>
              <w:t xml:space="preserve"> nauj</w:t>
            </w:r>
            <w:r w:rsidR="00437FE9" w:rsidRPr="00DB229F">
              <w:rPr>
                <w:rFonts w:ascii="Times New Roman" w:hAnsi="Times New Roman" w:hint="eastAsia"/>
                <w:szCs w:val="24"/>
              </w:rPr>
              <w:t>ą</w:t>
            </w:r>
            <w:r w:rsidR="00437FE9" w:rsidRPr="00DB229F">
              <w:rPr>
                <w:rFonts w:ascii="Times New Roman" w:hAnsi="Times New Roman"/>
                <w:szCs w:val="24"/>
              </w:rPr>
              <w:t xml:space="preserve"> </w:t>
            </w:r>
            <w:r w:rsidR="00BA49DC" w:rsidRPr="00DB229F">
              <w:rPr>
                <w:rFonts w:ascii="Times New Roman" w:hAnsi="Times New Roman"/>
                <w:szCs w:val="24"/>
              </w:rPr>
              <w:t>„</w:t>
            </w:r>
            <w:r w:rsidR="00437FE9" w:rsidRPr="00DB229F">
              <w:rPr>
                <w:rFonts w:ascii="Times New Roman" w:hAnsi="Times New Roman"/>
                <w:szCs w:val="24"/>
              </w:rPr>
              <w:t>Invegos</w:t>
            </w:r>
            <w:r w:rsidR="00BA49DC" w:rsidRPr="00DB229F">
              <w:rPr>
                <w:rFonts w:ascii="Times New Roman" w:hAnsi="Times New Roman"/>
                <w:szCs w:val="24"/>
              </w:rPr>
              <w:t>“</w:t>
            </w:r>
            <w:r w:rsidR="00437FE9" w:rsidRPr="00DB229F">
              <w:rPr>
                <w:rFonts w:ascii="Times New Roman" w:hAnsi="Times New Roman"/>
                <w:szCs w:val="24"/>
              </w:rPr>
              <w:t xml:space="preserve"> ra</w:t>
            </w:r>
            <w:r w:rsidR="00437FE9" w:rsidRPr="00DB229F">
              <w:rPr>
                <w:rFonts w:ascii="Times New Roman" w:hAnsi="Times New Roman" w:hint="eastAsia"/>
                <w:szCs w:val="24"/>
              </w:rPr>
              <w:t>š</w:t>
            </w:r>
            <w:r w:rsidR="00437FE9" w:rsidRPr="00DB229F">
              <w:rPr>
                <w:rFonts w:ascii="Times New Roman" w:hAnsi="Times New Roman"/>
                <w:szCs w:val="24"/>
              </w:rPr>
              <w:t>te nurodyt</w:t>
            </w:r>
            <w:r w:rsidR="00437FE9" w:rsidRPr="00DB229F">
              <w:rPr>
                <w:rFonts w:ascii="Times New Roman" w:hAnsi="Times New Roman" w:hint="eastAsia"/>
                <w:szCs w:val="24"/>
              </w:rPr>
              <w:t>ą</w:t>
            </w:r>
            <w:r w:rsidR="00437FE9" w:rsidRPr="00DB229F">
              <w:rPr>
                <w:rFonts w:ascii="Times New Roman" w:hAnsi="Times New Roman"/>
                <w:szCs w:val="24"/>
              </w:rPr>
              <w:t xml:space="preserve"> banko s</w:t>
            </w:r>
            <w:r w:rsidR="00437FE9" w:rsidRPr="00DB229F">
              <w:rPr>
                <w:rFonts w:ascii="Times New Roman" w:hAnsi="Times New Roman" w:hint="eastAsia"/>
                <w:szCs w:val="24"/>
              </w:rPr>
              <w:t>ą</w:t>
            </w:r>
            <w:r w:rsidR="00437FE9" w:rsidRPr="00DB229F">
              <w:rPr>
                <w:rFonts w:ascii="Times New Roman" w:hAnsi="Times New Roman"/>
                <w:szCs w:val="24"/>
              </w:rPr>
              <w:t>skait</w:t>
            </w:r>
            <w:r w:rsidR="00437FE9" w:rsidRPr="00DB229F">
              <w:rPr>
                <w:rFonts w:ascii="Times New Roman" w:hAnsi="Times New Roman" w:hint="eastAsia"/>
                <w:szCs w:val="24"/>
              </w:rPr>
              <w:t>ą</w:t>
            </w:r>
            <w:r w:rsidR="00437FE9" w:rsidRPr="00DB229F">
              <w:rPr>
                <w:rFonts w:ascii="Times New Roman" w:hAnsi="Times New Roman"/>
                <w:szCs w:val="24"/>
              </w:rPr>
              <w:t>, kuri toliau bus laikoma Einamąja sąskaita</w:t>
            </w:r>
            <w:r w:rsidR="00DB229F" w:rsidRPr="00DB229F">
              <w:rPr>
                <w:rFonts w:ascii="Times New Roman" w:hAnsi="Times New Roman"/>
                <w:szCs w:val="24"/>
              </w:rPr>
              <w:t>.</w:t>
            </w:r>
          </w:p>
        </w:tc>
      </w:tr>
      <w:tr w:rsidR="007F2A2A" w:rsidRPr="00C33AC8" w14:paraId="7AD4E104"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3C594D10" w14:textId="77777777" w:rsidR="00EE605D" w:rsidRPr="00AB2179" w:rsidRDefault="00EE605D" w:rsidP="009B0EE1">
            <w:pPr>
              <w:pStyle w:val="ListParagraph"/>
              <w:numPr>
                <w:ilvl w:val="0"/>
                <w:numId w:val="13"/>
              </w:numPr>
              <w:spacing w:after="0"/>
              <w:jc w:val="center"/>
              <w:rPr>
                <w:sz w:val="24"/>
                <w:szCs w:val="24"/>
                <w:lang w:val="lt-LT"/>
              </w:rPr>
            </w:pPr>
          </w:p>
        </w:tc>
        <w:tc>
          <w:tcPr>
            <w:tcW w:w="3119" w:type="dxa"/>
          </w:tcPr>
          <w:p w14:paraId="48EE26D2" w14:textId="7CDA443F" w:rsidR="00EE605D" w:rsidRPr="007576B1" w:rsidRDefault="00EE605D" w:rsidP="009B0EE1">
            <w:pPr>
              <w:spacing w:line="276" w:lineRule="auto"/>
              <w:rPr>
                <w:rFonts w:ascii="Times New Roman" w:hAnsi="Times New Roman"/>
                <w:b/>
                <w:szCs w:val="24"/>
              </w:rPr>
            </w:pPr>
            <w:r w:rsidRPr="007576B1">
              <w:rPr>
                <w:rFonts w:ascii="Times New Roman" w:hAnsi="Times New Roman"/>
                <w:b/>
                <w:szCs w:val="24"/>
              </w:rPr>
              <w:t>Elektroninis parašas</w:t>
            </w:r>
          </w:p>
        </w:tc>
        <w:tc>
          <w:tcPr>
            <w:tcW w:w="6096" w:type="dxa"/>
          </w:tcPr>
          <w:p w14:paraId="73540F1E" w14:textId="74F77083" w:rsidR="00EE605D" w:rsidRPr="007576B1" w:rsidRDefault="007576B1" w:rsidP="009B0EE1">
            <w:pPr>
              <w:spacing w:line="276" w:lineRule="auto"/>
              <w:ind w:left="34"/>
              <w:jc w:val="both"/>
              <w:rPr>
                <w:rFonts w:ascii="Times New Roman" w:hAnsi="Times New Roman"/>
                <w:szCs w:val="24"/>
              </w:rPr>
            </w:pPr>
            <w:r>
              <w:rPr>
                <w:rFonts w:ascii="Times New Roman" w:hAnsi="Times New Roman"/>
                <w:szCs w:val="24"/>
              </w:rPr>
              <w:t>Kvalifikuotas e</w:t>
            </w:r>
            <w:r w:rsidR="00280D07" w:rsidRPr="007576B1">
              <w:rPr>
                <w:rFonts w:ascii="Times New Roman" w:hAnsi="Times New Roman"/>
                <w:szCs w:val="24"/>
              </w:rPr>
              <w:t xml:space="preserve">lektroninis </w:t>
            </w:r>
            <w:r w:rsidR="00EE605D" w:rsidRPr="007576B1">
              <w:rPr>
                <w:rFonts w:ascii="Times New Roman" w:hAnsi="Times New Roman"/>
                <w:szCs w:val="24"/>
              </w:rPr>
              <w:t>parašas</w:t>
            </w:r>
            <w:r w:rsidRPr="007576B1">
              <w:rPr>
                <w:rFonts w:ascii="Times New Roman" w:hAnsi="Times New Roman"/>
                <w:szCs w:val="24"/>
              </w:rPr>
              <w:t>, atitinkantis 2014 m. liepos 23 d. Europos Parlamento ir Tarybos reglamento (ES) Nr</w:t>
            </w:r>
            <w:r w:rsidR="00F11437" w:rsidRPr="007576B1">
              <w:rPr>
                <w:rFonts w:ascii="Times New Roman" w:hAnsi="Times New Roman"/>
                <w:szCs w:val="24"/>
              </w:rPr>
              <w:t>.</w:t>
            </w:r>
            <w:r w:rsidR="00F11437">
              <w:rPr>
                <w:rFonts w:ascii="Times New Roman" w:hAnsi="Times New Roman"/>
                <w:szCs w:val="24"/>
              </w:rPr>
              <w:t> </w:t>
            </w:r>
            <w:r w:rsidRPr="007576B1">
              <w:rPr>
                <w:rFonts w:ascii="Times New Roman" w:hAnsi="Times New Roman"/>
                <w:szCs w:val="24"/>
              </w:rPr>
              <w:t>910/2014 dėl elektroninės atpažinties ir elektroninių operacijų patikimumo užtikrinimo paslaugų vidaus rinkoje nustatytus reikalavimus.</w:t>
            </w:r>
          </w:p>
        </w:tc>
      </w:tr>
      <w:tr w:rsidR="007F2A2A" w:rsidRPr="00C33AC8" w14:paraId="6EE72A04"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161BBDE0" w14:textId="77777777" w:rsidR="0038798B" w:rsidRPr="0022567A" w:rsidRDefault="0038798B"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4150047B" w14:textId="620CC392" w:rsidR="0038798B" w:rsidRPr="0022567A" w:rsidRDefault="0038798B" w:rsidP="009B0EE1">
            <w:pPr>
              <w:spacing w:line="276" w:lineRule="auto"/>
              <w:rPr>
                <w:rFonts w:ascii="Times New Roman" w:hAnsi="Times New Roman"/>
                <w:b/>
                <w:szCs w:val="24"/>
              </w:rPr>
            </w:pPr>
            <w:r w:rsidRPr="0022567A">
              <w:rPr>
                <w:rFonts w:ascii="Times New Roman" w:hAnsi="Times New Roman"/>
                <w:b/>
                <w:szCs w:val="24"/>
              </w:rPr>
              <w:t xml:space="preserve">Faktinis </w:t>
            </w:r>
            <w:r w:rsidR="0062733F" w:rsidRPr="0022567A">
              <w:rPr>
                <w:rFonts w:ascii="Times New Roman" w:hAnsi="Times New Roman"/>
                <w:b/>
                <w:szCs w:val="24"/>
              </w:rPr>
              <w:t>p</w:t>
            </w:r>
            <w:r w:rsidRPr="0022567A">
              <w:rPr>
                <w:rFonts w:ascii="Times New Roman" w:hAnsi="Times New Roman"/>
                <w:b/>
                <w:szCs w:val="24"/>
              </w:rPr>
              <w:t>ortfelio dydis</w:t>
            </w:r>
          </w:p>
        </w:tc>
        <w:tc>
          <w:tcPr>
            <w:tcW w:w="6096" w:type="dxa"/>
            <w:tcBorders>
              <w:top w:val="single" w:sz="4" w:space="0" w:color="auto"/>
              <w:left w:val="single" w:sz="4" w:space="0" w:color="auto"/>
              <w:bottom w:val="single" w:sz="4" w:space="0" w:color="auto"/>
              <w:right w:val="single" w:sz="4" w:space="0" w:color="auto"/>
            </w:tcBorders>
          </w:tcPr>
          <w:p w14:paraId="35C8AED0" w14:textId="34749E1D" w:rsidR="0038798B" w:rsidRPr="00C33AC8" w:rsidRDefault="003544BE" w:rsidP="009B0EE1">
            <w:pPr>
              <w:spacing w:line="276" w:lineRule="auto"/>
              <w:ind w:left="34"/>
              <w:jc w:val="both"/>
              <w:rPr>
                <w:rFonts w:ascii="Times New Roman" w:hAnsi="Times New Roman"/>
                <w:szCs w:val="24"/>
                <w:highlight w:val="yellow"/>
              </w:rPr>
            </w:pPr>
            <w:r w:rsidRPr="0022567A">
              <w:rPr>
                <w:rFonts w:ascii="Times New Roman" w:hAnsi="Times New Roman"/>
                <w:szCs w:val="24"/>
              </w:rPr>
              <w:t>T</w:t>
            </w:r>
            <w:r w:rsidR="0038798B" w:rsidRPr="0022567A">
              <w:rPr>
                <w:rFonts w:ascii="Times New Roman" w:hAnsi="Times New Roman"/>
                <w:szCs w:val="24"/>
              </w:rPr>
              <w:t xml:space="preserve">am tikru ataskaitiniu momentu </w:t>
            </w:r>
            <w:r w:rsidR="00C63F39" w:rsidRPr="0022567A">
              <w:rPr>
                <w:rFonts w:ascii="Times New Roman" w:hAnsi="Times New Roman"/>
                <w:szCs w:val="24"/>
              </w:rPr>
              <w:t>apskaičiuota</w:t>
            </w:r>
            <w:r w:rsidR="006A078E" w:rsidRPr="0022567A">
              <w:rPr>
                <w:rFonts w:ascii="Times New Roman" w:hAnsi="Times New Roman"/>
                <w:szCs w:val="24"/>
              </w:rPr>
              <w:t>s</w:t>
            </w:r>
            <w:r w:rsidR="0038798B" w:rsidRPr="0022567A">
              <w:rPr>
                <w:rFonts w:ascii="Times New Roman" w:hAnsi="Times New Roman"/>
                <w:szCs w:val="24"/>
              </w:rPr>
              <w:t xml:space="preserve"> </w:t>
            </w:r>
            <w:r w:rsidR="00D962A9" w:rsidRPr="0022567A">
              <w:rPr>
                <w:rFonts w:ascii="Times New Roman" w:hAnsi="Times New Roman"/>
                <w:szCs w:val="24"/>
              </w:rPr>
              <w:t>Portfel</w:t>
            </w:r>
            <w:r w:rsidR="006A078E" w:rsidRPr="0022567A">
              <w:rPr>
                <w:rFonts w:ascii="Times New Roman" w:hAnsi="Times New Roman"/>
                <w:szCs w:val="24"/>
              </w:rPr>
              <w:t>io dydis</w:t>
            </w:r>
            <w:r w:rsidR="00380622" w:rsidRPr="0022567A">
              <w:rPr>
                <w:rFonts w:ascii="Times New Roman" w:hAnsi="Times New Roman"/>
                <w:szCs w:val="24"/>
              </w:rPr>
              <w:t xml:space="preserve">. Portfelio dydis suprantamas kaip Portfelyje esančių Faktoringo </w:t>
            </w:r>
            <w:r w:rsidR="0022567A" w:rsidRPr="0022567A">
              <w:rPr>
                <w:rFonts w:ascii="Times New Roman" w:hAnsi="Times New Roman"/>
                <w:szCs w:val="24"/>
              </w:rPr>
              <w:t xml:space="preserve">sandorių </w:t>
            </w:r>
            <w:r w:rsidR="00C357ED" w:rsidRPr="0022567A">
              <w:rPr>
                <w:rFonts w:ascii="Times New Roman" w:hAnsi="Times New Roman"/>
                <w:szCs w:val="24"/>
              </w:rPr>
              <w:t xml:space="preserve">limitų </w:t>
            </w:r>
            <w:r w:rsidR="0038798B" w:rsidRPr="0022567A">
              <w:rPr>
                <w:rFonts w:ascii="Times New Roman" w:hAnsi="Times New Roman"/>
                <w:szCs w:val="24"/>
              </w:rPr>
              <w:t>sum</w:t>
            </w:r>
            <w:r w:rsidR="00380622" w:rsidRPr="0022567A">
              <w:rPr>
                <w:rFonts w:ascii="Times New Roman" w:hAnsi="Times New Roman"/>
                <w:szCs w:val="24"/>
              </w:rPr>
              <w:t>a</w:t>
            </w:r>
            <w:r w:rsidR="00595601">
              <w:rPr>
                <w:rFonts w:ascii="Times New Roman" w:hAnsi="Times New Roman"/>
                <w:szCs w:val="24"/>
              </w:rPr>
              <w:t>.</w:t>
            </w:r>
          </w:p>
        </w:tc>
      </w:tr>
      <w:tr w:rsidR="00A0598B" w:rsidRPr="00C33AC8" w14:paraId="427E95D3"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7FD82C1A" w14:textId="77777777" w:rsidR="00A0598B" w:rsidRPr="002011E6" w:rsidRDefault="00A0598B"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2320D6DC" w14:textId="77777777" w:rsidR="00A0598B" w:rsidRPr="002011E6" w:rsidRDefault="00A0598B" w:rsidP="009B0EE1">
            <w:pPr>
              <w:spacing w:line="276" w:lineRule="auto"/>
              <w:rPr>
                <w:rFonts w:ascii="Times New Roman" w:hAnsi="Times New Roman"/>
                <w:b/>
                <w:szCs w:val="24"/>
              </w:rPr>
            </w:pPr>
            <w:r w:rsidRPr="002011E6">
              <w:rPr>
                <w:rFonts w:ascii="Times New Roman" w:hAnsi="Times New Roman"/>
                <w:b/>
                <w:szCs w:val="24"/>
              </w:rPr>
              <w:t>Faktoringo avansas</w:t>
            </w:r>
          </w:p>
        </w:tc>
        <w:tc>
          <w:tcPr>
            <w:tcW w:w="6096" w:type="dxa"/>
            <w:tcBorders>
              <w:top w:val="single" w:sz="4" w:space="0" w:color="auto"/>
              <w:left w:val="single" w:sz="4" w:space="0" w:color="auto"/>
              <w:bottom w:val="single" w:sz="4" w:space="0" w:color="auto"/>
              <w:right w:val="single" w:sz="4" w:space="0" w:color="auto"/>
            </w:tcBorders>
          </w:tcPr>
          <w:p w14:paraId="3DDF81AD" w14:textId="0723935C" w:rsidR="00A0598B" w:rsidRPr="002011E6" w:rsidRDefault="00A0598B" w:rsidP="009B0EE1">
            <w:pPr>
              <w:spacing w:line="276" w:lineRule="auto"/>
              <w:ind w:left="34"/>
              <w:jc w:val="both"/>
              <w:rPr>
                <w:rFonts w:ascii="Times New Roman" w:hAnsi="Times New Roman"/>
                <w:szCs w:val="24"/>
              </w:rPr>
            </w:pPr>
            <w:r w:rsidRPr="002011E6">
              <w:rPr>
                <w:rFonts w:ascii="Times New Roman" w:hAnsi="Times New Roman"/>
                <w:szCs w:val="24"/>
              </w:rPr>
              <w:t>Pagal Faktoringo sandorį PGF</w:t>
            </w:r>
            <w:r w:rsidR="009D2380" w:rsidRPr="002011E6">
              <w:rPr>
                <w:rFonts w:ascii="Times New Roman" w:hAnsi="Times New Roman"/>
                <w:szCs w:val="24"/>
              </w:rPr>
              <w:t>2</w:t>
            </w:r>
            <w:r w:rsidRPr="002011E6">
              <w:rPr>
                <w:rFonts w:ascii="Times New Roman" w:hAnsi="Times New Roman"/>
                <w:szCs w:val="24"/>
              </w:rPr>
              <w:t xml:space="preserve"> priemonės valdytojo </w:t>
            </w:r>
            <w:r w:rsidR="00C459B9">
              <w:rPr>
                <w:rFonts w:ascii="Times New Roman" w:hAnsi="Times New Roman"/>
                <w:szCs w:val="24"/>
              </w:rPr>
              <w:t>MVĮ</w:t>
            </w:r>
            <w:r w:rsidRPr="002011E6">
              <w:rPr>
                <w:rFonts w:ascii="Times New Roman" w:hAnsi="Times New Roman"/>
                <w:szCs w:val="24"/>
              </w:rPr>
              <w:t xml:space="preserve"> išmokama suma, tačiau ne d</w:t>
            </w:r>
            <w:r w:rsidR="00561594" w:rsidRPr="002011E6">
              <w:rPr>
                <w:rFonts w:ascii="Times New Roman" w:hAnsi="Times New Roman"/>
                <w:szCs w:val="24"/>
              </w:rPr>
              <w:t>idesnė</w:t>
            </w:r>
            <w:r w:rsidRPr="002011E6">
              <w:rPr>
                <w:rFonts w:ascii="Times New Roman" w:hAnsi="Times New Roman"/>
                <w:szCs w:val="24"/>
              </w:rPr>
              <w:t xml:space="preserve"> kaip 100 proc. nuo Faktoringo gavėjo pateiktų sąskaitų faktūrų, kurių reikalavimo teisės perleidžiamos PGF</w:t>
            </w:r>
            <w:r w:rsidR="00AF23AE" w:rsidRPr="002011E6">
              <w:rPr>
                <w:rFonts w:ascii="Times New Roman" w:hAnsi="Times New Roman"/>
                <w:szCs w:val="24"/>
              </w:rPr>
              <w:t>2</w:t>
            </w:r>
            <w:r w:rsidRPr="002011E6">
              <w:rPr>
                <w:rFonts w:ascii="Times New Roman" w:hAnsi="Times New Roman"/>
                <w:szCs w:val="24"/>
              </w:rPr>
              <w:t xml:space="preserve"> priemonės valdytojui,  sumos</w:t>
            </w:r>
            <w:r w:rsidR="004364F7">
              <w:rPr>
                <w:rFonts w:ascii="Times New Roman" w:hAnsi="Times New Roman"/>
                <w:szCs w:val="24"/>
              </w:rPr>
              <w:t>.</w:t>
            </w:r>
          </w:p>
        </w:tc>
      </w:tr>
      <w:tr w:rsidR="00B91A59" w:rsidRPr="00C33AC8" w14:paraId="2491CFD6"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58F25777" w14:textId="77777777" w:rsidR="00B91A59" w:rsidRPr="00C459B9" w:rsidRDefault="00B91A59"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64125C80" w14:textId="77777777" w:rsidR="00B91A59" w:rsidRPr="00C459B9" w:rsidRDefault="00B91A59" w:rsidP="009B0EE1">
            <w:pPr>
              <w:spacing w:line="276" w:lineRule="auto"/>
              <w:rPr>
                <w:rFonts w:ascii="Times New Roman" w:hAnsi="Times New Roman"/>
                <w:b/>
                <w:szCs w:val="24"/>
              </w:rPr>
            </w:pPr>
            <w:r w:rsidRPr="00C459B9">
              <w:rPr>
                <w:rFonts w:ascii="Times New Roman" w:hAnsi="Times New Roman"/>
                <w:b/>
                <w:szCs w:val="24"/>
              </w:rPr>
              <w:t>Faktoringo avansų išmokėjimo laikotarpis</w:t>
            </w:r>
          </w:p>
        </w:tc>
        <w:tc>
          <w:tcPr>
            <w:tcW w:w="6096" w:type="dxa"/>
            <w:tcBorders>
              <w:top w:val="single" w:sz="4" w:space="0" w:color="auto"/>
              <w:left w:val="single" w:sz="4" w:space="0" w:color="auto"/>
              <w:bottom w:val="single" w:sz="4" w:space="0" w:color="auto"/>
              <w:right w:val="single" w:sz="4" w:space="0" w:color="auto"/>
            </w:tcBorders>
          </w:tcPr>
          <w:p w14:paraId="2F738666" w14:textId="2C3D358C" w:rsidR="00B91A59" w:rsidRPr="00C459B9" w:rsidRDefault="00B91A59" w:rsidP="009B0EE1">
            <w:pPr>
              <w:spacing w:line="276" w:lineRule="auto"/>
              <w:ind w:left="34"/>
              <w:jc w:val="both"/>
              <w:rPr>
                <w:rFonts w:ascii="Times New Roman" w:hAnsi="Times New Roman"/>
                <w:szCs w:val="24"/>
              </w:rPr>
            </w:pPr>
            <w:bookmarkStart w:id="2" w:name="_Hlk36646963"/>
            <w:r w:rsidRPr="00C459B9">
              <w:rPr>
                <w:rFonts w:ascii="Times New Roman" w:hAnsi="Times New Roman"/>
                <w:szCs w:val="24"/>
              </w:rPr>
              <w:t xml:space="preserve">Data, iki kurios turi būti išmokėti Faktoringo avansai pagal į Portfelį įtrauktus Faktoringo sandorius – </w:t>
            </w:r>
            <w:r w:rsidR="00C82A51" w:rsidRPr="00C459B9">
              <w:rPr>
                <w:rFonts w:ascii="Times New Roman" w:hAnsi="Times New Roman"/>
                <w:szCs w:val="24"/>
              </w:rPr>
              <w:t>12</w:t>
            </w:r>
            <w:r w:rsidRPr="00C459B9">
              <w:rPr>
                <w:rFonts w:ascii="Times New Roman" w:hAnsi="Times New Roman"/>
                <w:szCs w:val="24"/>
              </w:rPr>
              <w:t xml:space="preserve"> (</w:t>
            </w:r>
            <w:r w:rsidR="00C82A51" w:rsidRPr="00C459B9">
              <w:rPr>
                <w:rFonts w:ascii="Times New Roman" w:hAnsi="Times New Roman"/>
                <w:szCs w:val="24"/>
              </w:rPr>
              <w:t>dvylika</w:t>
            </w:r>
            <w:r w:rsidRPr="00C459B9">
              <w:rPr>
                <w:rFonts w:ascii="Times New Roman" w:hAnsi="Times New Roman"/>
                <w:szCs w:val="24"/>
              </w:rPr>
              <w:t>) mėn</w:t>
            </w:r>
            <w:r w:rsidR="00C82A51" w:rsidRPr="00C459B9">
              <w:rPr>
                <w:rFonts w:ascii="Times New Roman" w:hAnsi="Times New Roman"/>
                <w:szCs w:val="24"/>
              </w:rPr>
              <w:t>.</w:t>
            </w:r>
            <w:r w:rsidRPr="00C459B9">
              <w:rPr>
                <w:rFonts w:ascii="Times New Roman" w:hAnsi="Times New Roman"/>
                <w:szCs w:val="24"/>
              </w:rPr>
              <w:t xml:space="preserve"> nuo Tinkamumo laikotarpio pabaigos</w:t>
            </w:r>
            <w:r w:rsidR="00C82A51" w:rsidRPr="00C459B9">
              <w:rPr>
                <w:rFonts w:ascii="Times New Roman" w:hAnsi="Times New Roman"/>
                <w:szCs w:val="24"/>
              </w:rPr>
              <w:t>.</w:t>
            </w:r>
          </w:p>
          <w:bookmarkEnd w:id="2"/>
          <w:p w14:paraId="7DF7C01B" w14:textId="433BFBD9" w:rsidR="00B91A59" w:rsidRPr="00C459B9" w:rsidRDefault="00B91A59" w:rsidP="009B0EE1">
            <w:pPr>
              <w:spacing w:line="276" w:lineRule="auto"/>
              <w:ind w:left="34"/>
              <w:jc w:val="both"/>
              <w:rPr>
                <w:rFonts w:ascii="Times New Roman" w:hAnsi="Times New Roman"/>
                <w:szCs w:val="24"/>
              </w:rPr>
            </w:pPr>
            <w:r w:rsidRPr="00C459B9">
              <w:rPr>
                <w:rFonts w:ascii="Times New Roman" w:hAnsi="Times New Roman"/>
                <w:szCs w:val="24"/>
              </w:rPr>
              <w:t xml:space="preserve">Tuo atveju, jei dalis Faktoringo avansų </w:t>
            </w:r>
            <w:r w:rsidR="00C459B9" w:rsidRPr="00C459B9">
              <w:rPr>
                <w:rFonts w:ascii="Times New Roman" w:hAnsi="Times New Roman"/>
                <w:szCs w:val="24"/>
              </w:rPr>
              <w:t>MVĮ</w:t>
            </w:r>
            <w:r w:rsidRPr="00C459B9">
              <w:rPr>
                <w:rFonts w:ascii="Times New Roman" w:hAnsi="Times New Roman"/>
                <w:szCs w:val="24"/>
              </w:rPr>
              <w:t xml:space="preserve"> buvo išmokėta po Faktoringo avansų išmokėjimo laikotarpio pabaigos, PGF</w:t>
            </w:r>
            <w:r w:rsidR="00C459B9" w:rsidRPr="00C459B9">
              <w:rPr>
                <w:rFonts w:ascii="Times New Roman" w:hAnsi="Times New Roman"/>
                <w:szCs w:val="24"/>
              </w:rPr>
              <w:t>2</w:t>
            </w:r>
            <w:r w:rsidRPr="00C459B9">
              <w:rPr>
                <w:rFonts w:ascii="Times New Roman" w:hAnsi="Times New Roman"/>
                <w:szCs w:val="24"/>
              </w:rPr>
              <w:t xml:space="preserve"> priemonės valdytojui garantuojama ta Faktoringo </w:t>
            </w:r>
            <w:r w:rsidRPr="00C459B9">
              <w:rPr>
                <w:rFonts w:ascii="Times New Roman" w:hAnsi="Times New Roman"/>
                <w:szCs w:val="24"/>
              </w:rPr>
              <w:lastRenderedPageBreak/>
              <w:t>sandorio dalis, kuri buvo išmokėta iki Faktoringo avansų išmokėjimo laikotarpio pabaigos</w:t>
            </w:r>
            <w:r w:rsidR="00C60A7C">
              <w:rPr>
                <w:rFonts w:ascii="Times New Roman" w:hAnsi="Times New Roman"/>
                <w:szCs w:val="24"/>
              </w:rPr>
              <w:t>.</w:t>
            </w:r>
          </w:p>
        </w:tc>
      </w:tr>
      <w:tr w:rsidR="00A0598B" w:rsidRPr="00C33AC8" w14:paraId="61581E1F"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0D46A08A" w14:textId="77777777" w:rsidR="00A0598B" w:rsidRPr="00226FAB" w:rsidRDefault="00A0598B"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69897C49" w14:textId="77777777" w:rsidR="00A0598B" w:rsidRPr="00226FAB" w:rsidRDefault="00A0598B" w:rsidP="009B0EE1">
            <w:pPr>
              <w:spacing w:line="276" w:lineRule="auto"/>
              <w:rPr>
                <w:rFonts w:ascii="Times New Roman" w:hAnsi="Times New Roman"/>
                <w:b/>
                <w:szCs w:val="24"/>
              </w:rPr>
            </w:pPr>
            <w:r w:rsidRPr="00226FAB">
              <w:rPr>
                <w:rFonts w:ascii="Times New Roman" w:hAnsi="Times New Roman"/>
                <w:b/>
                <w:szCs w:val="24"/>
              </w:rPr>
              <w:t>Faktoringo gavėjas</w:t>
            </w:r>
          </w:p>
        </w:tc>
        <w:tc>
          <w:tcPr>
            <w:tcW w:w="6096" w:type="dxa"/>
            <w:tcBorders>
              <w:top w:val="single" w:sz="4" w:space="0" w:color="auto"/>
              <w:left w:val="single" w:sz="4" w:space="0" w:color="auto"/>
              <w:bottom w:val="single" w:sz="4" w:space="0" w:color="auto"/>
              <w:right w:val="single" w:sz="4" w:space="0" w:color="auto"/>
            </w:tcBorders>
          </w:tcPr>
          <w:p w14:paraId="5A71F886" w14:textId="6F399250" w:rsidR="00A0598B" w:rsidRPr="00226FAB" w:rsidRDefault="00A0598B" w:rsidP="000246FF">
            <w:pPr>
              <w:spacing w:line="276" w:lineRule="auto"/>
              <w:ind w:left="34"/>
              <w:jc w:val="both"/>
              <w:rPr>
                <w:rFonts w:ascii="Times New Roman" w:hAnsi="Times New Roman"/>
                <w:szCs w:val="24"/>
              </w:rPr>
            </w:pPr>
            <w:r w:rsidRPr="00226FAB">
              <w:rPr>
                <w:rFonts w:ascii="Times New Roman" w:hAnsi="Times New Roman"/>
                <w:szCs w:val="24"/>
              </w:rPr>
              <w:t>MVĮ, su kuri</w:t>
            </w:r>
            <w:r w:rsidR="000508A7" w:rsidRPr="00226FAB">
              <w:rPr>
                <w:rFonts w:ascii="Times New Roman" w:hAnsi="Times New Roman"/>
                <w:szCs w:val="24"/>
              </w:rPr>
              <w:t>a</w:t>
            </w:r>
            <w:r w:rsidR="00CF01EE" w:rsidRPr="00226FAB">
              <w:rPr>
                <w:rFonts w:ascii="Times New Roman" w:hAnsi="Times New Roman"/>
                <w:szCs w:val="24"/>
              </w:rPr>
              <w:t xml:space="preserve"> PGF</w:t>
            </w:r>
            <w:r w:rsidR="000508A7" w:rsidRPr="00226FAB">
              <w:rPr>
                <w:rFonts w:ascii="Times New Roman" w:hAnsi="Times New Roman"/>
                <w:szCs w:val="24"/>
              </w:rPr>
              <w:t>2</w:t>
            </w:r>
            <w:r w:rsidR="00CF01EE" w:rsidRPr="00226FAB">
              <w:rPr>
                <w:rFonts w:ascii="Times New Roman" w:hAnsi="Times New Roman"/>
                <w:szCs w:val="24"/>
              </w:rPr>
              <w:t xml:space="preserve"> priemonės valdytojas yra sudaręs</w:t>
            </w:r>
            <w:r w:rsidRPr="00226FAB">
              <w:rPr>
                <w:rFonts w:ascii="Times New Roman" w:hAnsi="Times New Roman"/>
                <w:szCs w:val="24"/>
              </w:rPr>
              <w:t xml:space="preserve"> Faktoringo sutart</w:t>
            </w:r>
            <w:r w:rsidR="00CF01EE" w:rsidRPr="00226FAB">
              <w:rPr>
                <w:rFonts w:ascii="Times New Roman" w:hAnsi="Times New Roman"/>
                <w:szCs w:val="24"/>
              </w:rPr>
              <w:t>į</w:t>
            </w:r>
            <w:r w:rsidR="00AD1CBE">
              <w:rPr>
                <w:rFonts w:ascii="Times New Roman" w:hAnsi="Times New Roman"/>
                <w:szCs w:val="24"/>
              </w:rPr>
              <w:t>.</w:t>
            </w:r>
          </w:p>
        </w:tc>
      </w:tr>
      <w:tr w:rsidR="00A0598B" w:rsidRPr="00C33AC8" w14:paraId="36DA2584"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0C886541" w14:textId="77777777" w:rsidR="00A0598B" w:rsidRPr="007F1675" w:rsidRDefault="00A0598B"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67A127DB" w14:textId="77777777" w:rsidR="00A0598B" w:rsidRPr="007F1675" w:rsidRDefault="00A0598B" w:rsidP="009B0EE1">
            <w:pPr>
              <w:spacing w:line="276" w:lineRule="auto"/>
              <w:rPr>
                <w:rFonts w:ascii="Times New Roman" w:hAnsi="Times New Roman"/>
                <w:b/>
                <w:szCs w:val="24"/>
              </w:rPr>
            </w:pPr>
            <w:r w:rsidRPr="007F1675">
              <w:rPr>
                <w:rFonts w:ascii="Times New Roman" w:hAnsi="Times New Roman"/>
                <w:b/>
                <w:szCs w:val="24"/>
              </w:rPr>
              <w:t>Faktoringo limitas</w:t>
            </w:r>
          </w:p>
        </w:tc>
        <w:tc>
          <w:tcPr>
            <w:tcW w:w="6096" w:type="dxa"/>
            <w:tcBorders>
              <w:top w:val="single" w:sz="4" w:space="0" w:color="auto"/>
              <w:left w:val="single" w:sz="4" w:space="0" w:color="auto"/>
              <w:bottom w:val="single" w:sz="4" w:space="0" w:color="auto"/>
              <w:right w:val="single" w:sz="4" w:space="0" w:color="auto"/>
            </w:tcBorders>
          </w:tcPr>
          <w:p w14:paraId="2C82F412" w14:textId="0EAF0924" w:rsidR="00A0598B" w:rsidRPr="007F1675" w:rsidRDefault="00A0598B" w:rsidP="009B0EE1">
            <w:pPr>
              <w:spacing w:line="276" w:lineRule="auto"/>
              <w:ind w:left="34"/>
              <w:jc w:val="both"/>
              <w:rPr>
                <w:rFonts w:ascii="Times New Roman" w:hAnsi="Times New Roman"/>
                <w:szCs w:val="24"/>
              </w:rPr>
            </w:pPr>
            <w:r w:rsidRPr="007F1675">
              <w:rPr>
                <w:rFonts w:ascii="Times New Roman" w:hAnsi="Times New Roman"/>
                <w:szCs w:val="24"/>
              </w:rPr>
              <w:t>PGF</w:t>
            </w:r>
            <w:r w:rsidR="00226FAB" w:rsidRPr="007F1675">
              <w:rPr>
                <w:rFonts w:ascii="Times New Roman" w:hAnsi="Times New Roman"/>
                <w:szCs w:val="24"/>
              </w:rPr>
              <w:t>2</w:t>
            </w:r>
            <w:r w:rsidRPr="007F1675">
              <w:rPr>
                <w:rFonts w:ascii="Times New Roman" w:hAnsi="Times New Roman"/>
                <w:szCs w:val="24"/>
              </w:rPr>
              <w:t xml:space="preserve"> priemonės valdytojo su MVĮ sudarytoje Faktoringo sandorio sutartyje nustatyta didžiausia Faktoringo sandorio suma, iki kurios yra išmokami Faktoringo avansai ir gali būti perimami piniginiai reikalavimai pagal MVĮ prekių ar paslaugų pirkėjui išrašytas sąskaitas faktūras</w:t>
            </w:r>
            <w:r w:rsidR="002F39D5">
              <w:rPr>
                <w:rFonts w:ascii="Times New Roman" w:hAnsi="Times New Roman"/>
                <w:szCs w:val="24"/>
              </w:rPr>
              <w:t>.</w:t>
            </w:r>
          </w:p>
        </w:tc>
      </w:tr>
      <w:tr w:rsidR="00A0598B" w:rsidRPr="00C33AC8" w14:paraId="4572D863"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69DDFDA9" w14:textId="77777777" w:rsidR="00A0598B" w:rsidRPr="006C4859" w:rsidRDefault="00A0598B"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04592BE4" w14:textId="77777777" w:rsidR="00A0598B" w:rsidRPr="006C4859" w:rsidRDefault="00A0598B" w:rsidP="009B0EE1">
            <w:pPr>
              <w:spacing w:line="276" w:lineRule="auto"/>
              <w:rPr>
                <w:rFonts w:ascii="Times New Roman" w:hAnsi="Times New Roman"/>
                <w:b/>
                <w:szCs w:val="24"/>
              </w:rPr>
            </w:pPr>
            <w:r w:rsidRPr="006C4859">
              <w:rPr>
                <w:rFonts w:ascii="Times New Roman" w:hAnsi="Times New Roman"/>
                <w:b/>
                <w:szCs w:val="24"/>
              </w:rPr>
              <w:t>Faktoringo sandoris</w:t>
            </w:r>
          </w:p>
        </w:tc>
        <w:tc>
          <w:tcPr>
            <w:tcW w:w="6096" w:type="dxa"/>
            <w:tcBorders>
              <w:top w:val="single" w:sz="4" w:space="0" w:color="auto"/>
              <w:left w:val="single" w:sz="4" w:space="0" w:color="auto"/>
              <w:bottom w:val="single" w:sz="4" w:space="0" w:color="auto"/>
              <w:right w:val="single" w:sz="4" w:space="0" w:color="auto"/>
            </w:tcBorders>
          </w:tcPr>
          <w:p w14:paraId="309DE4BC" w14:textId="611607F1" w:rsidR="00A96850" w:rsidRDefault="00380080" w:rsidP="00D95098">
            <w:pPr>
              <w:spacing w:line="276" w:lineRule="auto"/>
              <w:ind w:left="34"/>
              <w:jc w:val="both"/>
              <w:rPr>
                <w:rFonts w:ascii="Times New Roman" w:hAnsi="Times New Roman"/>
                <w:szCs w:val="24"/>
              </w:rPr>
            </w:pPr>
            <w:r w:rsidRPr="006C4859">
              <w:rPr>
                <w:rFonts w:ascii="Times New Roman" w:hAnsi="Times New Roman"/>
                <w:szCs w:val="24"/>
              </w:rPr>
              <w:t>Faktoringo sutartis, pagal kurią teikiamas t</w:t>
            </w:r>
            <w:r w:rsidR="00A0598B" w:rsidRPr="006C4859">
              <w:rPr>
                <w:rFonts w:ascii="Times New Roman" w:hAnsi="Times New Roman"/>
                <w:szCs w:val="24"/>
              </w:rPr>
              <w:t>rumpalaikis finansavimas, kai MVĮ perleidžia ar įsipareigoja perleisti PGF</w:t>
            </w:r>
            <w:r w:rsidR="00B31EAC" w:rsidRPr="006C4859">
              <w:rPr>
                <w:rFonts w:ascii="Times New Roman" w:hAnsi="Times New Roman"/>
                <w:szCs w:val="24"/>
              </w:rPr>
              <w:t>2</w:t>
            </w:r>
            <w:r w:rsidR="00A0598B" w:rsidRPr="006C4859">
              <w:rPr>
                <w:rFonts w:ascii="Times New Roman" w:hAnsi="Times New Roman"/>
                <w:szCs w:val="24"/>
              </w:rPr>
              <w:t xml:space="preserve"> priemonės valdytojui piniginius reikalavimus</w:t>
            </w:r>
            <w:r w:rsidR="00D57FDE">
              <w:rPr>
                <w:rFonts w:ascii="Times New Roman" w:hAnsi="Times New Roman"/>
                <w:szCs w:val="24"/>
                <w:lang w:val="en-US"/>
              </w:rPr>
              <w:t>*</w:t>
            </w:r>
            <w:r w:rsidR="00A0598B" w:rsidRPr="006C4859">
              <w:rPr>
                <w:rFonts w:ascii="Times New Roman" w:hAnsi="Times New Roman"/>
                <w:szCs w:val="24"/>
              </w:rPr>
              <w:t xml:space="preserve"> pagal savo sąskaitas faktūras už pirkėjams parduotas prekes ar suteiktas paslaugas, o PGF</w:t>
            </w:r>
            <w:r w:rsidR="00B31EAC" w:rsidRPr="006C4859">
              <w:rPr>
                <w:rFonts w:ascii="Times New Roman" w:hAnsi="Times New Roman"/>
                <w:szCs w:val="24"/>
              </w:rPr>
              <w:t>2</w:t>
            </w:r>
            <w:r w:rsidR="00A0598B" w:rsidRPr="006C4859">
              <w:rPr>
                <w:rFonts w:ascii="Times New Roman" w:hAnsi="Times New Roman"/>
                <w:szCs w:val="24"/>
              </w:rPr>
              <w:t xml:space="preserve"> priemonės valdytojas, įsigydamas MVĮ priklausančius piniginius reikalavimus pirkėjams, išmoka arba įsipareigoja išmokėti MVĮ Faktoringo avansą pagal pateiktą sąskaitą faktūrą</w:t>
            </w:r>
            <w:r w:rsidR="00BC78F4">
              <w:rPr>
                <w:rFonts w:ascii="Times New Roman" w:hAnsi="Times New Roman"/>
                <w:szCs w:val="24"/>
              </w:rPr>
              <w:t>.</w:t>
            </w:r>
          </w:p>
          <w:p w14:paraId="60764F7D" w14:textId="584C747F" w:rsidR="00A96850" w:rsidRPr="00A96850" w:rsidRDefault="00A96850" w:rsidP="00A96850">
            <w:pPr>
              <w:spacing w:line="276" w:lineRule="auto"/>
              <w:ind w:left="34"/>
              <w:jc w:val="both"/>
              <w:rPr>
                <w:rFonts w:ascii="Times New Roman" w:hAnsi="Times New Roman"/>
                <w:szCs w:val="24"/>
              </w:rPr>
            </w:pPr>
            <w:r w:rsidRPr="00A96850">
              <w:rPr>
                <w:rFonts w:ascii="Times New Roman" w:hAnsi="Times New Roman"/>
                <w:szCs w:val="24"/>
              </w:rPr>
              <w:t>Visi PGF2 priemonės valdytojo į Portfelį įtraukiami Faktoringo sandoriai turi būti su regresu</w:t>
            </w:r>
            <w:r w:rsidR="00D57FDE">
              <w:rPr>
                <w:rFonts w:ascii="Times New Roman" w:hAnsi="Times New Roman"/>
                <w:szCs w:val="24"/>
              </w:rPr>
              <w:t>**</w:t>
            </w:r>
            <w:r w:rsidRPr="00A96850">
              <w:rPr>
                <w:rFonts w:ascii="Times New Roman" w:hAnsi="Times New Roman"/>
                <w:szCs w:val="24"/>
              </w:rPr>
              <w:t xml:space="preserve"> į Faktoringo sandorio gavėją.</w:t>
            </w:r>
          </w:p>
          <w:p w14:paraId="40D49C6B" w14:textId="77777777" w:rsidR="00D57FDE" w:rsidRDefault="00D57FDE" w:rsidP="00A96850">
            <w:pPr>
              <w:spacing w:line="276" w:lineRule="auto"/>
              <w:ind w:left="34"/>
              <w:jc w:val="both"/>
              <w:rPr>
                <w:rFonts w:ascii="Times New Roman" w:hAnsi="Times New Roman"/>
                <w:i/>
                <w:iCs/>
                <w:szCs w:val="24"/>
              </w:rPr>
            </w:pPr>
            <w:r>
              <w:rPr>
                <w:rFonts w:ascii="Times New Roman" w:hAnsi="Times New Roman"/>
                <w:i/>
                <w:iCs/>
                <w:szCs w:val="24"/>
              </w:rPr>
              <w:t>*</w:t>
            </w:r>
            <w:r w:rsidRPr="0059000E">
              <w:rPr>
                <w:rFonts w:ascii="Times New Roman" w:hAnsi="Times New Roman"/>
                <w:i/>
                <w:iCs/>
                <w:szCs w:val="24"/>
              </w:rPr>
              <w:t>MVĮ perleistų ar įsipareigotų perleisti PGF2 priemonės valdytojui piniginių reikalavimų pagal sąskaitas faktūras už pirkėjams parduotas prekes ir paslaugas mokėtojai atsiskaito pervesdami lėšas PGF2 priemonės valdytojui</w:t>
            </w:r>
            <w:r>
              <w:rPr>
                <w:rFonts w:ascii="Times New Roman" w:hAnsi="Times New Roman"/>
                <w:i/>
                <w:iCs/>
                <w:szCs w:val="24"/>
              </w:rPr>
              <w:t>.</w:t>
            </w:r>
          </w:p>
          <w:p w14:paraId="6BF58817" w14:textId="05944ECF" w:rsidR="0059000E" w:rsidRPr="00A96850" w:rsidRDefault="00D57FDE" w:rsidP="00D57FDE">
            <w:pPr>
              <w:spacing w:line="276" w:lineRule="auto"/>
              <w:ind w:left="34"/>
              <w:jc w:val="both"/>
              <w:rPr>
                <w:rFonts w:ascii="Times New Roman" w:hAnsi="Times New Roman"/>
                <w:i/>
                <w:iCs/>
                <w:szCs w:val="24"/>
              </w:rPr>
            </w:pPr>
            <w:r>
              <w:rPr>
                <w:rFonts w:ascii="Times New Roman" w:hAnsi="Times New Roman"/>
                <w:i/>
                <w:iCs/>
                <w:szCs w:val="24"/>
              </w:rPr>
              <w:t>**</w:t>
            </w:r>
            <w:r w:rsidR="00A96850" w:rsidRPr="00A96850">
              <w:rPr>
                <w:rFonts w:ascii="Times New Roman" w:hAnsi="Times New Roman"/>
                <w:i/>
                <w:iCs/>
                <w:szCs w:val="24"/>
              </w:rPr>
              <w:t xml:space="preserve">Regresas – PGF2 priemonės valdytojo teisė pagal sąskaitą faktūrą perimtą reikalavimą į pirkėjo įsiskolinimą grąžinti MVĮ, kuri be išlygų privalo grąžintą </w:t>
            </w:r>
            <w:r w:rsidR="0072644B">
              <w:rPr>
                <w:rFonts w:ascii="Times New Roman" w:hAnsi="Times New Roman"/>
                <w:i/>
                <w:iCs/>
                <w:szCs w:val="24"/>
              </w:rPr>
              <w:t>r</w:t>
            </w:r>
            <w:r w:rsidR="00A96850" w:rsidRPr="00A96850">
              <w:rPr>
                <w:rFonts w:ascii="Times New Roman" w:hAnsi="Times New Roman"/>
                <w:i/>
                <w:iCs/>
                <w:szCs w:val="24"/>
              </w:rPr>
              <w:t xml:space="preserve">eikalavimą priimti ir įvykdyti visus su </w:t>
            </w:r>
            <w:r w:rsidR="0072644B">
              <w:rPr>
                <w:rFonts w:ascii="Times New Roman" w:hAnsi="Times New Roman"/>
                <w:i/>
                <w:iCs/>
                <w:szCs w:val="24"/>
              </w:rPr>
              <w:t>r</w:t>
            </w:r>
            <w:r w:rsidR="00A96850" w:rsidRPr="00A96850">
              <w:rPr>
                <w:rFonts w:ascii="Times New Roman" w:hAnsi="Times New Roman"/>
                <w:i/>
                <w:iCs/>
                <w:szCs w:val="24"/>
              </w:rPr>
              <w:t>eikalavimo grąžinimu susijusius įsipareigojimus</w:t>
            </w:r>
            <w:r w:rsidR="00A96850">
              <w:rPr>
                <w:rFonts w:ascii="Times New Roman" w:hAnsi="Times New Roman"/>
                <w:i/>
                <w:iCs/>
                <w:szCs w:val="24"/>
              </w:rPr>
              <w:t>.</w:t>
            </w:r>
          </w:p>
        </w:tc>
      </w:tr>
      <w:tr w:rsidR="00A0598B" w:rsidRPr="00C33AC8" w14:paraId="50C88126"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61E41585" w14:textId="77777777" w:rsidR="00A0598B" w:rsidRPr="0061792C" w:rsidRDefault="00A0598B"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061A7B11" w14:textId="77777777" w:rsidR="00A0598B" w:rsidRPr="0061792C" w:rsidRDefault="00A0598B" w:rsidP="009B0EE1">
            <w:pPr>
              <w:spacing w:line="276" w:lineRule="auto"/>
              <w:rPr>
                <w:rFonts w:ascii="Times New Roman" w:hAnsi="Times New Roman"/>
                <w:b/>
                <w:szCs w:val="24"/>
              </w:rPr>
            </w:pPr>
            <w:r w:rsidRPr="0061792C">
              <w:rPr>
                <w:rFonts w:ascii="Times New Roman" w:hAnsi="Times New Roman"/>
                <w:b/>
                <w:szCs w:val="24"/>
              </w:rPr>
              <w:t>Faktoringo sandorio finansavimo laikotarpis</w:t>
            </w:r>
          </w:p>
        </w:tc>
        <w:tc>
          <w:tcPr>
            <w:tcW w:w="6096" w:type="dxa"/>
            <w:tcBorders>
              <w:top w:val="single" w:sz="4" w:space="0" w:color="auto"/>
              <w:left w:val="single" w:sz="4" w:space="0" w:color="auto"/>
              <w:bottom w:val="single" w:sz="4" w:space="0" w:color="auto"/>
              <w:right w:val="single" w:sz="4" w:space="0" w:color="auto"/>
            </w:tcBorders>
          </w:tcPr>
          <w:p w14:paraId="40EFF64B" w14:textId="0C887B06" w:rsidR="00A0598B" w:rsidRPr="00C33AC8" w:rsidRDefault="00A0598B" w:rsidP="009B0EE1">
            <w:pPr>
              <w:spacing w:line="276" w:lineRule="auto"/>
              <w:ind w:left="34"/>
              <w:jc w:val="both"/>
              <w:rPr>
                <w:rFonts w:ascii="Times New Roman" w:hAnsi="Times New Roman"/>
                <w:szCs w:val="24"/>
                <w:highlight w:val="yellow"/>
              </w:rPr>
            </w:pPr>
            <w:r w:rsidRPr="0061792C">
              <w:rPr>
                <w:rFonts w:ascii="Times New Roman" w:hAnsi="Times New Roman"/>
                <w:szCs w:val="24"/>
              </w:rPr>
              <w:t>Laikotarpis</w:t>
            </w:r>
            <w:r w:rsidR="00D5311C" w:rsidRPr="0061792C">
              <w:rPr>
                <w:rFonts w:ascii="Times New Roman" w:hAnsi="Times New Roman"/>
                <w:szCs w:val="24"/>
              </w:rPr>
              <w:t>,</w:t>
            </w:r>
            <w:r w:rsidRPr="0061792C">
              <w:rPr>
                <w:rFonts w:ascii="Times New Roman" w:hAnsi="Times New Roman"/>
                <w:szCs w:val="24"/>
              </w:rPr>
              <w:t xml:space="preserve"> per kurį PGF</w:t>
            </w:r>
            <w:r w:rsidR="0061792C" w:rsidRPr="0061792C">
              <w:rPr>
                <w:rFonts w:ascii="Times New Roman" w:hAnsi="Times New Roman"/>
                <w:szCs w:val="24"/>
              </w:rPr>
              <w:t>2</w:t>
            </w:r>
            <w:r w:rsidRPr="0061792C">
              <w:rPr>
                <w:rFonts w:ascii="Times New Roman" w:hAnsi="Times New Roman"/>
                <w:szCs w:val="24"/>
              </w:rPr>
              <w:t xml:space="preserve"> priemonės valdytojas išmoka arba gali </w:t>
            </w:r>
            <w:r w:rsidRPr="00CC1AB9">
              <w:rPr>
                <w:rFonts w:ascii="Times New Roman" w:hAnsi="Times New Roman"/>
                <w:szCs w:val="24"/>
              </w:rPr>
              <w:t xml:space="preserve">išmokėti Faktoringo avansus, kuris </w:t>
            </w:r>
            <w:r w:rsidR="00EA2C78">
              <w:rPr>
                <w:rFonts w:ascii="Times New Roman" w:hAnsi="Times New Roman"/>
                <w:szCs w:val="24"/>
              </w:rPr>
              <w:t>ne</w:t>
            </w:r>
            <w:r w:rsidRPr="00CC1AB9">
              <w:rPr>
                <w:rFonts w:ascii="Times New Roman" w:hAnsi="Times New Roman"/>
                <w:szCs w:val="24"/>
              </w:rPr>
              <w:t>gali būti ilgesnis nei 12 mėnesių. Jei Faktoringo sandoris sudarytas trumpesniam nei 12 mėnesių laikotarpiui, Faktoringo sandorio finansavimo laikotarpis gali būti pratęstas, tačiau bet kuriuo atveju Faktoringo sandorio finansavimo laikotarpis negali būti ilgesnis nei 12 mėn</w:t>
            </w:r>
            <w:r w:rsidR="00F76D66">
              <w:rPr>
                <w:rFonts w:ascii="Times New Roman" w:hAnsi="Times New Roman"/>
                <w:szCs w:val="24"/>
              </w:rPr>
              <w:t>esių</w:t>
            </w:r>
            <w:r w:rsidRPr="00CC1AB9">
              <w:rPr>
                <w:rFonts w:ascii="Times New Roman" w:hAnsi="Times New Roman"/>
                <w:szCs w:val="24"/>
              </w:rPr>
              <w:t xml:space="preserve">, finansavimo laikotarpį skaičiuojant nuo </w:t>
            </w:r>
            <w:r w:rsidR="003F68FC">
              <w:rPr>
                <w:rFonts w:ascii="Times New Roman" w:hAnsi="Times New Roman"/>
                <w:szCs w:val="24"/>
              </w:rPr>
              <w:t xml:space="preserve">pradinės </w:t>
            </w:r>
            <w:r w:rsidRPr="00CC1AB9">
              <w:rPr>
                <w:rFonts w:ascii="Times New Roman" w:hAnsi="Times New Roman"/>
                <w:szCs w:val="24"/>
              </w:rPr>
              <w:t xml:space="preserve">Faktoringo </w:t>
            </w:r>
            <w:r w:rsidR="00F37253">
              <w:rPr>
                <w:rFonts w:ascii="Times New Roman" w:hAnsi="Times New Roman"/>
                <w:szCs w:val="24"/>
              </w:rPr>
              <w:t xml:space="preserve">sandorio </w:t>
            </w:r>
            <w:r w:rsidRPr="00CC1AB9">
              <w:rPr>
                <w:rFonts w:ascii="Times New Roman" w:hAnsi="Times New Roman"/>
                <w:szCs w:val="24"/>
              </w:rPr>
              <w:t>sutarties sudarymo dienos</w:t>
            </w:r>
            <w:r w:rsidR="00F76D66">
              <w:rPr>
                <w:rFonts w:ascii="Times New Roman" w:hAnsi="Times New Roman"/>
                <w:szCs w:val="24"/>
              </w:rPr>
              <w:t>.</w:t>
            </w:r>
          </w:p>
        </w:tc>
      </w:tr>
      <w:tr w:rsidR="00B91A59" w:rsidRPr="00C33AC8" w14:paraId="006F9FFC"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02B31405" w14:textId="77777777" w:rsidR="00B91A59" w:rsidRPr="00DA1607" w:rsidRDefault="00B91A59" w:rsidP="009B0EE1">
            <w:pPr>
              <w:pStyle w:val="ListParagraph"/>
              <w:numPr>
                <w:ilvl w:val="0"/>
                <w:numId w:val="13"/>
              </w:numPr>
              <w:tabs>
                <w:tab w:val="left" w:pos="176"/>
              </w:tabs>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2B13B259" w14:textId="77777777" w:rsidR="00B91A59" w:rsidRPr="00DA1607" w:rsidRDefault="00B91A59" w:rsidP="009B0EE1">
            <w:pPr>
              <w:spacing w:line="276" w:lineRule="auto"/>
              <w:rPr>
                <w:rFonts w:ascii="Times New Roman" w:hAnsi="Times New Roman"/>
                <w:b/>
                <w:szCs w:val="24"/>
              </w:rPr>
            </w:pPr>
            <w:r w:rsidRPr="00DA1607">
              <w:rPr>
                <w:rFonts w:ascii="Times New Roman" w:hAnsi="Times New Roman"/>
                <w:b/>
                <w:szCs w:val="24"/>
              </w:rPr>
              <w:t>Faktoringo sandorio suteikimas</w:t>
            </w:r>
          </w:p>
        </w:tc>
        <w:tc>
          <w:tcPr>
            <w:tcW w:w="6096" w:type="dxa"/>
            <w:tcBorders>
              <w:top w:val="single" w:sz="4" w:space="0" w:color="auto"/>
              <w:left w:val="single" w:sz="4" w:space="0" w:color="auto"/>
              <w:bottom w:val="single" w:sz="4" w:space="0" w:color="auto"/>
              <w:right w:val="single" w:sz="4" w:space="0" w:color="auto"/>
            </w:tcBorders>
          </w:tcPr>
          <w:p w14:paraId="2DADD275" w14:textId="217CFB67" w:rsidR="00B91A59" w:rsidRPr="00DA1607" w:rsidRDefault="00B91A59" w:rsidP="009B0EE1">
            <w:pPr>
              <w:spacing w:line="276" w:lineRule="auto"/>
              <w:ind w:left="34"/>
              <w:jc w:val="both"/>
              <w:rPr>
                <w:rFonts w:ascii="Times New Roman" w:hAnsi="Times New Roman"/>
                <w:szCs w:val="24"/>
              </w:rPr>
            </w:pPr>
            <w:r w:rsidRPr="00DA1607">
              <w:rPr>
                <w:rFonts w:ascii="Times New Roman" w:hAnsi="Times New Roman"/>
                <w:szCs w:val="24"/>
              </w:rPr>
              <w:t xml:space="preserve">Laikotarpis nuo </w:t>
            </w:r>
            <w:r w:rsidR="00AE0EC2">
              <w:rPr>
                <w:rFonts w:ascii="Times New Roman" w:hAnsi="Times New Roman"/>
                <w:szCs w:val="24"/>
              </w:rPr>
              <w:t>MVĮ</w:t>
            </w:r>
            <w:r w:rsidRPr="00DA1607">
              <w:rPr>
                <w:rFonts w:ascii="Times New Roman" w:hAnsi="Times New Roman"/>
                <w:szCs w:val="24"/>
              </w:rPr>
              <w:t xml:space="preserve"> kreipimosi dėl Faktoringo sandorio sudarymo</w:t>
            </w:r>
            <w:r w:rsidR="00C34B44" w:rsidRPr="00DA1607">
              <w:rPr>
                <w:rFonts w:ascii="Times New Roman" w:hAnsi="Times New Roman"/>
                <w:szCs w:val="24"/>
              </w:rPr>
              <w:t xml:space="preserve"> į PGF2 priemonės</w:t>
            </w:r>
            <w:r w:rsidR="00627575" w:rsidRPr="00DA1607">
              <w:rPr>
                <w:rFonts w:ascii="Times New Roman" w:hAnsi="Times New Roman"/>
                <w:szCs w:val="24"/>
              </w:rPr>
              <w:t xml:space="preserve"> valdytoją</w:t>
            </w:r>
            <w:r w:rsidRPr="00DA1607">
              <w:rPr>
                <w:rFonts w:ascii="Times New Roman" w:hAnsi="Times New Roman"/>
                <w:szCs w:val="24"/>
              </w:rPr>
              <w:t xml:space="preserve"> iki Faktoringo </w:t>
            </w:r>
            <w:r w:rsidR="00627575" w:rsidRPr="00DA1607">
              <w:rPr>
                <w:rFonts w:ascii="Times New Roman" w:hAnsi="Times New Roman"/>
                <w:szCs w:val="24"/>
              </w:rPr>
              <w:t xml:space="preserve">sandorio </w:t>
            </w:r>
            <w:r w:rsidRPr="00DA1607">
              <w:rPr>
                <w:rFonts w:ascii="Times New Roman" w:hAnsi="Times New Roman"/>
                <w:szCs w:val="24"/>
              </w:rPr>
              <w:t>sutarties tarp PGF</w:t>
            </w:r>
            <w:r w:rsidR="00627575" w:rsidRPr="00DA1607">
              <w:rPr>
                <w:rFonts w:ascii="Times New Roman" w:hAnsi="Times New Roman"/>
                <w:szCs w:val="24"/>
              </w:rPr>
              <w:t>2</w:t>
            </w:r>
            <w:r w:rsidRPr="00DA1607">
              <w:rPr>
                <w:rFonts w:ascii="Times New Roman" w:hAnsi="Times New Roman"/>
                <w:szCs w:val="24"/>
              </w:rPr>
              <w:t xml:space="preserve">  priemonės valdytojo ir Faktoringo </w:t>
            </w:r>
            <w:r w:rsidR="00627575" w:rsidRPr="00DA1607">
              <w:rPr>
                <w:rFonts w:ascii="Times New Roman" w:hAnsi="Times New Roman"/>
                <w:szCs w:val="24"/>
              </w:rPr>
              <w:t xml:space="preserve">sandorio </w:t>
            </w:r>
            <w:r w:rsidRPr="00DA1607">
              <w:rPr>
                <w:rFonts w:ascii="Times New Roman" w:hAnsi="Times New Roman"/>
                <w:szCs w:val="24"/>
              </w:rPr>
              <w:t>gavėjo pasirašymo</w:t>
            </w:r>
            <w:r w:rsidR="00627575" w:rsidRPr="00DA1607">
              <w:rPr>
                <w:rFonts w:ascii="Times New Roman" w:hAnsi="Times New Roman"/>
                <w:szCs w:val="24"/>
              </w:rPr>
              <w:t xml:space="preserve"> dienos</w:t>
            </w:r>
            <w:r w:rsidR="00F82559">
              <w:rPr>
                <w:rFonts w:ascii="Times New Roman" w:hAnsi="Times New Roman"/>
                <w:szCs w:val="24"/>
              </w:rPr>
              <w:t>.</w:t>
            </w:r>
          </w:p>
        </w:tc>
      </w:tr>
      <w:tr w:rsidR="00A0598B" w:rsidRPr="00C33AC8" w14:paraId="083D9640"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218C80CD" w14:textId="77777777" w:rsidR="00A0598B" w:rsidRPr="009912AA" w:rsidRDefault="00A0598B"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2635ECED" w14:textId="77777777" w:rsidR="00A0598B" w:rsidRPr="009912AA" w:rsidRDefault="00A0598B" w:rsidP="009B0EE1">
            <w:pPr>
              <w:spacing w:line="276" w:lineRule="auto"/>
              <w:rPr>
                <w:rFonts w:ascii="Times New Roman" w:hAnsi="Times New Roman"/>
                <w:b/>
                <w:szCs w:val="24"/>
              </w:rPr>
            </w:pPr>
            <w:r w:rsidRPr="009912AA">
              <w:rPr>
                <w:rFonts w:ascii="Times New Roman" w:hAnsi="Times New Roman"/>
                <w:b/>
                <w:szCs w:val="24"/>
              </w:rPr>
              <w:t>Faktoringo sutartis</w:t>
            </w:r>
          </w:p>
        </w:tc>
        <w:tc>
          <w:tcPr>
            <w:tcW w:w="6096" w:type="dxa"/>
            <w:tcBorders>
              <w:top w:val="single" w:sz="4" w:space="0" w:color="auto"/>
              <w:left w:val="single" w:sz="4" w:space="0" w:color="auto"/>
              <w:bottom w:val="single" w:sz="4" w:space="0" w:color="auto"/>
              <w:right w:val="single" w:sz="4" w:space="0" w:color="auto"/>
            </w:tcBorders>
          </w:tcPr>
          <w:p w14:paraId="7DCEF944" w14:textId="3649E883" w:rsidR="00A0598B" w:rsidRPr="009912AA" w:rsidRDefault="00A0598B" w:rsidP="00607EFD">
            <w:pPr>
              <w:spacing w:line="276" w:lineRule="auto"/>
              <w:ind w:left="34"/>
              <w:jc w:val="both"/>
              <w:rPr>
                <w:rFonts w:ascii="Times New Roman" w:hAnsi="Times New Roman"/>
                <w:szCs w:val="24"/>
              </w:rPr>
            </w:pPr>
            <w:r w:rsidRPr="009912AA">
              <w:rPr>
                <w:rFonts w:ascii="Times New Roman" w:hAnsi="Times New Roman"/>
                <w:szCs w:val="24"/>
              </w:rPr>
              <w:t>PGF</w:t>
            </w:r>
            <w:r w:rsidR="00E14599" w:rsidRPr="009912AA">
              <w:rPr>
                <w:rFonts w:ascii="Times New Roman" w:hAnsi="Times New Roman"/>
                <w:szCs w:val="24"/>
              </w:rPr>
              <w:t>2</w:t>
            </w:r>
            <w:r w:rsidRPr="009912AA">
              <w:rPr>
                <w:rFonts w:ascii="Times New Roman" w:hAnsi="Times New Roman"/>
                <w:szCs w:val="24"/>
              </w:rPr>
              <w:t xml:space="preserve"> priemonės valdytojo su Faktoringo gavėju sudaryta sutartis dėl Faktoringo sandorio sudarymo. Faktoringo sutartimi PGF</w:t>
            </w:r>
            <w:r w:rsidR="00E14599" w:rsidRPr="009912AA">
              <w:rPr>
                <w:rFonts w:ascii="Times New Roman" w:hAnsi="Times New Roman"/>
                <w:szCs w:val="24"/>
              </w:rPr>
              <w:t>2</w:t>
            </w:r>
            <w:r w:rsidRPr="009912AA">
              <w:rPr>
                <w:rFonts w:ascii="Times New Roman" w:hAnsi="Times New Roman"/>
                <w:szCs w:val="24"/>
              </w:rPr>
              <w:t xml:space="preserve"> priemonės valdytojas ir Faktoringo gavėjas susitaria dėl Faktoringo sandorio finansavimo laikotarpio, </w:t>
            </w:r>
            <w:r w:rsidRPr="009912AA">
              <w:rPr>
                <w:rFonts w:ascii="Times New Roman" w:hAnsi="Times New Roman"/>
                <w:szCs w:val="24"/>
              </w:rPr>
              <w:lastRenderedPageBreak/>
              <w:t>Faktoringo limito, iki kurio gali būti finansuojamos pirkėjams išrašytos sąskaitos faktūros už parduotas prekes ar paslaugas, Maksimalaus mokėjimo atidėjimo pirkėjams</w:t>
            </w:r>
            <w:r w:rsidR="00CF01EE" w:rsidRPr="009912AA">
              <w:rPr>
                <w:rFonts w:ascii="Times New Roman" w:hAnsi="Times New Roman"/>
                <w:szCs w:val="24"/>
              </w:rPr>
              <w:t xml:space="preserve"> termin</w:t>
            </w:r>
            <w:r w:rsidR="00861A3F" w:rsidRPr="009912AA">
              <w:rPr>
                <w:rFonts w:ascii="Times New Roman" w:hAnsi="Times New Roman"/>
                <w:szCs w:val="24"/>
              </w:rPr>
              <w:t>o</w:t>
            </w:r>
            <w:r w:rsidRPr="009912AA">
              <w:rPr>
                <w:rFonts w:ascii="Times New Roman" w:hAnsi="Times New Roman"/>
                <w:szCs w:val="24"/>
              </w:rPr>
              <w:t>. Faktoringo sutartis turi būti sudaryta su regreso teise į Faktoringo gavėją</w:t>
            </w:r>
            <w:r w:rsidR="009912AA" w:rsidRPr="009912AA">
              <w:rPr>
                <w:rFonts w:ascii="Times New Roman" w:hAnsi="Times New Roman"/>
                <w:szCs w:val="24"/>
              </w:rPr>
              <w:t>.</w:t>
            </w:r>
          </w:p>
        </w:tc>
      </w:tr>
      <w:tr w:rsidR="007F2A2A" w:rsidRPr="00C33AC8" w14:paraId="2FA291E7"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49FB958C" w14:textId="77777777" w:rsidR="00C63F39" w:rsidRPr="000466DE" w:rsidRDefault="00C63F39"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53A4F014" w14:textId="0F024075" w:rsidR="00C63F39" w:rsidRPr="000466DE" w:rsidRDefault="00C63F39" w:rsidP="009B0EE1">
            <w:pPr>
              <w:spacing w:line="276" w:lineRule="auto"/>
              <w:rPr>
                <w:rFonts w:ascii="Times New Roman" w:hAnsi="Times New Roman"/>
                <w:b/>
                <w:szCs w:val="24"/>
              </w:rPr>
            </w:pPr>
            <w:r w:rsidRPr="000466DE">
              <w:rPr>
                <w:rFonts w:ascii="Times New Roman" w:hAnsi="Times New Roman"/>
                <w:b/>
                <w:szCs w:val="24"/>
              </w:rPr>
              <w:t>Galutinė išmokos mokėjimo prašymo diena</w:t>
            </w:r>
          </w:p>
        </w:tc>
        <w:tc>
          <w:tcPr>
            <w:tcW w:w="6096" w:type="dxa"/>
            <w:tcBorders>
              <w:top w:val="single" w:sz="4" w:space="0" w:color="auto"/>
              <w:left w:val="single" w:sz="4" w:space="0" w:color="auto"/>
              <w:bottom w:val="single" w:sz="4" w:space="0" w:color="auto"/>
              <w:right w:val="single" w:sz="4" w:space="0" w:color="auto"/>
            </w:tcBorders>
          </w:tcPr>
          <w:p w14:paraId="4787610A" w14:textId="10BC2CD6" w:rsidR="00C63F39" w:rsidRPr="000466DE" w:rsidRDefault="005562EE" w:rsidP="009B0EE1">
            <w:pPr>
              <w:spacing w:line="276" w:lineRule="auto"/>
              <w:ind w:left="34"/>
              <w:jc w:val="both"/>
              <w:rPr>
                <w:rFonts w:ascii="Times New Roman" w:hAnsi="Times New Roman"/>
                <w:szCs w:val="24"/>
              </w:rPr>
            </w:pPr>
            <w:r w:rsidRPr="000466DE">
              <w:rPr>
                <w:rFonts w:ascii="Times New Roman" w:hAnsi="Times New Roman"/>
                <w:szCs w:val="24"/>
              </w:rPr>
              <w:t>60 (šešiasdešimt) kalendorini</w:t>
            </w:r>
            <w:r w:rsidRPr="000466DE">
              <w:rPr>
                <w:rFonts w:ascii="Times New Roman" w:hAnsi="Times New Roman" w:hint="eastAsia"/>
                <w:szCs w:val="24"/>
              </w:rPr>
              <w:t>ų</w:t>
            </w:r>
            <w:r w:rsidRPr="000466DE">
              <w:rPr>
                <w:rFonts w:ascii="Times New Roman" w:hAnsi="Times New Roman"/>
                <w:szCs w:val="24"/>
              </w:rPr>
              <w:t xml:space="preserve"> dien</w:t>
            </w:r>
            <w:r w:rsidRPr="000466DE">
              <w:rPr>
                <w:rFonts w:ascii="Times New Roman" w:hAnsi="Times New Roman" w:hint="eastAsia"/>
                <w:szCs w:val="24"/>
              </w:rPr>
              <w:t>ų</w:t>
            </w:r>
            <w:r w:rsidRPr="000466DE">
              <w:rPr>
                <w:rFonts w:ascii="Times New Roman" w:hAnsi="Times New Roman"/>
                <w:szCs w:val="24"/>
              </w:rPr>
              <w:t xml:space="preserve"> iki </w:t>
            </w:r>
            <w:r w:rsidR="00D13684" w:rsidRPr="000466DE">
              <w:rPr>
                <w:rFonts w:ascii="Times New Roman" w:hAnsi="Times New Roman"/>
                <w:szCs w:val="24"/>
              </w:rPr>
              <w:t xml:space="preserve">Sutarties pasibaigimo </w:t>
            </w:r>
            <w:r w:rsidR="00B555C4" w:rsidRPr="000466DE">
              <w:rPr>
                <w:rFonts w:ascii="Times New Roman" w:hAnsi="Times New Roman"/>
                <w:szCs w:val="24"/>
              </w:rPr>
              <w:t>dat</w:t>
            </w:r>
            <w:r w:rsidRPr="000466DE">
              <w:rPr>
                <w:rFonts w:ascii="Times New Roman" w:hAnsi="Times New Roman"/>
                <w:szCs w:val="24"/>
              </w:rPr>
              <w:t>os</w:t>
            </w:r>
            <w:r w:rsidR="000466DE" w:rsidRPr="000466DE">
              <w:rPr>
                <w:rFonts w:ascii="Times New Roman" w:hAnsi="Times New Roman"/>
                <w:szCs w:val="24"/>
              </w:rPr>
              <w:t>.</w:t>
            </w:r>
          </w:p>
        </w:tc>
      </w:tr>
      <w:tr w:rsidR="007F2A2A" w:rsidRPr="00C33AC8" w14:paraId="3DE884FA"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0AC41985" w14:textId="2DCB96BE" w:rsidR="003741F8" w:rsidRPr="00736417" w:rsidRDefault="003741F8" w:rsidP="009B0EE1">
            <w:pPr>
              <w:pStyle w:val="ListParagraph"/>
              <w:numPr>
                <w:ilvl w:val="0"/>
                <w:numId w:val="13"/>
              </w:numPr>
              <w:spacing w:after="0"/>
              <w:jc w:val="center"/>
              <w:rPr>
                <w:sz w:val="24"/>
                <w:szCs w:val="24"/>
                <w:lang w:val="lt-LT"/>
              </w:rPr>
            </w:pPr>
          </w:p>
        </w:tc>
        <w:tc>
          <w:tcPr>
            <w:tcW w:w="3119" w:type="dxa"/>
            <w:tcBorders>
              <w:bottom w:val="single" w:sz="4" w:space="0" w:color="000000"/>
            </w:tcBorders>
          </w:tcPr>
          <w:p w14:paraId="2013CB8D" w14:textId="70DC8BC4" w:rsidR="003741F8" w:rsidRPr="00736417" w:rsidRDefault="003741F8" w:rsidP="009B0EE1">
            <w:pPr>
              <w:spacing w:line="276" w:lineRule="auto"/>
              <w:rPr>
                <w:rFonts w:ascii="Times New Roman" w:hAnsi="Times New Roman"/>
                <w:b/>
                <w:szCs w:val="24"/>
              </w:rPr>
            </w:pPr>
            <w:r w:rsidRPr="00736417">
              <w:rPr>
                <w:rFonts w:ascii="Times New Roman" w:hAnsi="Times New Roman"/>
                <w:b/>
                <w:szCs w:val="24"/>
              </w:rPr>
              <w:t>Garantija</w:t>
            </w:r>
            <w:r w:rsidR="005B5F7B" w:rsidRPr="00736417">
              <w:rPr>
                <w:rFonts w:ascii="Times New Roman" w:hAnsi="Times New Roman"/>
                <w:b/>
                <w:szCs w:val="24"/>
              </w:rPr>
              <w:t xml:space="preserve"> (Portfelinė garantija)</w:t>
            </w:r>
          </w:p>
        </w:tc>
        <w:tc>
          <w:tcPr>
            <w:tcW w:w="6096" w:type="dxa"/>
            <w:tcBorders>
              <w:bottom w:val="single" w:sz="4" w:space="0" w:color="000000"/>
            </w:tcBorders>
          </w:tcPr>
          <w:p w14:paraId="680BCBE1" w14:textId="1EEEC646" w:rsidR="00187438" w:rsidRPr="00736417" w:rsidRDefault="00187438" w:rsidP="009B0EE1">
            <w:pPr>
              <w:spacing w:line="276" w:lineRule="auto"/>
              <w:ind w:left="34"/>
              <w:jc w:val="both"/>
              <w:rPr>
                <w:rFonts w:ascii="Times New Roman" w:hAnsi="Times New Roman"/>
                <w:szCs w:val="24"/>
              </w:rPr>
            </w:pPr>
            <w:r w:rsidRPr="00736417">
              <w:rPr>
                <w:rFonts w:ascii="Times New Roman" w:hAnsi="Times New Roman"/>
                <w:szCs w:val="24"/>
              </w:rPr>
              <w:t>Įsipareigojimas padengti PGF</w:t>
            </w:r>
            <w:r w:rsidR="0042004C" w:rsidRPr="00736417">
              <w:rPr>
                <w:rFonts w:ascii="Times New Roman" w:hAnsi="Times New Roman"/>
                <w:szCs w:val="24"/>
              </w:rPr>
              <w:t>2</w:t>
            </w:r>
            <w:r w:rsidRPr="00736417">
              <w:rPr>
                <w:rFonts w:ascii="Times New Roman" w:hAnsi="Times New Roman"/>
                <w:szCs w:val="24"/>
              </w:rPr>
              <w:t xml:space="preserve"> priemonės valdytojui Probleminio Faktoringo sandorio Nuostolį</w:t>
            </w:r>
            <w:r w:rsidR="0042004C" w:rsidRPr="00736417">
              <w:rPr>
                <w:rFonts w:ascii="Times New Roman" w:hAnsi="Times New Roman"/>
                <w:szCs w:val="24"/>
              </w:rPr>
              <w:t>.</w:t>
            </w:r>
          </w:p>
          <w:p w14:paraId="279967F5" w14:textId="76CA9987" w:rsidR="00187438" w:rsidRDefault="00C17346" w:rsidP="009B0EE1">
            <w:pPr>
              <w:spacing w:line="276" w:lineRule="auto"/>
              <w:ind w:left="34"/>
              <w:jc w:val="both"/>
              <w:rPr>
                <w:rFonts w:ascii="Times New Roman" w:hAnsi="Times New Roman"/>
                <w:szCs w:val="24"/>
              </w:rPr>
            </w:pPr>
            <w:r w:rsidRPr="00C17346">
              <w:rPr>
                <w:rFonts w:ascii="Times New Roman" w:hAnsi="Times New Roman"/>
                <w:szCs w:val="24"/>
              </w:rPr>
              <w:t>Kiekvienas į Portfelį įtraukiamas Faktoringo sandoris garantuojamas 80 proc. Faktoringo sandorio Nuostolio</w:t>
            </w:r>
            <w:r w:rsidRPr="00EA6E23">
              <w:rPr>
                <w:rFonts w:ascii="Times New Roman" w:hAnsi="Times New Roman"/>
                <w:szCs w:val="24"/>
              </w:rPr>
              <w:t>,</w:t>
            </w:r>
            <w:r w:rsidRPr="00736417">
              <w:rPr>
                <w:rFonts w:ascii="Times New Roman" w:hAnsi="Times New Roman"/>
                <w:szCs w:val="24"/>
              </w:rPr>
              <w:t xml:space="preserve"> tačiau</w:t>
            </w:r>
            <w:r w:rsidR="00054EBE" w:rsidRPr="00736417">
              <w:rPr>
                <w:rFonts w:ascii="Times New Roman" w:hAnsi="Times New Roman"/>
                <w:szCs w:val="24"/>
              </w:rPr>
              <w:t xml:space="preserve"> bendra Išmokų suma negali viršyti Didžiausios išmokų pagal Faktoringo sandorį sumos ir yra ribojama Viršutinės ribos normos dydžio.</w:t>
            </w:r>
          </w:p>
          <w:p w14:paraId="51B9E2DB" w14:textId="29B55A0D" w:rsidR="00ED280B" w:rsidRPr="00736417" w:rsidRDefault="00ED280B" w:rsidP="009B0EE1">
            <w:pPr>
              <w:spacing w:line="276" w:lineRule="auto"/>
              <w:ind w:left="34"/>
              <w:jc w:val="both"/>
              <w:rPr>
                <w:rFonts w:ascii="Times New Roman" w:hAnsi="Times New Roman"/>
                <w:szCs w:val="24"/>
              </w:rPr>
            </w:pPr>
            <w:r w:rsidRPr="00ED280B">
              <w:rPr>
                <w:rFonts w:ascii="Times New Roman" w:hAnsi="Times New Roman"/>
                <w:szCs w:val="24"/>
              </w:rPr>
              <w:t>PGF2 priemonės valdytojui MVĮ nesumokėti mokesčiai, palūkanos, netesybos ir delspinigiai bei kitos sąnaudos nėra kompensuojamos.</w:t>
            </w:r>
          </w:p>
          <w:p w14:paraId="33163635" w14:textId="6464CD75" w:rsidR="00054EBE" w:rsidRPr="00736417" w:rsidRDefault="00187438" w:rsidP="009B0EE1">
            <w:pPr>
              <w:spacing w:line="276" w:lineRule="auto"/>
              <w:ind w:left="34"/>
              <w:jc w:val="both"/>
              <w:rPr>
                <w:rFonts w:ascii="Times New Roman" w:hAnsi="Times New Roman"/>
                <w:szCs w:val="24"/>
              </w:rPr>
            </w:pPr>
            <w:r w:rsidRPr="00736417">
              <w:rPr>
                <w:rFonts w:ascii="Times New Roman" w:hAnsi="Times New Roman"/>
                <w:szCs w:val="24"/>
              </w:rPr>
              <w:t xml:space="preserve">Garantija, suteikta pagal </w:t>
            </w:r>
            <w:r w:rsidR="000F7ACB">
              <w:rPr>
                <w:rFonts w:ascii="Times New Roman" w:hAnsi="Times New Roman"/>
                <w:szCs w:val="24"/>
              </w:rPr>
              <w:t>PGF2</w:t>
            </w:r>
            <w:r w:rsidRPr="00736417">
              <w:rPr>
                <w:rFonts w:ascii="Times New Roman" w:hAnsi="Times New Roman"/>
                <w:szCs w:val="24"/>
              </w:rPr>
              <w:t xml:space="preserve"> priemonę, nėra MVĮ prievolių užtikrinimo garantija Lietuvos Respublikos civilinio kodekso 6.90 straipsnio prasme. Garantijos suteikimas ir panaudojimas nekeičia MVĮ prievolių PGF</w:t>
            </w:r>
            <w:r w:rsidR="006C1FBA" w:rsidRPr="00736417">
              <w:rPr>
                <w:rFonts w:ascii="Times New Roman" w:hAnsi="Times New Roman"/>
                <w:szCs w:val="24"/>
              </w:rPr>
              <w:t>2</w:t>
            </w:r>
            <w:r w:rsidRPr="00736417">
              <w:rPr>
                <w:rFonts w:ascii="Times New Roman" w:hAnsi="Times New Roman"/>
                <w:szCs w:val="24"/>
              </w:rPr>
              <w:t xml:space="preserve"> priemonės valdytojui apimties, turinio ir vykdymo sąlygų, t. y. PGF</w:t>
            </w:r>
            <w:r w:rsidR="006C1FBA" w:rsidRPr="00736417">
              <w:rPr>
                <w:rFonts w:ascii="Times New Roman" w:hAnsi="Times New Roman"/>
                <w:szCs w:val="24"/>
              </w:rPr>
              <w:t>2</w:t>
            </w:r>
            <w:r w:rsidRPr="00736417">
              <w:rPr>
                <w:rFonts w:ascii="Times New Roman" w:hAnsi="Times New Roman"/>
                <w:szCs w:val="24"/>
              </w:rPr>
              <w:t xml:space="preserve"> priemonės valdytojas privalo vykdyti skolos pagal visą Faktoringo sandorį, už kurį išmokėta Garantijos išmoka, išsiieškojimo veiksmus iš MVĮ</w:t>
            </w:r>
            <w:r w:rsidR="00054EBE" w:rsidRPr="00736417">
              <w:rPr>
                <w:rFonts w:ascii="Times New Roman" w:hAnsi="Times New Roman"/>
                <w:szCs w:val="24"/>
              </w:rPr>
              <w:t>.</w:t>
            </w:r>
          </w:p>
          <w:p w14:paraId="32749799" w14:textId="0C942A60" w:rsidR="00260FC4" w:rsidRPr="00C33AC8" w:rsidRDefault="00260FC4" w:rsidP="000246FF">
            <w:pPr>
              <w:spacing w:line="276" w:lineRule="auto"/>
              <w:ind w:left="34"/>
              <w:jc w:val="both"/>
              <w:rPr>
                <w:rFonts w:ascii="Times New Roman" w:hAnsi="Times New Roman"/>
                <w:szCs w:val="24"/>
                <w:highlight w:val="yellow"/>
              </w:rPr>
            </w:pPr>
            <w:r w:rsidRPr="00736417">
              <w:rPr>
                <w:rFonts w:ascii="Times New Roman" w:hAnsi="Times New Roman"/>
                <w:szCs w:val="24"/>
              </w:rPr>
              <w:t>Garantija taikoma į Portfelį įtraukt</w:t>
            </w:r>
            <w:r w:rsidR="00054EBE" w:rsidRPr="00736417">
              <w:rPr>
                <w:rFonts w:ascii="Times New Roman" w:hAnsi="Times New Roman"/>
                <w:szCs w:val="24"/>
              </w:rPr>
              <w:t xml:space="preserve">iems </w:t>
            </w:r>
            <w:r w:rsidR="00DB0D69" w:rsidRPr="00736417">
              <w:rPr>
                <w:rFonts w:ascii="Times New Roman" w:hAnsi="Times New Roman"/>
                <w:szCs w:val="24"/>
              </w:rPr>
              <w:t>Faktoringo sandoriams</w:t>
            </w:r>
            <w:r w:rsidRPr="00736417">
              <w:rPr>
                <w:rFonts w:ascii="Times New Roman" w:hAnsi="Times New Roman"/>
                <w:szCs w:val="24"/>
              </w:rPr>
              <w:t>, kuri</w:t>
            </w:r>
            <w:r w:rsidR="00054EBE" w:rsidRPr="00736417">
              <w:rPr>
                <w:rFonts w:ascii="Times New Roman" w:hAnsi="Times New Roman"/>
                <w:szCs w:val="24"/>
              </w:rPr>
              <w:t>e</w:t>
            </w:r>
            <w:r w:rsidRPr="00736417">
              <w:rPr>
                <w:rFonts w:ascii="Times New Roman" w:hAnsi="Times New Roman"/>
                <w:szCs w:val="24"/>
              </w:rPr>
              <w:t xml:space="preserve"> atitinka Tinkamumo sąlygas</w:t>
            </w:r>
            <w:r w:rsidR="00736417" w:rsidRPr="00736417">
              <w:rPr>
                <w:rFonts w:ascii="Times New Roman" w:hAnsi="Times New Roman"/>
                <w:szCs w:val="24"/>
              </w:rPr>
              <w:t>.</w:t>
            </w:r>
          </w:p>
        </w:tc>
      </w:tr>
      <w:tr w:rsidR="007F2A2A" w:rsidRPr="00C33AC8" w14:paraId="316CECC2"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1C422DBC" w14:textId="44773256" w:rsidR="00992BC8" w:rsidRPr="00A0213D" w:rsidRDefault="00992BC8" w:rsidP="009B0EE1">
            <w:pPr>
              <w:pStyle w:val="ListParagraph"/>
              <w:numPr>
                <w:ilvl w:val="0"/>
                <w:numId w:val="13"/>
              </w:numPr>
              <w:spacing w:after="0"/>
              <w:jc w:val="center"/>
              <w:rPr>
                <w:sz w:val="24"/>
                <w:szCs w:val="24"/>
                <w:lang w:val="lt-LT"/>
              </w:rPr>
            </w:pPr>
          </w:p>
        </w:tc>
        <w:tc>
          <w:tcPr>
            <w:tcW w:w="3119" w:type="dxa"/>
            <w:tcBorders>
              <w:bottom w:val="single" w:sz="4" w:space="0" w:color="000000"/>
            </w:tcBorders>
          </w:tcPr>
          <w:p w14:paraId="31E140A4" w14:textId="77777777" w:rsidR="00992BC8" w:rsidRPr="00A0213D" w:rsidRDefault="00992BC8" w:rsidP="009B0EE1">
            <w:pPr>
              <w:spacing w:line="276" w:lineRule="auto"/>
              <w:rPr>
                <w:rFonts w:ascii="Times New Roman" w:hAnsi="Times New Roman"/>
                <w:b/>
                <w:szCs w:val="24"/>
              </w:rPr>
            </w:pPr>
            <w:r w:rsidRPr="00A0213D">
              <w:rPr>
                <w:rFonts w:ascii="Times New Roman" w:hAnsi="Times New Roman"/>
                <w:b/>
                <w:szCs w:val="24"/>
              </w:rPr>
              <w:t>Garantijos dydis</w:t>
            </w:r>
          </w:p>
        </w:tc>
        <w:tc>
          <w:tcPr>
            <w:tcW w:w="6096" w:type="dxa"/>
            <w:tcBorders>
              <w:bottom w:val="single" w:sz="4" w:space="0" w:color="000000"/>
            </w:tcBorders>
          </w:tcPr>
          <w:p w14:paraId="3B2FBCDB" w14:textId="53A456E3" w:rsidR="00992BC8" w:rsidRPr="00C33AC8" w:rsidRDefault="00131764" w:rsidP="009B0EE1">
            <w:pPr>
              <w:spacing w:line="276" w:lineRule="auto"/>
              <w:ind w:left="34"/>
              <w:jc w:val="both"/>
              <w:rPr>
                <w:rFonts w:ascii="Times New Roman" w:hAnsi="Times New Roman"/>
                <w:szCs w:val="24"/>
                <w:highlight w:val="yellow"/>
              </w:rPr>
            </w:pPr>
            <w:r w:rsidRPr="00A0213D">
              <w:rPr>
                <w:rFonts w:ascii="Times New Roman" w:hAnsi="Times New Roman"/>
                <w:szCs w:val="24"/>
              </w:rPr>
              <w:t>80 proc.</w:t>
            </w:r>
          </w:p>
        </w:tc>
      </w:tr>
      <w:tr w:rsidR="007F2A2A" w:rsidRPr="00C33AC8" w14:paraId="5CA0F57F"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435DA6DC" w14:textId="4A8F4F49" w:rsidR="004842F8" w:rsidRPr="002C2CF7" w:rsidRDefault="004842F8"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7AD730D7" w14:textId="0A2AFCD7" w:rsidR="004842F8" w:rsidRPr="002C2CF7" w:rsidRDefault="004842F8" w:rsidP="009B0EE1">
            <w:pPr>
              <w:spacing w:line="276" w:lineRule="auto"/>
              <w:rPr>
                <w:rFonts w:ascii="Times New Roman" w:hAnsi="Times New Roman"/>
                <w:b/>
                <w:szCs w:val="24"/>
              </w:rPr>
            </w:pPr>
            <w:r w:rsidRPr="002C2CF7">
              <w:rPr>
                <w:rFonts w:ascii="Times New Roman" w:hAnsi="Times New Roman"/>
                <w:b/>
                <w:szCs w:val="24"/>
              </w:rPr>
              <w:t xml:space="preserve">Garantuotas </w:t>
            </w:r>
            <w:r w:rsidR="000D52EC" w:rsidRPr="002C2CF7">
              <w:rPr>
                <w:rFonts w:ascii="Times New Roman" w:hAnsi="Times New Roman"/>
                <w:b/>
                <w:szCs w:val="24"/>
              </w:rPr>
              <w:t>p</w:t>
            </w:r>
            <w:r w:rsidRPr="002C2CF7">
              <w:rPr>
                <w:rFonts w:ascii="Times New Roman" w:hAnsi="Times New Roman"/>
                <w:b/>
                <w:szCs w:val="24"/>
              </w:rPr>
              <w:t xml:space="preserve">ortfelis </w:t>
            </w:r>
          </w:p>
        </w:tc>
        <w:tc>
          <w:tcPr>
            <w:tcW w:w="6096" w:type="dxa"/>
            <w:tcBorders>
              <w:top w:val="single" w:sz="4" w:space="0" w:color="auto"/>
              <w:left w:val="single" w:sz="4" w:space="0" w:color="auto"/>
              <w:bottom w:val="single" w:sz="4" w:space="0" w:color="auto"/>
              <w:right w:val="single" w:sz="4" w:space="0" w:color="auto"/>
            </w:tcBorders>
          </w:tcPr>
          <w:p w14:paraId="726219D6" w14:textId="2E3276D5" w:rsidR="001C4843" w:rsidRPr="007C12EB" w:rsidRDefault="00764CC4" w:rsidP="009B0EE1">
            <w:pPr>
              <w:spacing w:line="276" w:lineRule="auto"/>
              <w:ind w:left="34"/>
              <w:jc w:val="both"/>
              <w:rPr>
                <w:rFonts w:ascii="Times New Roman" w:hAnsi="Times New Roman"/>
                <w:szCs w:val="24"/>
              </w:rPr>
            </w:pPr>
            <w:r>
              <w:rPr>
                <w:rFonts w:ascii="Times New Roman" w:hAnsi="Times New Roman"/>
                <w:szCs w:val="24"/>
              </w:rPr>
              <w:t>Faktoringo sandorių p</w:t>
            </w:r>
            <w:r w:rsidR="001C4843" w:rsidRPr="002C2CF7">
              <w:rPr>
                <w:rFonts w:ascii="Times New Roman" w:hAnsi="Times New Roman"/>
                <w:szCs w:val="24"/>
              </w:rPr>
              <w:t xml:space="preserve">ortfelis, į kurį įtrauktiems Faktoringo sandoriams yra suteikta </w:t>
            </w:r>
            <w:r w:rsidR="00535AB0" w:rsidRPr="002C2CF7">
              <w:rPr>
                <w:rFonts w:ascii="Times New Roman" w:hAnsi="Times New Roman"/>
                <w:szCs w:val="24"/>
              </w:rPr>
              <w:t>G</w:t>
            </w:r>
            <w:r w:rsidR="001C4843" w:rsidRPr="002C2CF7">
              <w:rPr>
                <w:rFonts w:ascii="Times New Roman" w:hAnsi="Times New Roman"/>
                <w:szCs w:val="24"/>
              </w:rPr>
              <w:t xml:space="preserve">arantija, užtikrinanti į Portfelį įtrauktų Faktoringo sandorių, atitinkančių </w:t>
            </w:r>
            <w:r w:rsidR="00535AB0" w:rsidRPr="002C2CF7">
              <w:rPr>
                <w:rFonts w:ascii="Times New Roman" w:hAnsi="Times New Roman"/>
                <w:szCs w:val="24"/>
              </w:rPr>
              <w:t>T</w:t>
            </w:r>
            <w:r w:rsidR="001C4843" w:rsidRPr="002C2CF7">
              <w:rPr>
                <w:rFonts w:ascii="Times New Roman" w:hAnsi="Times New Roman"/>
                <w:szCs w:val="24"/>
              </w:rPr>
              <w:t xml:space="preserve">inkamumo sąlygas, nustatytos </w:t>
            </w:r>
            <w:r w:rsidR="001C4843" w:rsidRPr="007C12EB">
              <w:rPr>
                <w:rFonts w:ascii="Times New Roman" w:hAnsi="Times New Roman"/>
                <w:szCs w:val="24"/>
              </w:rPr>
              <w:t>reikalavimų dalies sumokėjimą</w:t>
            </w:r>
            <w:r w:rsidR="00380622" w:rsidRPr="007C12EB">
              <w:rPr>
                <w:rFonts w:ascii="Times New Roman" w:hAnsi="Times New Roman"/>
                <w:szCs w:val="24"/>
              </w:rPr>
              <w:t>.</w:t>
            </w:r>
          </w:p>
          <w:p w14:paraId="2C79B007" w14:textId="3D834441" w:rsidR="001C4843" w:rsidRPr="00C33AC8" w:rsidRDefault="001C4843" w:rsidP="000246FF">
            <w:pPr>
              <w:spacing w:line="276" w:lineRule="auto"/>
              <w:ind w:left="34"/>
              <w:jc w:val="both"/>
              <w:rPr>
                <w:rFonts w:ascii="Times New Roman" w:hAnsi="Times New Roman"/>
                <w:szCs w:val="24"/>
                <w:highlight w:val="yellow"/>
              </w:rPr>
            </w:pPr>
          </w:p>
        </w:tc>
      </w:tr>
      <w:tr w:rsidR="007F2A2A" w:rsidRPr="00C33AC8" w14:paraId="27C98248"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718C0299" w14:textId="77777777" w:rsidR="005B6E65" w:rsidRPr="001031EC" w:rsidRDefault="005B6E65" w:rsidP="009B0EE1">
            <w:pPr>
              <w:pStyle w:val="ListParagraph"/>
              <w:numPr>
                <w:ilvl w:val="0"/>
                <w:numId w:val="13"/>
              </w:numPr>
              <w:spacing w:after="0"/>
              <w:jc w:val="center"/>
              <w:rPr>
                <w:sz w:val="24"/>
                <w:szCs w:val="24"/>
                <w:lang w:val="lt-LT"/>
              </w:rPr>
            </w:pPr>
          </w:p>
        </w:tc>
        <w:tc>
          <w:tcPr>
            <w:tcW w:w="3119" w:type="dxa"/>
            <w:tcBorders>
              <w:bottom w:val="single" w:sz="4" w:space="0" w:color="000000"/>
            </w:tcBorders>
          </w:tcPr>
          <w:p w14:paraId="234C9355" w14:textId="67C6879E" w:rsidR="005B6E65" w:rsidRPr="001031EC" w:rsidRDefault="005B6E65" w:rsidP="009B0EE1">
            <w:pPr>
              <w:spacing w:line="276" w:lineRule="auto"/>
              <w:rPr>
                <w:rFonts w:ascii="Times New Roman" w:hAnsi="Times New Roman"/>
                <w:b/>
                <w:szCs w:val="24"/>
              </w:rPr>
            </w:pPr>
            <w:r w:rsidRPr="001031EC">
              <w:rPr>
                <w:rFonts w:ascii="Times New Roman" w:hAnsi="Times New Roman"/>
                <w:b/>
                <w:szCs w:val="24"/>
              </w:rPr>
              <w:t>Išmoka</w:t>
            </w:r>
            <w:r w:rsidR="00396366" w:rsidRPr="001031EC">
              <w:rPr>
                <w:rFonts w:ascii="Times New Roman" w:hAnsi="Times New Roman"/>
                <w:b/>
                <w:szCs w:val="24"/>
              </w:rPr>
              <w:t xml:space="preserve"> (Garantijos išmoka)</w:t>
            </w:r>
          </w:p>
        </w:tc>
        <w:tc>
          <w:tcPr>
            <w:tcW w:w="6096" w:type="dxa"/>
            <w:tcBorders>
              <w:bottom w:val="single" w:sz="4" w:space="0" w:color="000000"/>
            </w:tcBorders>
          </w:tcPr>
          <w:p w14:paraId="040796C5" w14:textId="19016098" w:rsidR="005B6E65" w:rsidRPr="001031EC" w:rsidRDefault="00861A3F" w:rsidP="009B0EE1">
            <w:pPr>
              <w:spacing w:line="276" w:lineRule="auto"/>
              <w:ind w:left="34"/>
              <w:jc w:val="both"/>
              <w:rPr>
                <w:rFonts w:ascii="Times New Roman" w:hAnsi="Times New Roman"/>
                <w:szCs w:val="24"/>
              </w:rPr>
            </w:pPr>
            <w:r w:rsidRPr="001031EC">
              <w:rPr>
                <w:rFonts w:ascii="Times New Roman" w:hAnsi="Times New Roman"/>
                <w:szCs w:val="24"/>
              </w:rPr>
              <w:t>P</w:t>
            </w:r>
            <w:r w:rsidR="005B6E65" w:rsidRPr="001031EC">
              <w:rPr>
                <w:rFonts w:ascii="Times New Roman" w:hAnsi="Times New Roman"/>
                <w:szCs w:val="24"/>
              </w:rPr>
              <w:t>agal Probleminį Faktoringo sandorį PGF</w:t>
            </w:r>
            <w:r w:rsidR="004A31BA" w:rsidRPr="001031EC">
              <w:rPr>
                <w:rFonts w:ascii="Times New Roman" w:hAnsi="Times New Roman"/>
                <w:szCs w:val="24"/>
              </w:rPr>
              <w:t>2</w:t>
            </w:r>
            <w:r w:rsidR="005B6E65" w:rsidRPr="001031EC">
              <w:rPr>
                <w:rFonts w:ascii="Times New Roman" w:hAnsi="Times New Roman"/>
                <w:szCs w:val="24"/>
              </w:rPr>
              <w:t xml:space="preserve"> priemonės valdytojui apskaičiuota ir išmokama garantuota Nuostolio dalis.</w:t>
            </w:r>
          </w:p>
          <w:p w14:paraId="322FA7D5" w14:textId="64E365C8" w:rsidR="005B6E65" w:rsidRPr="001031EC" w:rsidRDefault="005B6E65" w:rsidP="009B0EE1">
            <w:pPr>
              <w:spacing w:line="276" w:lineRule="auto"/>
              <w:ind w:left="34"/>
              <w:jc w:val="both"/>
              <w:rPr>
                <w:rFonts w:ascii="Times New Roman" w:hAnsi="Times New Roman"/>
                <w:szCs w:val="24"/>
              </w:rPr>
            </w:pPr>
            <w:r w:rsidRPr="001031EC">
              <w:rPr>
                <w:rFonts w:ascii="Times New Roman" w:hAnsi="Times New Roman"/>
                <w:szCs w:val="24"/>
              </w:rPr>
              <w:t>PGF</w:t>
            </w:r>
            <w:r w:rsidR="004A31BA" w:rsidRPr="001031EC">
              <w:rPr>
                <w:rFonts w:ascii="Times New Roman" w:hAnsi="Times New Roman"/>
                <w:szCs w:val="24"/>
              </w:rPr>
              <w:t>2</w:t>
            </w:r>
            <w:r w:rsidRPr="001031EC">
              <w:rPr>
                <w:rFonts w:ascii="Times New Roman" w:hAnsi="Times New Roman"/>
                <w:szCs w:val="24"/>
              </w:rPr>
              <w:t xml:space="preserve"> priemonės valdytojas dėl Išmokos gali kreiptis į „Invegą“ pagal kiekvieną Probleminį Faktoringo sandorį praėjus 90 kalendorinių dienų nuo kreipimosi raštu į MVĮ dėl skolos sumokėjimo.</w:t>
            </w:r>
          </w:p>
          <w:p w14:paraId="4BBCDF26" w14:textId="0E8DF497" w:rsidR="005B6E65" w:rsidRPr="001031EC" w:rsidRDefault="004A31BA" w:rsidP="000246FF">
            <w:pPr>
              <w:spacing w:line="276" w:lineRule="auto"/>
              <w:ind w:left="34"/>
              <w:jc w:val="both"/>
              <w:rPr>
                <w:rFonts w:ascii="Times New Roman" w:hAnsi="Times New Roman"/>
                <w:szCs w:val="24"/>
              </w:rPr>
            </w:pPr>
            <w:r w:rsidRPr="001031EC">
              <w:rPr>
                <w:rFonts w:ascii="Times New Roman" w:hAnsi="Times New Roman"/>
                <w:szCs w:val="24"/>
              </w:rPr>
              <w:t xml:space="preserve">PGF2 priemonės valdytojui pateikus prašymą mokėti išmoką, išmoka atliekama per 30 kalendorinių dienų nuo </w:t>
            </w:r>
            <w:r w:rsidR="00835826">
              <w:rPr>
                <w:rFonts w:ascii="Times New Roman" w:hAnsi="Times New Roman"/>
                <w:szCs w:val="24"/>
              </w:rPr>
              <w:t>el. būdu atsiųsto</w:t>
            </w:r>
            <w:r w:rsidRPr="001031EC">
              <w:rPr>
                <w:rFonts w:ascii="Times New Roman" w:hAnsi="Times New Roman"/>
                <w:szCs w:val="24"/>
              </w:rPr>
              <w:t xml:space="preserve"> pasirašyto </w:t>
            </w:r>
            <w:r w:rsidR="00DA1FA8">
              <w:rPr>
                <w:rFonts w:ascii="Times New Roman" w:hAnsi="Times New Roman"/>
                <w:szCs w:val="24"/>
              </w:rPr>
              <w:t>prašymo</w:t>
            </w:r>
            <w:r w:rsidRPr="001031EC">
              <w:rPr>
                <w:rFonts w:ascii="Times New Roman" w:hAnsi="Times New Roman"/>
                <w:szCs w:val="24"/>
              </w:rPr>
              <w:t xml:space="preserve"> gavimo dienos „Invegoje“</w:t>
            </w:r>
            <w:r w:rsidR="00D74512">
              <w:rPr>
                <w:rFonts w:ascii="Times New Roman" w:hAnsi="Times New Roman"/>
                <w:szCs w:val="24"/>
              </w:rPr>
              <w:t>.</w:t>
            </w:r>
          </w:p>
        </w:tc>
      </w:tr>
      <w:tr w:rsidR="007F2A2A" w:rsidRPr="00C33AC8" w14:paraId="0AAB3B83" w14:textId="77777777" w:rsidTr="00B91A59">
        <w:trPr>
          <w:trHeight w:val="1408"/>
        </w:trPr>
        <w:tc>
          <w:tcPr>
            <w:tcW w:w="709" w:type="dxa"/>
            <w:tcBorders>
              <w:top w:val="single" w:sz="4" w:space="0" w:color="auto"/>
              <w:left w:val="single" w:sz="4" w:space="0" w:color="auto"/>
              <w:bottom w:val="single" w:sz="4" w:space="0" w:color="auto"/>
              <w:right w:val="single" w:sz="4" w:space="0" w:color="auto"/>
            </w:tcBorders>
          </w:tcPr>
          <w:p w14:paraId="5E8B41D7" w14:textId="6F13156E" w:rsidR="00EE605D" w:rsidRPr="00C46276" w:rsidRDefault="00EE605D" w:rsidP="009B0EE1">
            <w:pPr>
              <w:pStyle w:val="ListParagraph"/>
              <w:numPr>
                <w:ilvl w:val="0"/>
                <w:numId w:val="13"/>
              </w:numPr>
              <w:spacing w:after="0"/>
              <w:jc w:val="center"/>
              <w:rPr>
                <w:sz w:val="24"/>
                <w:szCs w:val="24"/>
                <w:lang w:val="lt-LT"/>
              </w:rPr>
            </w:pPr>
          </w:p>
        </w:tc>
        <w:tc>
          <w:tcPr>
            <w:tcW w:w="3119" w:type="dxa"/>
          </w:tcPr>
          <w:p w14:paraId="1F69CE0B" w14:textId="74018858" w:rsidR="00EE605D" w:rsidRPr="00C46276" w:rsidRDefault="00EE605D" w:rsidP="009B0EE1">
            <w:pPr>
              <w:spacing w:line="276" w:lineRule="auto"/>
              <w:rPr>
                <w:rFonts w:ascii="Times New Roman" w:hAnsi="Times New Roman"/>
                <w:b/>
                <w:szCs w:val="24"/>
              </w:rPr>
            </w:pPr>
            <w:r w:rsidRPr="00C46276">
              <w:rPr>
                <w:rFonts w:ascii="Times New Roman" w:hAnsi="Times New Roman"/>
                <w:b/>
                <w:szCs w:val="24"/>
              </w:rPr>
              <w:t>Kontrolinis įvykis</w:t>
            </w:r>
          </w:p>
        </w:tc>
        <w:tc>
          <w:tcPr>
            <w:tcW w:w="6096" w:type="dxa"/>
          </w:tcPr>
          <w:p w14:paraId="4D55E2D7" w14:textId="0E66AD6B" w:rsidR="009B4E29" w:rsidRPr="00C46276" w:rsidRDefault="009B4E29" w:rsidP="009B0EE1">
            <w:pPr>
              <w:spacing w:line="276" w:lineRule="auto"/>
              <w:ind w:left="34"/>
              <w:jc w:val="both"/>
              <w:rPr>
                <w:rFonts w:ascii="Times New Roman" w:hAnsi="Times New Roman"/>
                <w:szCs w:val="24"/>
              </w:rPr>
            </w:pPr>
            <w:r w:rsidRPr="00C46276">
              <w:rPr>
                <w:rFonts w:ascii="Times New Roman" w:hAnsi="Times New Roman"/>
                <w:szCs w:val="24"/>
              </w:rPr>
              <w:t>Kontrolinis įvykis:</w:t>
            </w:r>
          </w:p>
          <w:p w14:paraId="72EC3AED" w14:textId="7C150D36" w:rsidR="009B4E29" w:rsidRPr="00C46276" w:rsidRDefault="00590D37" w:rsidP="009B0EE1">
            <w:pPr>
              <w:pStyle w:val="ListParagraph"/>
              <w:spacing w:after="0"/>
              <w:ind w:left="34"/>
              <w:jc w:val="both"/>
              <w:rPr>
                <w:snapToGrid/>
                <w:sz w:val="24"/>
                <w:szCs w:val="24"/>
                <w:lang w:val="lt-LT" w:eastAsia="en-US"/>
              </w:rPr>
            </w:pPr>
            <w:r w:rsidRPr="00C46276">
              <w:rPr>
                <w:snapToGrid/>
                <w:sz w:val="24"/>
                <w:szCs w:val="24"/>
                <w:lang w:val="lt-LT" w:eastAsia="en-US"/>
              </w:rPr>
              <w:t xml:space="preserve">a) </w:t>
            </w:r>
            <w:r w:rsidR="009B4E29" w:rsidRPr="00C46276">
              <w:rPr>
                <w:snapToGrid/>
                <w:sz w:val="24"/>
                <w:szCs w:val="24"/>
                <w:lang w:val="lt-LT" w:eastAsia="en-US"/>
              </w:rPr>
              <w:t>bet kuriuo Portfelio vertinimo metu</w:t>
            </w:r>
            <w:r w:rsidR="006D5D79" w:rsidRPr="00C46276">
              <w:rPr>
                <w:snapToGrid/>
                <w:sz w:val="24"/>
                <w:szCs w:val="24"/>
                <w:lang w:val="lt-LT" w:eastAsia="en-US"/>
              </w:rPr>
              <w:t xml:space="preserve"> nustatoma, kad</w:t>
            </w:r>
            <w:r w:rsidR="009B4E29" w:rsidRPr="00C46276">
              <w:rPr>
                <w:snapToGrid/>
                <w:sz w:val="24"/>
                <w:szCs w:val="24"/>
                <w:lang w:val="lt-LT" w:eastAsia="en-US"/>
              </w:rPr>
              <w:t xml:space="preserve"> </w:t>
            </w:r>
            <w:r w:rsidR="00EE16CB" w:rsidRPr="00C46276">
              <w:rPr>
                <w:snapToGrid/>
                <w:sz w:val="24"/>
                <w:szCs w:val="24"/>
                <w:lang w:val="lt-LT" w:eastAsia="en-US"/>
              </w:rPr>
              <w:t xml:space="preserve">yra </w:t>
            </w:r>
            <w:r w:rsidR="009B4E29" w:rsidRPr="00C46276">
              <w:rPr>
                <w:snapToGrid/>
                <w:sz w:val="24"/>
                <w:szCs w:val="24"/>
                <w:lang w:val="lt-LT" w:eastAsia="en-US"/>
              </w:rPr>
              <w:t xml:space="preserve">suteiktų </w:t>
            </w:r>
            <w:r w:rsidR="0058580E" w:rsidRPr="00C46276">
              <w:rPr>
                <w:snapToGrid/>
                <w:sz w:val="24"/>
                <w:szCs w:val="24"/>
                <w:lang w:val="lt-LT" w:eastAsia="en-US"/>
              </w:rPr>
              <w:t>Faktoringo sandorių</w:t>
            </w:r>
            <w:r w:rsidR="001549A3" w:rsidRPr="00C46276">
              <w:rPr>
                <w:snapToGrid/>
                <w:sz w:val="24"/>
                <w:szCs w:val="24"/>
                <w:lang w:val="lt-LT" w:eastAsia="en-US"/>
              </w:rPr>
              <w:t>,</w:t>
            </w:r>
            <w:r w:rsidR="006D5D79" w:rsidRPr="00C46276">
              <w:rPr>
                <w:snapToGrid/>
                <w:sz w:val="24"/>
                <w:szCs w:val="24"/>
                <w:lang w:val="lt-LT" w:eastAsia="en-US"/>
              </w:rPr>
              <w:t xml:space="preserve"> </w:t>
            </w:r>
            <w:r w:rsidR="00DC4F5E" w:rsidRPr="00C46276">
              <w:rPr>
                <w:snapToGrid/>
                <w:sz w:val="24"/>
                <w:szCs w:val="24"/>
                <w:lang w:val="lt-LT" w:eastAsia="en-US"/>
              </w:rPr>
              <w:t>kurių</w:t>
            </w:r>
            <w:r w:rsidR="001549A3" w:rsidRPr="00C46276">
              <w:rPr>
                <w:snapToGrid/>
                <w:sz w:val="24"/>
                <w:szCs w:val="24"/>
                <w:lang w:val="lt-LT" w:eastAsia="en-US"/>
              </w:rPr>
              <w:t xml:space="preserve"> gavėj</w:t>
            </w:r>
            <w:r w:rsidR="00DC4F5E" w:rsidRPr="00C46276">
              <w:rPr>
                <w:snapToGrid/>
                <w:sz w:val="24"/>
                <w:szCs w:val="24"/>
                <w:lang w:val="lt-LT" w:eastAsia="en-US"/>
              </w:rPr>
              <w:t>ų</w:t>
            </w:r>
            <w:r w:rsidR="009B4E29" w:rsidRPr="00C46276">
              <w:rPr>
                <w:snapToGrid/>
                <w:sz w:val="24"/>
                <w:szCs w:val="24"/>
                <w:lang w:val="lt-LT" w:eastAsia="en-US"/>
              </w:rPr>
              <w:t xml:space="preserve"> minimalus reitingas yra žemesnis už leistiną „B-“ ar „B3“;</w:t>
            </w:r>
          </w:p>
          <w:p w14:paraId="78C6B44E" w14:textId="66EA3842" w:rsidR="00CC43BA" w:rsidRPr="00C46276" w:rsidRDefault="00590D37" w:rsidP="009B0EE1">
            <w:pPr>
              <w:pStyle w:val="ListParagraph"/>
              <w:spacing w:after="0"/>
              <w:ind w:left="34"/>
              <w:jc w:val="both"/>
              <w:rPr>
                <w:snapToGrid/>
                <w:sz w:val="24"/>
                <w:szCs w:val="24"/>
                <w:lang w:val="lt-LT" w:eastAsia="en-US"/>
              </w:rPr>
            </w:pPr>
            <w:r w:rsidRPr="00C46276">
              <w:rPr>
                <w:snapToGrid/>
                <w:sz w:val="24"/>
                <w:szCs w:val="24"/>
                <w:lang w:val="lt-LT" w:eastAsia="en-US"/>
              </w:rPr>
              <w:t xml:space="preserve">b) </w:t>
            </w:r>
            <w:r w:rsidR="00CC43BA" w:rsidRPr="00C46276">
              <w:rPr>
                <w:snapToGrid/>
                <w:sz w:val="24"/>
                <w:szCs w:val="24"/>
                <w:lang w:val="lt-LT" w:eastAsia="en-US"/>
              </w:rPr>
              <w:t>bet kuriuo Portfelio vertinimo metu nustatoma, kad yra finansuojami su Faktoringo gavėju susijusių įmonių tarpusavio prekybiniai sandoriai, t. y. išmokami Faktoringo avansai pagal sąskaitas faktūras, MVĮ išrašytas susijusioms ir partnerinėms įmonėms, kaip jos suprantamos pagal SVV</w:t>
            </w:r>
            <w:r w:rsidR="00534835" w:rsidRPr="00C46276">
              <w:rPr>
                <w:snapToGrid/>
                <w:sz w:val="24"/>
                <w:szCs w:val="24"/>
                <w:lang w:val="lt-LT" w:eastAsia="en-US"/>
              </w:rPr>
              <w:t> </w:t>
            </w:r>
            <w:r w:rsidR="00CC43BA" w:rsidRPr="00C46276">
              <w:rPr>
                <w:snapToGrid/>
                <w:sz w:val="24"/>
                <w:szCs w:val="24"/>
                <w:lang w:val="lt-LT" w:eastAsia="en-US"/>
              </w:rPr>
              <w:t xml:space="preserve"> įstatymą;</w:t>
            </w:r>
          </w:p>
          <w:p w14:paraId="6B9D9AB8" w14:textId="186D33C2" w:rsidR="009B4E29" w:rsidRPr="00C46276" w:rsidRDefault="00CC43BA" w:rsidP="009B0EE1">
            <w:pPr>
              <w:spacing w:line="276" w:lineRule="auto"/>
              <w:ind w:left="34"/>
              <w:jc w:val="both"/>
              <w:rPr>
                <w:rFonts w:ascii="Times New Roman" w:hAnsi="Times New Roman"/>
                <w:szCs w:val="24"/>
              </w:rPr>
            </w:pPr>
            <w:r w:rsidRPr="00C46276">
              <w:rPr>
                <w:rFonts w:ascii="Times New Roman" w:hAnsi="Times New Roman"/>
                <w:szCs w:val="24"/>
              </w:rPr>
              <w:t>c</w:t>
            </w:r>
            <w:r w:rsidR="009B4E29" w:rsidRPr="00C46276">
              <w:rPr>
                <w:rFonts w:ascii="Times New Roman" w:hAnsi="Times New Roman"/>
                <w:szCs w:val="24"/>
              </w:rPr>
              <w:t xml:space="preserve">) </w:t>
            </w:r>
            <w:r w:rsidR="009B4E29" w:rsidRPr="00877116">
              <w:rPr>
                <w:rFonts w:ascii="Times New Roman" w:hAnsi="Times New Roman"/>
                <w:szCs w:val="24"/>
              </w:rPr>
              <w:t xml:space="preserve">bet kuriuo Portfelio vertinimo metu suteiktų </w:t>
            </w:r>
            <w:r w:rsidR="0058580E" w:rsidRPr="00877116">
              <w:rPr>
                <w:rFonts w:ascii="Times New Roman" w:hAnsi="Times New Roman"/>
                <w:szCs w:val="24"/>
              </w:rPr>
              <w:t>Faktoringo sandorių</w:t>
            </w:r>
            <w:r w:rsidR="009B4E29" w:rsidRPr="00877116">
              <w:rPr>
                <w:rFonts w:ascii="Times New Roman" w:hAnsi="Times New Roman"/>
                <w:szCs w:val="24"/>
              </w:rPr>
              <w:t>,</w:t>
            </w:r>
            <w:r w:rsidR="001549A3" w:rsidRPr="00877116">
              <w:rPr>
                <w:rFonts w:ascii="Times New Roman" w:hAnsi="Times New Roman"/>
                <w:szCs w:val="24"/>
              </w:rPr>
              <w:t xml:space="preserve"> </w:t>
            </w:r>
            <w:r w:rsidR="00DC4F5E" w:rsidRPr="00877116">
              <w:rPr>
                <w:rFonts w:ascii="Times New Roman" w:hAnsi="Times New Roman"/>
                <w:szCs w:val="24"/>
              </w:rPr>
              <w:t>kurių</w:t>
            </w:r>
            <w:r w:rsidR="001549A3" w:rsidRPr="00877116">
              <w:rPr>
                <w:rFonts w:ascii="Times New Roman" w:hAnsi="Times New Roman"/>
                <w:szCs w:val="24"/>
              </w:rPr>
              <w:t xml:space="preserve"> gavėjų</w:t>
            </w:r>
            <w:r w:rsidR="009B4E29" w:rsidRPr="00877116">
              <w:rPr>
                <w:rFonts w:ascii="Times New Roman" w:hAnsi="Times New Roman"/>
                <w:szCs w:val="24"/>
              </w:rPr>
              <w:t xml:space="preserve"> reitingai yra „B-“ ar „B3“, koncentracija Portfelyje yra didesn</w:t>
            </w:r>
            <w:r w:rsidR="00954272" w:rsidRPr="00877116">
              <w:rPr>
                <w:rFonts w:ascii="Times New Roman" w:hAnsi="Times New Roman"/>
                <w:szCs w:val="24"/>
              </w:rPr>
              <w:t>ė</w:t>
            </w:r>
            <w:r w:rsidR="009B4E29" w:rsidRPr="00877116">
              <w:rPr>
                <w:rFonts w:ascii="Times New Roman" w:hAnsi="Times New Roman"/>
                <w:szCs w:val="24"/>
              </w:rPr>
              <w:t xml:space="preserve"> kaip</w:t>
            </w:r>
            <w:r w:rsidR="00626BAE" w:rsidRPr="00626BAE">
              <w:rPr>
                <w:rFonts w:ascii="Times New Roman" w:hAnsi="Times New Roman"/>
                <w:szCs w:val="24"/>
              </w:rPr>
              <w:t xml:space="preserve"> 50 proc. Sutartyje numatyto Sutarto Portfelio sumos</w:t>
            </w:r>
            <w:r w:rsidR="00626BAE">
              <w:rPr>
                <w:rFonts w:ascii="Times New Roman" w:hAnsi="Times New Roman"/>
                <w:szCs w:val="24"/>
              </w:rPr>
              <w:t>;</w:t>
            </w:r>
          </w:p>
          <w:p w14:paraId="1845722B" w14:textId="12E4AB7C" w:rsidR="009B4E29" w:rsidRPr="00C46276" w:rsidRDefault="00CC43BA" w:rsidP="009B0EE1">
            <w:pPr>
              <w:spacing w:line="276" w:lineRule="auto"/>
              <w:ind w:left="34"/>
              <w:jc w:val="both"/>
              <w:rPr>
                <w:rFonts w:ascii="Times New Roman" w:hAnsi="Times New Roman"/>
                <w:szCs w:val="24"/>
              </w:rPr>
            </w:pPr>
            <w:r w:rsidRPr="00C46276">
              <w:rPr>
                <w:rFonts w:ascii="Times New Roman" w:hAnsi="Times New Roman"/>
                <w:szCs w:val="24"/>
              </w:rPr>
              <w:t>d</w:t>
            </w:r>
            <w:r w:rsidR="009B4E29" w:rsidRPr="00C46276">
              <w:rPr>
                <w:rFonts w:ascii="Times New Roman" w:hAnsi="Times New Roman"/>
                <w:szCs w:val="24"/>
              </w:rPr>
              <w:t xml:space="preserve">) </w:t>
            </w:r>
            <w:r w:rsidR="009B4E29" w:rsidRPr="00877116">
              <w:rPr>
                <w:rFonts w:ascii="Times New Roman" w:hAnsi="Times New Roman"/>
                <w:szCs w:val="24"/>
              </w:rPr>
              <w:t xml:space="preserve">bet kuriuo Portfelio vertinimo metu viename ūkio sektoriuje pagrindinę veiklą vykdantiems </w:t>
            </w:r>
            <w:r w:rsidR="00F21757" w:rsidRPr="00877116">
              <w:rPr>
                <w:rFonts w:ascii="Times New Roman" w:hAnsi="Times New Roman"/>
                <w:szCs w:val="24"/>
              </w:rPr>
              <w:t xml:space="preserve">Faktoringo </w:t>
            </w:r>
            <w:r w:rsidR="009B4E29" w:rsidRPr="00877116">
              <w:rPr>
                <w:rFonts w:ascii="Times New Roman" w:hAnsi="Times New Roman"/>
                <w:szCs w:val="24"/>
              </w:rPr>
              <w:t xml:space="preserve">gavėjams suteiktų </w:t>
            </w:r>
            <w:r w:rsidR="0058580E" w:rsidRPr="00877116">
              <w:rPr>
                <w:rFonts w:ascii="Times New Roman" w:hAnsi="Times New Roman"/>
                <w:szCs w:val="24"/>
              </w:rPr>
              <w:t>Faktoringo sandorių</w:t>
            </w:r>
            <w:r w:rsidR="009B4E29" w:rsidRPr="00877116">
              <w:rPr>
                <w:rFonts w:ascii="Times New Roman" w:hAnsi="Times New Roman"/>
                <w:szCs w:val="24"/>
              </w:rPr>
              <w:t xml:space="preserve"> koncentracija </w:t>
            </w:r>
            <w:r w:rsidR="00823D4D" w:rsidRPr="00877116">
              <w:rPr>
                <w:rFonts w:ascii="Times New Roman" w:hAnsi="Times New Roman"/>
                <w:szCs w:val="24"/>
              </w:rPr>
              <w:t xml:space="preserve">pagal Faktoringo limitą </w:t>
            </w:r>
            <w:r w:rsidR="009B4E29" w:rsidRPr="00877116">
              <w:rPr>
                <w:rFonts w:ascii="Times New Roman" w:hAnsi="Times New Roman"/>
                <w:szCs w:val="24"/>
              </w:rPr>
              <w:t xml:space="preserve">Portfelyje </w:t>
            </w:r>
            <w:r w:rsidR="00DB0888" w:rsidRPr="00DB0888">
              <w:rPr>
                <w:rFonts w:ascii="Times New Roman" w:hAnsi="Times New Roman"/>
                <w:szCs w:val="24"/>
              </w:rPr>
              <w:t>virš</w:t>
            </w:r>
            <w:r w:rsidR="00DB0888">
              <w:rPr>
                <w:rFonts w:ascii="Times New Roman" w:hAnsi="Times New Roman"/>
                <w:szCs w:val="24"/>
              </w:rPr>
              <w:t>ija</w:t>
            </w:r>
            <w:r w:rsidR="00DB0888" w:rsidRPr="00DB0888">
              <w:rPr>
                <w:rFonts w:ascii="Times New Roman" w:hAnsi="Times New Roman"/>
                <w:szCs w:val="24"/>
              </w:rPr>
              <w:t xml:space="preserve"> 40 proc. Sutartyje numatyto Sutarto Portfelio dydžio sumos (pagal Ekonominės veiklos rūšių klasifikatorių (EVRK 2 redakcija) skyriaus lygmeniu)</w:t>
            </w:r>
            <w:r w:rsidR="00D04222">
              <w:rPr>
                <w:rFonts w:ascii="Times New Roman" w:hAnsi="Times New Roman"/>
                <w:szCs w:val="24"/>
              </w:rPr>
              <w:t>;</w:t>
            </w:r>
          </w:p>
          <w:p w14:paraId="3B398FB2" w14:textId="686709B7" w:rsidR="009B4E29" w:rsidRPr="00C46276" w:rsidRDefault="00CC43BA" w:rsidP="009B0EE1">
            <w:pPr>
              <w:spacing w:line="276" w:lineRule="auto"/>
              <w:ind w:left="34"/>
              <w:jc w:val="both"/>
              <w:rPr>
                <w:rFonts w:ascii="Times New Roman" w:hAnsi="Times New Roman"/>
                <w:szCs w:val="24"/>
              </w:rPr>
            </w:pPr>
            <w:r w:rsidRPr="00C46276">
              <w:rPr>
                <w:rFonts w:ascii="Times New Roman" w:hAnsi="Times New Roman"/>
                <w:szCs w:val="24"/>
              </w:rPr>
              <w:t>e</w:t>
            </w:r>
            <w:r w:rsidR="009B4E29" w:rsidRPr="00C46276">
              <w:rPr>
                <w:rFonts w:ascii="Times New Roman" w:hAnsi="Times New Roman"/>
                <w:szCs w:val="24"/>
              </w:rPr>
              <w:t>) Sutarties 4.</w:t>
            </w:r>
            <w:r w:rsidR="00534835" w:rsidRPr="00C46276">
              <w:rPr>
                <w:rFonts w:ascii="Times New Roman" w:hAnsi="Times New Roman"/>
                <w:szCs w:val="24"/>
              </w:rPr>
              <w:t>9</w:t>
            </w:r>
            <w:r w:rsidR="009B4E29" w:rsidRPr="00C46276">
              <w:rPr>
                <w:rFonts w:ascii="Times New Roman" w:hAnsi="Times New Roman"/>
                <w:szCs w:val="24"/>
              </w:rPr>
              <w:t xml:space="preserve"> punkte nustatytais terminais </w:t>
            </w:r>
            <w:r w:rsidR="0058580E" w:rsidRPr="00C46276">
              <w:rPr>
                <w:rFonts w:ascii="Times New Roman" w:hAnsi="Times New Roman"/>
                <w:szCs w:val="24"/>
              </w:rPr>
              <w:t>Faktoringo sandorių</w:t>
            </w:r>
            <w:r w:rsidR="009B4E29" w:rsidRPr="00C46276">
              <w:rPr>
                <w:rFonts w:ascii="Times New Roman" w:hAnsi="Times New Roman"/>
                <w:szCs w:val="24"/>
              </w:rPr>
              <w:t xml:space="preserve"> užstatų vertė viršija </w:t>
            </w:r>
            <w:r w:rsidR="00647938" w:rsidRPr="00C46276">
              <w:rPr>
                <w:rFonts w:ascii="Times New Roman" w:hAnsi="Times New Roman"/>
                <w:szCs w:val="24"/>
              </w:rPr>
              <w:t>2</w:t>
            </w:r>
            <w:r w:rsidR="009B4E29" w:rsidRPr="00C46276">
              <w:rPr>
                <w:rFonts w:ascii="Times New Roman" w:hAnsi="Times New Roman"/>
                <w:szCs w:val="24"/>
              </w:rPr>
              <w:t>0 (</w:t>
            </w:r>
            <w:r w:rsidR="00EF6EBB" w:rsidRPr="00C46276">
              <w:rPr>
                <w:rFonts w:ascii="Times New Roman" w:hAnsi="Times New Roman"/>
                <w:szCs w:val="24"/>
              </w:rPr>
              <w:t>dvi</w:t>
            </w:r>
            <w:r w:rsidR="009B4E29" w:rsidRPr="00C46276">
              <w:rPr>
                <w:rFonts w:ascii="Times New Roman" w:hAnsi="Times New Roman"/>
                <w:szCs w:val="24"/>
              </w:rPr>
              <w:t xml:space="preserve">dešimt) proc. </w:t>
            </w:r>
            <w:r w:rsidR="00EF6EBB" w:rsidRPr="00C46276">
              <w:rPr>
                <w:rFonts w:ascii="Times New Roman" w:hAnsi="Times New Roman"/>
                <w:szCs w:val="24"/>
              </w:rPr>
              <w:t>nuo</w:t>
            </w:r>
            <w:r w:rsidR="003F3354" w:rsidRPr="00C46276">
              <w:rPr>
                <w:rFonts w:ascii="Times New Roman" w:hAnsi="Times New Roman"/>
                <w:szCs w:val="24"/>
              </w:rPr>
              <w:t xml:space="preserve"> </w:t>
            </w:r>
            <w:r w:rsidR="001917B4" w:rsidRPr="00C46276">
              <w:rPr>
                <w:rFonts w:ascii="Times New Roman" w:hAnsi="Times New Roman"/>
                <w:szCs w:val="24"/>
              </w:rPr>
              <w:t>Faktinio portfelio dydžio</w:t>
            </w:r>
            <w:r w:rsidR="00142F6B" w:rsidRPr="00C46276">
              <w:rPr>
                <w:rFonts w:ascii="Times New Roman" w:hAnsi="Times New Roman"/>
                <w:szCs w:val="24"/>
              </w:rPr>
              <w:t>;</w:t>
            </w:r>
          </w:p>
          <w:p w14:paraId="2A4A82B9" w14:textId="4732D4E3" w:rsidR="009B4E29" w:rsidRPr="00C46276" w:rsidRDefault="00CC43BA" w:rsidP="009B0EE1">
            <w:pPr>
              <w:spacing w:line="276" w:lineRule="auto"/>
              <w:ind w:left="34"/>
              <w:jc w:val="both"/>
              <w:rPr>
                <w:rFonts w:ascii="Times New Roman" w:hAnsi="Times New Roman"/>
                <w:szCs w:val="24"/>
              </w:rPr>
            </w:pPr>
            <w:r w:rsidRPr="00C46276">
              <w:rPr>
                <w:rFonts w:ascii="Times New Roman" w:hAnsi="Times New Roman"/>
                <w:szCs w:val="24"/>
              </w:rPr>
              <w:t>f</w:t>
            </w:r>
            <w:r w:rsidR="009B4E29" w:rsidRPr="00C46276">
              <w:rPr>
                <w:rFonts w:ascii="Times New Roman" w:hAnsi="Times New Roman"/>
                <w:szCs w:val="24"/>
              </w:rPr>
              <w:t>) Sutarties 4.</w:t>
            </w:r>
            <w:r w:rsidR="00534835" w:rsidRPr="00C46276">
              <w:rPr>
                <w:rFonts w:ascii="Times New Roman" w:hAnsi="Times New Roman"/>
                <w:szCs w:val="24"/>
              </w:rPr>
              <w:t>10</w:t>
            </w:r>
            <w:r w:rsidR="009B4E29" w:rsidRPr="00C46276">
              <w:rPr>
                <w:rFonts w:ascii="Times New Roman" w:hAnsi="Times New Roman"/>
                <w:szCs w:val="24"/>
              </w:rPr>
              <w:t xml:space="preserve"> punkte nustatytais terminais Sutarties nuostolingumas viršija nustatytą nuostolingumo procentą;</w:t>
            </w:r>
          </w:p>
          <w:p w14:paraId="391235EB" w14:textId="2143E37E" w:rsidR="00CC43BA" w:rsidRPr="00E416AA" w:rsidRDefault="00387654" w:rsidP="00696D7B">
            <w:pPr>
              <w:keepNext/>
              <w:spacing w:line="276" w:lineRule="auto"/>
              <w:ind w:left="34"/>
              <w:jc w:val="both"/>
              <w:rPr>
                <w:rFonts w:ascii="Times New Roman" w:hAnsi="Times New Roman"/>
                <w:szCs w:val="24"/>
              </w:rPr>
            </w:pPr>
            <w:r>
              <w:rPr>
                <w:rFonts w:ascii="Times New Roman" w:hAnsi="Times New Roman"/>
                <w:szCs w:val="24"/>
              </w:rPr>
              <w:t>g</w:t>
            </w:r>
            <w:r w:rsidR="00590D37" w:rsidRPr="00C46276">
              <w:rPr>
                <w:rFonts w:ascii="Times New Roman" w:hAnsi="Times New Roman"/>
                <w:szCs w:val="24"/>
              </w:rPr>
              <w:t xml:space="preserve">) </w:t>
            </w:r>
            <w:r w:rsidR="002C1844" w:rsidRPr="00C46276">
              <w:rPr>
                <w:rFonts w:ascii="Times New Roman" w:hAnsi="Times New Roman"/>
                <w:szCs w:val="24"/>
              </w:rPr>
              <w:t>„</w:t>
            </w:r>
            <w:r w:rsidR="00CC43BA" w:rsidRPr="00C46276">
              <w:rPr>
                <w:rFonts w:ascii="Times New Roman" w:hAnsi="Times New Roman"/>
                <w:szCs w:val="24"/>
              </w:rPr>
              <w:t>Invega“ gauna oficialią informaciją ir įvertina riziką, kad PGF</w:t>
            </w:r>
            <w:r w:rsidR="00714664">
              <w:rPr>
                <w:rFonts w:ascii="Times New Roman" w:hAnsi="Times New Roman"/>
                <w:szCs w:val="24"/>
              </w:rPr>
              <w:t>2</w:t>
            </w:r>
            <w:r w:rsidR="00CC43BA" w:rsidRPr="00C46276">
              <w:rPr>
                <w:rFonts w:ascii="Times New Roman" w:hAnsi="Times New Roman"/>
                <w:szCs w:val="24"/>
              </w:rPr>
              <w:t xml:space="preserve"> priemonės valdytojas gali būti nepajėgus vykdyti esamų ir būsimų įsipareigojimų pagal Sutartį</w:t>
            </w:r>
            <w:r w:rsidR="00714664">
              <w:rPr>
                <w:rFonts w:ascii="Times New Roman" w:hAnsi="Times New Roman"/>
                <w:szCs w:val="24"/>
              </w:rPr>
              <w:t>.</w:t>
            </w:r>
          </w:p>
        </w:tc>
      </w:tr>
      <w:tr w:rsidR="007F2A2A" w:rsidRPr="00C33AC8" w14:paraId="68C0C495" w14:textId="77777777" w:rsidTr="00B91A59">
        <w:trPr>
          <w:trHeight w:val="376"/>
        </w:trPr>
        <w:tc>
          <w:tcPr>
            <w:tcW w:w="709" w:type="dxa"/>
            <w:tcBorders>
              <w:top w:val="single" w:sz="4" w:space="0" w:color="auto"/>
              <w:left w:val="single" w:sz="4" w:space="0" w:color="auto"/>
              <w:bottom w:val="single" w:sz="4" w:space="0" w:color="auto"/>
              <w:right w:val="single" w:sz="4" w:space="0" w:color="auto"/>
            </w:tcBorders>
          </w:tcPr>
          <w:p w14:paraId="72B93163" w14:textId="77777777" w:rsidR="00031194" w:rsidRPr="00F15E28" w:rsidRDefault="00031194" w:rsidP="009B0EE1">
            <w:pPr>
              <w:pStyle w:val="ListParagraph"/>
              <w:numPr>
                <w:ilvl w:val="0"/>
                <w:numId w:val="13"/>
              </w:numPr>
              <w:spacing w:after="0"/>
              <w:jc w:val="center"/>
              <w:rPr>
                <w:sz w:val="24"/>
                <w:szCs w:val="24"/>
                <w:lang w:val="lt-LT"/>
              </w:rPr>
            </w:pPr>
          </w:p>
        </w:tc>
        <w:tc>
          <w:tcPr>
            <w:tcW w:w="3119" w:type="dxa"/>
            <w:tcBorders>
              <w:bottom w:val="single" w:sz="4" w:space="0" w:color="000000"/>
            </w:tcBorders>
          </w:tcPr>
          <w:p w14:paraId="45A89C59" w14:textId="5D79CDC8" w:rsidR="00031194" w:rsidRPr="00F15E28" w:rsidRDefault="00031194" w:rsidP="009B0EE1">
            <w:pPr>
              <w:spacing w:line="276" w:lineRule="auto"/>
              <w:rPr>
                <w:rFonts w:ascii="Times New Roman" w:hAnsi="Times New Roman"/>
                <w:b/>
                <w:szCs w:val="24"/>
              </w:rPr>
            </w:pPr>
            <w:r w:rsidRPr="00F15E28">
              <w:rPr>
                <w:rFonts w:ascii="Times New Roman" w:hAnsi="Times New Roman"/>
                <w:b/>
                <w:szCs w:val="24"/>
              </w:rPr>
              <w:t>Maksimali vieno Faktoringo sandorio viena</w:t>
            </w:r>
            <w:r w:rsidR="002C1844" w:rsidRPr="00F15E28">
              <w:rPr>
                <w:rFonts w:ascii="Times New Roman" w:hAnsi="Times New Roman"/>
                <w:b/>
                <w:szCs w:val="24"/>
              </w:rPr>
              <w:t>i</w:t>
            </w:r>
            <w:r w:rsidRPr="00F15E28">
              <w:rPr>
                <w:rFonts w:ascii="Times New Roman" w:hAnsi="Times New Roman"/>
                <w:b/>
                <w:szCs w:val="24"/>
              </w:rPr>
              <w:t xml:space="preserve"> MVĮ suma</w:t>
            </w:r>
          </w:p>
        </w:tc>
        <w:tc>
          <w:tcPr>
            <w:tcW w:w="6096" w:type="dxa"/>
            <w:tcBorders>
              <w:bottom w:val="single" w:sz="4" w:space="0" w:color="000000"/>
            </w:tcBorders>
          </w:tcPr>
          <w:p w14:paraId="7082E60F" w14:textId="2E9E1F75" w:rsidR="00031194" w:rsidRPr="00F15E28" w:rsidRDefault="00232CDE" w:rsidP="009B0EE1">
            <w:pPr>
              <w:spacing w:line="276" w:lineRule="auto"/>
              <w:ind w:left="34"/>
              <w:jc w:val="both"/>
              <w:rPr>
                <w:rFonts w:ascii="Times New Roman" w:hAnsi="Times New Roman"/>
                <w:szCs w:val="24"/>
              </w:rPr>
            </w:pPr>
            <w:r w:rsidRPr="00F15E28">
              <w:rPr>
                <w:rFonts w:ascii="Times New Roman" w:hAnsi="Times New Roman"/>
                <w:szCs w:val="24"/>
              </w:rPr>
              <w:t>D</w:t>
            </w:r>
            <w:r w:rsidR="00031194" w:rsidRPr="00F15E28">
              <w:rPr>
                <w:rFonts w:ascii="Times New Roman" w:hAnsi="Times New Roman"/>
                <w:szCs w:val="24"/>
              </w:rPr>
              <w:t xml:space="preserve">idžiausia vieno Faktoringo </w:t>
            </w:r>
            <w:r w:rsidR="000B2030">
              <w:rPr>
                <w:rFonts w:ascii="Times New Roman" w:hAnsi="Times New Roman"/>
                <w:szCs w:val="24"/>
              </w:rPr>
              <w:t xml:space="preserve">sandorio </w:t>
            </w:r>
            <w:r w:rsidR="00031194" w:rsidRPr="00F15E28">
              <w:rPr>
                <w:rFonts w:ascii="Times New Roman" w:hAnsi="Times New Roman"/>
                <w:szCs w:val="24"/>
              </w:rPr>
              <w:t>limito vienai MVĮ suma</w:t>
            </w:r>
            <w:r w:rsidRPr="00F15E28">
              <w:rPr>
                <w:rFonts w:ascii="Times New Roman" w:hAnsi="Times New Roman"/>
                <w:szCs w:val="24"/>
              </w:rPr>
              <w:t xml:space="preserve"> </w:t>
            </w:r>
            <w:r w:rsidR="00903D90" w:rsidRPr="00F15E28">
              <w:rPr>
                <w:rFonts w:ascii="Times New Roman" w:hAnsi="Times New Roman"/>
                <w:szCs w:val="24"/>
              </w:rPr>
              <w:t>y</w:t>
            </w:r>
            <w:r w:rsidRPr="00F15E28">
              <w:rPr>
                <w:rFonts w:ascii="Times New Roman" w:hAnsi="Times New Roman"/>
                <w:szCs w:val="24"/>
              </w:rPr>
              <w:t>ra</w:t>
            </w:r>
            <w:r w:rsidR="00031194" w:rsidRPr="00F15E28">
              <w:rPr>
                <w:rFonts w:ascii="Times New Roman" w:hAnsi="Times New Roman"/>
                <w:szCs w:val="24"/>
              </w:rPr>
              <w:t xml:space="preserve"> ne didesnė nei </w:t>
            </w:r>
            <w:r w:rsidR="00EF6EBB" w:rsidRPr="00F15E28">
              <w:rPr>
                <w:rFonts w:ascii="Times New Roman" w:hAnsi="Times New Roman"/>
                <w:szCs w:val="24"/>
              </w:rPr>
              <w:t xml:space="preserve">1 875 000 EUR (vienas milijonas aštuoni šimtai septyniasdešimt penki tūkstančiai eurų), o Faktoringo gavėjų, vykdančių krovinių vežimo keliais veiklą, atveju – 937 </w:t>
            </w:r>
            <w:r w:rsidR="002C1844" w:rsidRPr="00F15E28">
              <w:rPr>
                <w:rFonts w:ascii="Times New Roman" w:hAnsi="Times New Roman"/>
                <w:szCs w:val="24"/>
              </w:rPr>
              <w:t> </w:t>
            </w:r>
            <w:r w:rsidR="00EF6EBB" w:rsidRPr="00F15E28">
              <w:rPr>
                <w:rFonts w:ascii="Times New Roman" w:hAnsi="Times New Roman"/>
                <w:szCs w:val="24"/>
              </w:rPr>
              <w:t>500</w:t>
            </w:r>
            <w:r w:rsidR="002C1844" w:rsidRPr="00F15E28">
              <w:rPr>
                <w:rFonts w:ascii="Times New Roman" w:hAnsi="Times New Roman"/>
                <w:szCs w:val="24"/>
              </w:rPr>
              <w:t> </w:t>
            </w:r>
            <w:r w:rsidR="00EF6EBB" w:rsidRPr="00F15E28">
              <w:rPr>
                <w:rFonts w:ascii="Times New Roman" w:hAnsi="Times New Roman"/>
                <w:szCs w:val="24"/>
              </w:rPr>
              <w:t xml:space="preserve"> EUR (devyni šimtai trisdešimt septyni tūkstančiai penki šimtai eurų). Pasibaigus Faktoringo sandorio finansavimo laikotarpiui, su MVĮ gali būti sudaromas naujas Faktoringo sandoris, tačiau bet kokiu atveju MVĮ pagal Faktoringo sandorio limitą apskaičiuota </w:t>
            </w:r>
            <w:r w:rsidR="00EF6EBB" w:rsidRPr="00F15E28">
              <w:rPr>
                <w:rFonts w:ascii="Times New Roman" w:hAnsi="Times New Roman"/>
                <w:i/>
                <w:szCs w:val="24"/>
              </w:rPr>
              <w:t>de minimis</w:t>
            </w:r>
            <w:r w:rsidR="00EF6EBB" w:rsidRPr="00F15E28">
              <w:rPr>
                <w:rFonts w:ascii="Times New Roman" w:hAnsi="Times New Roman"/>
                <w:szCs w:val="24"/>
              </w:rPr>
              <w:t xml:space="preserve"> pagalbos suma negali būti didesnė nei pagal </w:t>
            </w:r>
            <w:r w:rsidR="00EF6EBB" w:rsidRPr="00F15E28">
              <w:rPr>
                <w:rFonts w:ascii="Times New Roman" w:hAnsi="Times New Roman"/>
                <w:i/>
                <w:szCs w:val="24"/>
              </w:rPr>
              <w:t>De minimis</w:t>
            </w:r>
            <w:r w:rsidR="00EF6EBB" w:rsidRPr="00F15E28">
              <w:rPr>
                <w:rFonts w:ascii="Times New Roman" w:hAnsi="Times New Roman"/>
                <w:szCs w:val="24"/>
              </w:rPr>
              <w:t xml:space="preserve"> reglamento nuostatas leidžiama didžiausia </w:t>
            </w:r>
            <w:r w:rsidR="00EF6EBB" w:rsidRPr="00F15E28">
              <w:rPr>
                <w:rFonts w:ascii="Times New Roman" w:hAnsi="Times New Roman"/>
                <w:i/>
                <w:szCs w:val="24"/>
              </w:rPr>
              <w:t>de minimis</w:t>
            </w:r>
            <w:r w:rsidR="00EF6EBB" w:rsidRPr="00F15E28">
              <w:rPr>
                <w:rFonts w:ascii="Times New Roman" w:hAnsi="Times New Roman"/>
                <w:szCs w:val="24"/>
              </w:rPr>
              <w:t xml:space="preserve"> pagalbos suma</w:t>
            </w:r>
            <w:r w:rsidR="00031194" w:rsidRPr="00F15E28">
              <w:rPr>
                <w:rFonts w:ascii="Times New Roman" w:hAnsi="Times New Roman"/>
                <w:szCs w:val="24"/>
              </w:rPr>
              <w:t>.</w:t>
            </w:r>
          </w:p>
        </w:tc>
      </w:tr>
      <w:tr w:rsidR="007F2A2A" w:rsidRPr="00C33AC8" w14:paraId="2E3C127B" w14:textId="77777777" w:rsidTr="00B91A59">
        <w:trPr>
          <w:trHeight w:val="376"/>
        </w:trPr>
        <w:tc>
          <w:tcPr>
            <w:tcW w:w="709" w:type="dxa"/>
            <w:tcBorders>
              <w:top w:val="single" w:sz="4" w:space="0" w:color="auto"/>
              <w:left w:val="single" w:sz="4" w:space="0" w:color="auto"/>
              <w:bottom w:val="single" w:sz="4" w:space="0" w:color="auto"/>
              <w:right w:val="single" w:sz="4" w:space="0" w:color="auto"/>
            </w:tcBorders>
          </w:tcPr>
          <w:p w14:paraId="608E1680" w14:textId="77777777" w:rsidR="005B6E65" w:rsidRPr="00CF1E4E" w:rsidRDefault="005B6E65" w:rsidP="009B0EE1">
            <w:pPr>
              <w:pStyle w:val="ListParagraph"/>
              <w:numPr>
                <w:ilvl w:val="0"/>
                <w:numId w:val="13"/>
              </w:numPr>
              <w:spacing w:after="0"/>
              <w:jc w:val="center"/>
              <w:rPr>
                <w:sz w:val="24"/>
                <w:szCs w:val="24"/>
                <w:lang w:val="lt-LT"/>
              </w:rPr>
            </w:pPr>
          </w:p>
        </w:tc>
        <w:tc>
          <w:tcPr>
            <w:tcW w:w="3119" w:type="dxa"/>
            <w:tcBorders>
              <w:bottom w:val="single" w:sz="4" w:space="0" w:color="000000"/>
            </w:tcBorders>
          </w:tcPr>
          <w:p w14:paraId="460204C4" w14:textId="284F2398" w:rsidR="005B6E65" w:rsidRPr="00CF1E4E" w:rsidRDefault="005B6E65" w:rsidP="009B0EE1">
            <w:pPr>
              <w:spacing w:line="276" w:lineRule="auto"/>
              <w:rPr>
                <w:rFonts w:ascii="Times New Roman" w:hAnsi="Times New Roman"/>
                <w:b/>
                <w:szCs w:val="24"/>
              </w:rPr>
            </w:pPr>
            <w:r w:rsidRPr="00CF1E4E">
              <w:rPr>
                <w:rFonts w:ascii="Times New Roman" w:hAnsi="Times New Roman"/>
                <w:b/>
                <w:szCs w:val="24"/>
              </w:rPr>
              <w:t>Maksimalus mokėjimo atidėjimo pirkėjams terminas</w:t>
            </w:r>
          </w:p>
        </w:tc>
        <w:tc>
          <w:tcPr>
            <w:tcW w:w="6096" w:type="dxa"/>
            <w:tcBorders>
              <w:bottom w:val="single" w:sz="4" w:space="0" w:color="000000"/>
            </w:tcBorders>
          </w:tcPr>
          <w:p w14:paraId="567DABFE" w14:textId="76ECEFF0" w:rsidR="005B6E65" w:rsidRPr="00CF1E4E" w:rsidRDefault="005B6E65" w:rsidP="009B0EE1">
            <w:pPr>
              <w:spacing w:line="276" w:lineRule="auto"/>
              <w:ind w:left="34"/>
              <w:jc w:val="both"/>
              <w:rPr>
                <w:rFonts w:ascii="Times New Roman" w:hAnsi="Times New Roman"/>
                <w:szCs w:val="24"/>
              </w:rPr>
            </w:pPr>
            <w:r w:rsidRPr="00CF1E4E">
              <w:rPr>
                <w:rFonts w:ascii="Times New Roman" w:hAnsi="Times New Roman"/>
                <w:szCs w:val="24"/>
              </w:rPr>
              <w:t xml:space="preserve">Mokėjimo atidėjimo pirkėjui terminas ne ilgesnis kaip </w:t>
            </w:r>
            <w:r w:rsidR="00DD7330">
              <w:rPr>
                <w:rFonts w:ascii="Times New Roman" w:hAnsi="Times New Roman"/>
                <w:szCs w:val="24"/>
              </w:rPr>
              <w:t> </w:t>
            </w:r>
            <w:r w:rsidR="00DD7330" w:rsidRPr="00CF1E4E">
              <w:rPr>
                <w:rFonts w:ascii="Times New Roman" w:hAnsi="Times New Roman"/>
                <w:szCs w:val="24"/>
              </w:rPr>
              <w:t>180</w:t>
            </w:r>
            <w:r w:rsidR="00DD7330">
              <w:rPr>
                <w:rFonts w:ascii="Times New Roman" w:hAnsi="Times New Roman"/>
                <w:szCs w:val="24"/>
              </w:rPr>
              <w:t> </w:t>
            </w:r>
            <w:r w:rsidRPr="00CF1E4E">
              <w:rPr>
                <w:rFonts w:ascii="Times New Roman" w:hAnsi="Times New Roman"/>
                <w:szCs w:val="24"/>
              </w:rPr>
              <w:t>kalendorinių dienų</w:t>
            </w:r>
            <w:r w:rsidR="007D588E">
              <w:rPr>
                <w:rFonts w:ascii="Times New Roman" w:hAnsi="Times New Roman"/>
                <w:szCs w:val="24"/>
              </w:rPr>
              <w:t>.</w:t>
            </w:r>
          </w:p>
        </w:tc>
      </w:tr>
      <w:tr w:rsidR="00B91A59" w:rsidRPr="00C33AC8" w14:paraId="5583E3C0" w14:textId="77777777" w:rsidTr="00B91A59">
        <w:trPr>
          <w:trHeight w:val="376"/>
        </w:trPr>
        <w:tc>
          <w:tcPr>
            <w:tcW w:w="709" w:type="dxa"/>
            <w:tcBorders>
              <w:top w:val="single" w:sz="4" w:space="0" w:color="auto"/>
              <w:left w:val="single" w:sz="4" w:space="0" w:color="auto"/>
              <w:bottom w:val="single" w:sz="4" w:space="0" w:color="auto"/>
              <w:right w:val="single" w:sz="4" w:space="0" w:color="auto"/>
            </w:tcBorders>
          </w:tcPr>
          <w:p w14:paraId="4FEDEC34" w14:textId="77777777" w:rsidR="00B91A59" w:rsidRPr="00CB3E9A" w:rsidRDefault="00B91A59"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000000"/>
              <w:right w:val="single" w:sz="4" w:space="0" w:color="auto"/>
            </w:tcBorders>
          </w:tcPr>
          <w:p w14:paraId="758B5676" w14:textId="77777777" w:rsidR="00B91A59" w:rsidRPr="00CB3E9A" w:rsidRDefault="00B91A59" w:rsidP="009B0EE1">
            <w:pPr>
              <w:spacing w:line="276" w:lineRule="auto"/>
              <w:rPr>
                <w:rFonts w:ascii="Times New Roman" w:hAnsi="Times New Roman"/>
                <w:b/>
                <w:szCs w:val="24"/>
              </w:rPr>
            </w:pPr>
            <w:r w:rsidRPr="00CB3E9A">
              <w:rPr>
                <w:rFonts w:ascii="Times New Roman" w:hAnsi="Times New Roman"/>
                <w:b/>
                <w:szCs w:val="24"/>
              </w:rPr>
              <w:t>MVĮ</w:t>
            </w:r>
          </w:p>
        </w:tc>
        <w:tc>
          <w:tcPr>
            <w:tcW w:w="6096" w:type="dxa"/>
            <w:tcBorders>
              <w:top w:val="single" w:sz="4" w:space="0" w:color="auto"/>
              <w:left w:val="single" w:sz="4" w:space="0" w:color="auto"/>
              <w:bottom w:val="single" w:sz="4" w:space="0" w:color="000000"/>
              <w:right w:val="single" w:sz="4" w:space="0" w:color="auto"/>
            </w:tcBorders>
          </w:tcPr>
          <w:p w14:paraId="7D80E952" w14:textId="44429040" w:rsidR="00B91A59" w:rsidRPr="00CB3E9A" w:rsidRDefault="00B91A59" w:rsidP="009B0EE1">
            <w:pPr>
              <w:spacing w:line="276" w:lineRule="auto"/>
              <w:ind w:left="34"/>
              <w:jc w:val="both"/>
              <w:rPr>
                <w:rFonts w:ascii="Times New Roman" w:hAnsi="Times New Roman"/>
                <w:szCs w:val="24"/>
              </w:rPr>
            </w:pPr>
            <w:r w:rsidRPr="00CB3E9A">
              <w:rPr>
                <w:rFonts w:ascii="Times New Roman" w:hAnsi="Times New Roman"/>
                <w:szCs w:val="24"/>
              </w:rPr>
              <w:t>Labai maža, maža ar vidutinė įmonė, kaip ji apibrėžta SVV  įstatyme</w:t>
            </w:r>
            <w:r w:rsidR="00696039">
              <w:rPr>
                <w:rFonts w:ascii="Times New Roman" w:hAnsi="Times New Roman"/>
                <w:szCs w:val="24"/>
              </w:rPr>
              <w:t>.</w:t>
            </w:r>
          </w:p>
        </w:tc>
      </w:tr>
      <w:tr w:rsidR="00B91A59" w:rsidRPr="00C33AC8" w14:paraId="26EF3F61" w14:textId="77777777" w:rsidTr="00B91A59">
        <w:trPr>
          <w:trHeight w:val="376"/>
        </w:trPr>
        <w:tc>
          <w:tcPr>
            <w:tcW w:w="709" w:type="dxa"/>
            <w:tcBorders>
              <w:top w:val="single" w:sz="4" w:space="0" w:color="auto"/>
              <w:left w:val="single" w:sz="4" w:space="0" w:color="auto"/>
              <w:bottom w:val="single" w:sz="4" w:space="0" w:color="auto"/>
              <w:right w:val="single" w:sz="4" w:space="0" w:color="auto"/>
            </w:tcBorders>
          </w:tcPr>
          <w:p w14:paraId="1C2B6ED0" w14:textId="77777777" w:rsidR="00B91A59" w:rsidRPr="00343E10" w:rsidRDefault="00B91A59"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000000"/>
              <w:right w:val="single" w:sz="4" w:space="0" w:color="auto"/>
            </w:tcBorders>
          </w:tcPr>
          <w:p w14:paraId="4946CFCB" w14:textId="77777777" w:rsidR="00B91A59" w:rsidRPr="00343E10" w:rsidRDefault="00B91A59" w:rsidP="009B0EE1">
            <w:pPr>
              <w:spacing w:line="276" w:lineRule="auto"/>
              <w:rPr>
                <w:rFonts w:ascii="Times New Roman" w:hAnsi="Times New Roman"/>
                <w:b/>
                <w:szCs w:val="24"/>
              </w:rPr>
            </w:pPr>
            <w:r w:rsidRPr="00343E10">
              <w:rPr>
                <w:rFonts w:ascii="Times New Roman" w:hAnsi="Times New Roman"/>
                <w:b/>
                <w:szCs w:val="24"/>
              </w:rPr>
              <w:t>Neatitikimas</w:t>
            </w:r>
          </w:p>
        </w:tc>
        <w:tc>
          <w:tcPr>
            <w:tcW w:w="6096" w:type="dxa"/>
            <w:tcBorders>
              <w:top w:val="single" w:sz="4" w:space="0" w:color="auto"/>
              <w:left w:val="single" w:sz="4" w:space="0" w:color="auto"/>
              <w:bottom w:val="single" w:sz="4" w:space="0" w:color="000000"/>
              <w:right w:val="single" w:sz="4" w:space="0" w:color="auto"/>
            </w:tcBorders>
          </w:tcPr>
          <w:p w14:paraId="3C9E7B5C" w14:textId="60CA9EB3" w:rsidR="00B91A59" w:rsidRPr="00343E10" w:rsidRDefault="00B91A59" w:rsidP="009B0EE1">
            <w:pPr>
              <w:spacing w:line="276" w:lineRule="auto"/>
              <w:ind w:left="34"/>
              <w:jc w:val="both"/>
              <w:rPr>
                <w:rFonts w:ascii="Times New Roman" w:hAnsi="Times New Roman"/>
                <w:szCs w:val="24"/>
              </w:rPr>
            </w:pPr>
            <w:r w:rsidRPr="00343E10">
              <w:rPr>
                <w:rFonts w:ascii="Times New Roman" w:hAnsi="Times New Roman"/>
                <w:szCs w:val="24"/>
              </w:rPr>
              <w:t>Teis</w:t>
            </w:r>
            <w:r w:rsidRPr="00343E10">
              <w:rPr>
                <w:rFonts w:ascii="Times New Roman" w:hAnsi="Times New Roman" w:hint="eastAsia"/>
                <w:szCs w:val="24"/>
              </w:rPr>
              <w:t>ė</w:t>
            </w:r>
            <w:r w:rsidRPr="00343E10">
              <w:rPr>
                <w:rFonts w:ascii="Times New Roman" w:hAnsi="Times New Roman"/>
                <w:szCs w:val="24"/>
              </w:rPr>
              <w:t>s aktų nuostat</w:t>
            </w:r>
            <w:r w:rsidRPr="00343E10">
              <w:rPr>
                <w:rFonts w:ascii="Times New Roman" w:hAnsi="Times New Roman" w:hint="eastAsia"/>
                <w:szCs w:val="24"/>
              </w:rPr>
              <w:t>ų</w:t>
            </w:r>
            <w:r w:rsidRPr="00343E10">
              <w:rPr>
                <w:rFonts w:ascii="Times New Roman" w:hAnsi="Times New Roman"/>
                <w:szCs w:val="24"/>
              </w:rPr>
              <w:t>, Sutarties, Faktoringo sutarties ar kitų reikalavimų nesilaikymas, susij</w:t>
            </w:r>
            <w:r w:rsidRPr="00343E10">
              <w:rPr>
                <w:rFonts w:ascii="Times New Roman" w:hAnsi="Times New Roman" w:hint="eastAsia"/>
                <w:szCs w:val="24"/>
              </w:rPr>
              <w:t>ę</w:t>
            </w:r>
            <w:r w:rsidRPr="00343E10">
              <w:rPr>
                <w:rFonts w:ascii="Times New Roman" w:hAnsi="Times New Roman"/>
                <w:szCs w:val="24"/>
              </w:rPr>
              <w:t>s su PGF</w:t>
            </w:r>
            <w:r w:rsidR="00A14F80">
              <w:rPr>
                <w:rFonts w:ascii="Times New Roman" w:hAnsi="Times New Roman"/>
                <w:szCs w:val="24"/>
              </w:rPr>
              <w:t>2</w:t>
            </w:r>
            <w:r w:rsidRPr="00343E10">
              <w:rPr>
                <w:rFonts w:ascii="Times New Roman" w:hAnsi="Times New Roman"/>
                <w:szCs w:val="24"/>
              </w:rPr>
              <w:t xml:space="preserve"> priemonės valdytojo ar Faktoringo gavėjo veiksmais ar neveikimu, kai d</w:t>
            </w:r>
            <w:r w:rsidRPr="00343E10">
              <w:rPr>
                <w:rFonts w:ascii="Times New Roman" w:hAnsi="Times New Roman" w:hint="eastAsia"/>
                <w:szCs w:val="24"/>
              </w:rPr>
              <w:t>ė</w:t>
            </w:r>
            <w:r w:rsidRPr="00343E10">
              <w:rPr>
                <w:rFonts w:ascii="Times New Roman" w:hAnsi="Times New Roman"/>
                <w:szCs w:val="24"/>
              </w:rPr>
              <w:t>l nepagr</w:t>
            </w:r>
            <w:r w:rsidRPr="00343E10">
              <w:rPr>
                <w:rFonts w:ascii="Times New Roman" w:hAnsi="Times New Roman" w:hint="eastAsia"/>
                <w:szCs w:val="24"/>
              </w:rPr>
              <w:t>į</w:t>
            </w:r>
            <w:r w:rsidRPr="00343E10">
              <w:rPr>
                <w:rFonts w:ascii="Times New Roman" w:hAnsi="Times New Roman"/>
                <w:szCs w:val="24"/>
              </w:rPr>
              <w:t>st</w:t>
            </w:r>
            <w:r w:rsidRPr="00343E10">
              <w:rPr>
                <w:rFonts w:ascii="Times New Roman" w:hAnsi="Times New Roman" w:hint="eastAsia"/>
                <w:szCs w:val="24"/>
              </w:rPr>
              <w:t>ų</w:t>
            </w:r>
            <w:r w:rsidRPr="00343E10">
              <w:rPr>
                <w:rFonts w:ascii="Times New Roman" w:hAnsi="Times New Roman"/>
                <w:szCs w:val="24"/>
              </w:rPr>
              <w:t xml:space="preserve"> veiksmų ar neveikimo ar išlaid</w:t>
            </w:r>
            <w:r w:rsidRPr="00343E10">
              <w:rPr>
                <w:rFonts w:ascii="Times New Roman" w:hAnsi="Times New Roman" w:hint="eastAsia"/>
                <w:szCs w:val="24"/>
              </w:rPr>
              <w:t>ų</w:t>
            </w:r>
            <w:r w:rsidRPr="00343E10">
              <w:rPr>
                <w:rFonts w:ascii="Times New Roman" w:hAnsi="Times New Roman"/>
                <w:szCs w:val="24"/>
              </w:rPr>
              <w:t xml:space="preserve"> PGF</w:t>
            </w:r>
            <w:r w:rsidR="00A14F80">
              <w:rPr>
                <w:rFonts w:ascii="Times New Roman" w:hAnsi="Times New Roman"/>
                <w:szCs w:val="24"/>
              </w:rPr>
              <w:t>2</w:t>
            </w:r>
            <w:r w:rsidRPr="00343E10">
              <w:rPr>
                <w:rFonts w:ascii="Times New Roman" w:hAnsi="Times New Roman"/>
                <w:szCs w:val="24"/>
              </w:rPr>
              <w:t xml:space="preserve"> priemonės lėšos buvo ar gali būti panaudotos netinkamai</w:t>
            </w:r>
            <w:r w:rsidR="00A14F80">
              <w:rPr>
                <w:rFonts w:ascii="Times New Roman" w:hAnsi="Times New Roman"/>
                <w:szCs w:val="24"/>
              </w:rPr>
              <w:t>.</w:t>
            </w:r>
          </w:p>
        </w:tc>
      </w:tr>
      <w:tr w:rsidR="007F2A2A" w:rsidRPr="00C33AC8" w14:paraId="6F824F0D"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3AC3A817" w14:textId="77777777" w:rsidR="00CF5B99" w:rsidRPr="00BB0342" w:rsidRDefault="00CF5B99"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7F145D7B" w14:textId="2919C998" w:rsidR="00CF5B99" w:rsidRPr="00EC49D6" w:rsidRDefault="00975D60" w:rsidP="009B0EE1">
            <w:pPr>
              <w:spacing w:line="276" w:lineRule="auto"/>
              <w:rPr>
                <w:rFonts w:ascii="Times New Roman" w:hAnsi="Times New Roman"/>
                <w:b/>
                <w:szCs w:val="24"/>
              </w:rPr>
            </w:pPr>
            <w:r w:rsidRPr="00BB0342">
              <w:rPr>
                <w:rFonts w:ascii="Times New Roman" w:hAnsi="Times New Roman"/>
                <w:b/>
                <w:szCs w:val="24"/>
              </w:rPr>
              <w:t>N</w:t>
            </w:r>
            <w:r w:rsidR="00CF5B99" w:rsidRPr="00BB0342">
              <w:rPr>
                <w:rFonts w:ascii="Times New Roman" w:hAnsi="Times New Roman"/>
                <w:b/>
                <w:szCs w:val="24"/>
              </w:rPr>
              <w:t>uostolis</w:t>
            </w:r>
          </w:p>
        </w:tc>
        <w:tc>
          <w:tcPr>
            <w:tcW w:w="6096" w:type="dxa"/>
            <w:tcBorders>
              <w:top w:val="single" w:sz="4" w:space="0" w:color="auto"/>
              <w:left w:val="single" w:sz="4" w:space="0" w:color="auto"/>
              <w:bottom w:val="single" w:sz="4" w:space="0" w:color="auto"/>
              <w:right w:val="single" w:sz="4" w:space="0" w:color="auto"/>
            </w:tcBorders>
          </w:tcPr>
          <w:p w14:paraId="098C8977" w14:textId="137CAE19" w:rsidR="00CF5B99" w:rsidRPr="00C33AC8" w:rsidRDefault="00031194" w:rsidP="000246FF">
            <w:pPr>
              <w:spacing w:line="276" w:lineRule="auto"/>
              <w:ind w:left="34"/>
              <w:jc w:val="both"/>
              <w:rPr>
                <w:rFonts w:ascii="Times New Roman" w:hAnsi="Times New Roman"/>
                <w:szCs w:val="24"/>
                <w:highlight w:val="yellow"/>
              </w:rPr>
            </w:pPr>
            <w:r w:rsidRPr="00EC49D6">
              <w:rPr>
                <w:rFonts w:ascii="Times New Roman" w:hAnsi="Times New Roman"/>
                <w:szCs w:val="24"/>
              </w:rPr>
              <w:t>Nuostol</w:t>
            </w:r>
            <w:r w:rsidRPr="00EC49D6">
              <w:rPr>
                <w:rFonts w:ascii="Times New Roman" w:hAnsi="Times New Roman" w:hint="eastAsia"/>
                <w:szCs w:val="24"/>
              </w:rPr>
              <w:t>į</w:t>
            </w:r>
            <w:r w:rsidRPr="00EC49D6">
              <w:rPr>
                <w:rFonts w:ascii="Times New Roman" w:hAnsi="Times New Roman"/>
                <w:szCs w:val="24"/>
              </w:rPr>
              <w:t xml:space="preserve"> sudaro negr</w:t>
            </w:r>
            <w:r w:rsidRPr="00EC49D6">
              <w:rPr>
                <w:rFonts w:ascii="Times New Roman" w:hAnsi="Times New Roman" w:hint="eastAsia"/>
                <w:szCs w:val="24"/>
              </w:rPr>
              <w:t>ąž</w:t>
            </w:r>
            <w:r w:rsidRPr="00EC49D6">
              <w:rPr>
                <w:rFonts w:ascii="Times New Roman" w:hAnsi="Times New Roman"/>
                <w:szCs w:val="24"/>
              </w:rPr>
              <w:t>int</w:t>
            </w:r>
            <w:r w:rsidRPr="00EC49D6">
              <w:rPr>
                <w:rFonts w:ascii="Times New Roman" w:hAnsi="Times New Roman" w:hint="eastAsia"/>
                <w:szCs w:val="24"/>
              </w:rPr>
              <w:t>ų</w:t>
            </w:r>
            <w:r w:rsidRPr="00EC49D6">
              <w:rPr>
                <w:rFonts w:ascii="Times New Roman" w:hAnsi="Times New Roman"/>
                <w:szCs w:val="24"/>
              </w:rPr>
              <w:t xml:space="preserve"> Faktoringo avans</w:t>
            </w:r>
            <w:r w:rsidRPr="00EC49D6">
              <w:rPr>
                <w:rFonts w:ascii="Times New Roman" w:hAnsi="Times New Roman" w:hint="eastAsia"/>
                <w:szCs w:val="24"/>
              </w:rPr>
              <w:t>ų</w:t>
            </w:r>
            <w:r w:rsidRPr="00EC49D6">
              <w:rPr>
                <w:rFonts w:ascii="Times New Roman" w:hAnsi="Times New Roman"/>
                <w:szCs w:val="24"/>
              </w:rPr>
              <w:t xml:space="preserve"> </w:t>
            </w:r>
            <w:r w:rsidR="00A37B50" w:rsidRPr="00EC49D6">
              <w:rPr>
                <w:rFonts w:ascii="Times New Roman" w:hAnsi="Times New Roman"/>
                <w:szCs w:val="24"/>
              </w:rPr>
              <w:t xml:space="preserve">pagal Faktoringo sandorį </w:t>
            </w:r>
            <w:r w:rsidRPr="00EC49D6">
              <w:rPr>
                <w:rFonts w:ascii="Times New Roman" w:hAnsi="Times New Roman"/>
                <w:szCs w:val="24"/>
              </w:rPr>
              <w:t>suma</w:t>
            </w:r>
            <w:r w:rsidR="00630219" w:rsidRPr="00EC49D6">
              <w:rPr>
                <w:rFonts w:ascii="Times New Roman" w:hAnsi="Times New Roman"/>
                <w:szCs w:val="24"/>
              </w:rPr>
              <w:t>.</w:t>
            </w:r>
            <w:r w:rsidRPr="00EC49D6">
              <w:rPr>
                <w:rFonts w:ascii="Times New Roman" w:hAnsi="Times New Roman"/>
                <w:szCs w:val="24"/>
              </w:rPr>
              <w:t xml:space="preserve"> </w:t>
            </w:r>
            <w:r w:rsidR="006F2F4D" w:rsidRPr="00EC49D6">
              <w:rPr>
                <w:rFonts w:ascii="Times New Roman" w:hAnsi="Times New Roman"/>
                <w:szCs w:val="24"/>
              </w:rPr>
              <w:t xml:space="preserve">Į </w:t>
            </w:r>
            <w:r w:rsidR="00363129" w:rsidRPr="00EC49D6">
              <w:rPr>
                <w:rFonts w:ascii="Times New Roman" w:hAnsi="Times New Roman"/>
                <w:szCs w:val="24"/>
              </w:rPr>
              <w:t>N</w:t>
            </w:r>
            <w:r w:rsidR="006F2F4D" w:rsidRPr="00EC49D6">
              <w:rPr>
                <w:rFonts w:ascii="Times New Roman" w:hAnsi="Times New Roman"/>
                <w:szCs w:val="24"/>
              </w:rPr>
              <w:t xml:space="preserve">uostolį </w:t>
            </w:r>
            <w:r w:rsidR="00CF642A" w:rsidRPr="00EC49D6">
              <w:rPr>
                <w:rFonts w:ascii="Times New Roman" w:hAnsi="Times New Roman"/>
                <w:szCs w:val="24"/>
              </w:rPr>
              <w:t xml:space="preserve">nėra įskaičiuojami ir </w:t>
            </w:r>
            <w:r w:rsidR="002C1844" w:rsidRPr="00EC49D6">
              <w:rPr>
                <w:rFonts w:ascii="Times New Roman" w:hAnsi="Times New Roman"/>
                <w:szCs w:val="24"/>
              </w:rPr>
              <w:t xml:space="preserve">nėra </w:t>
            </w:r>
            <w:r w:rsidR="00CF642A" w:rsidRPr="00EC49D6">
              <w:rPr>
                <w:rFonts w:ascii="Times New Roman" w:hAnsi="Times New Roman"/>
                <w:szCs w:val="24"/>
              </w:rPr>
              <w:t xml:space="preserve">kompensuojami </w:t>
            </w:r>
            <w:r w:rsidR="00F21757" w:rsidRPr="00EC49D6">
              <w:rPr>
                <w:rFonts w:ascii="Times New Roman" w:hAnsi="Times New Roman"/>
                <w:szCs w:val="24"/>
              </w:rPr>
              <w:t xml:space="preserve">Faktoringo </w:t>
            </w:r>
            <w:r w:rsidR="00CF642A" w:rsidRPr="00EC49D6">
              <w:rPr>
                <w:rFonts w:ascii="Times New Roman" w:hAnsi="Times New Roman"/>
                <w:szCs w:val="24"/>
              </w:rPr>
              <w:t>gavėjo</w:t>
            </w:r>
            <w:r w:rsidR="00CF5B99" w:rsidRPr="00EC49D6">
              <w:rPr>
                <w:rFonts w:ascii="Times New Roman" w:hAnsi="Times New Roman"/>
                <w:szCs w:val="24"/>
              </w:rPr>
              <w:t xml:space="preserve"> </w:t>
            </w:r>
            <w:r w:rsidR="00C51F33" w:rsidRPr="00EC49D6">
              <w:rPr>
                <w:rFonts w:ascii="Times New Roman" w:hAnsi="Times New Roman"/>
                <w:szCs w:val="24"/>
              </w:rPr>
              <w:t>PGF</w:t>
            </w:r>
            <w:r w:rsidR="00367E55" w:rsidRPr="00EC49D6">
              <w:rPr>
                <w:rFonts w:ascii="Times New Roman" w:hAnsi="Times New Roman"/>
                <w:szCs w:val="24"/>
              </w:rPr>
              <w:t>2</w:t>
            </w:r>
            <w:r w:rsidR="00CF5B99" w:rsidRPr="00EC49D6">
              <w:rPr>
                <w:rFonts w:ascii="Times New Roman" w:hAnsi="Times New Roman"/>
                <w:szCs w:val="24"/>
              </w:rPr>
              <w:t xml:space="preserve"> priemonės valdytojui </w:t>
            </w:r>
            <w:r w:rsidR="00CF642A" w:rsidRPr="00EC49D6">
              <w:rPr>
                <w:rFonts w:ascii="Times New Roman" w:hAnsi="Times New Roman"/>
                <w:szCs w:val="24"/>
              </w:rPr>
              <w:t xml:space="preserve">nesumokėti </w:t>
            </w:r>
            <w:r w:rsidR="00CF5B99" w:rsidRPr="00EC49D6">
              <w:rPr>
                <w:rFonts w:ascii="Times New Roman" w:hAnsi="Times New Roman"/>
                <w:szCs w:val="24"/>
              </w:rPr>
              <w:t>mokesčiai, netesybos ir delspinigiai bei kitos sąnaudos</w:t>
            </w:r>
            <w:r w:rsidR="00916FE6" w:rsidRPr="00EC49D6">
              <w:rPr>
                <w:rFonts w:ascii="Times New Roman" w:hAnsi="Times New Roman"/>
                <w:szCs w:val="24"/>
              </w:rPr>
              <w:t>.</w:t>
            </w:r>
          </w:p>
        </w:tc>
      </w:tr>
      <w:tr w:rsidR="007F2A2A" w:rsidRPr="00C33AC8" w14:paraId="33BA1175"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47CF359C" w14:textId="77777777" w:rsidR="00EE605D" w:rsidRPr="004F1304" w:rsidRDefault="00EE605D" w:rsidP="009B0EE1">
            <w:pPr>
              <w:pStyle w:val="ListParagraph"/>
              <w:numPr>
                <w:ilvl w:val="0"/>
                <w:numId w:val="13"/>
              </w:numPr>
              <w:spacing w:after="0"/>
              <w:jc w:val="center"/>
              <w:rPr>
                <w:sz w:val="24"/>
                <w:szCs w:val="24"/>
                <w:lang w:val="lt-LT"/>
              </w:rPr>
            </w:pPr>
          </w:p>
        </w:tc>
        <w:tc>
          <w:tcPr>
            <w:tcW w:w="3119" w:type="dxa"/>
          </w:tcPr>
          <w:p w14:paraId="73488C24" w14:textId="0CB21B37" w:rsidR="00EE605D" w:rsidRPr="004F1304" w:rsidRDefault="00EE605D" w:rsidP="009B0EE1">
            <w:pPr>
              <w:spacing w:line="276" w:lineRule="auto"/>
              <w:rPr>
                <w:rFonts w:ascii="Times New Roman" w:hAnsi="Times New Roman"/>
                <w:b/>
                <w:szCs w:val="24"/>
              </w:rPr>
            </w:pPr>
            <w:r w:rsidRPr="004F1304">
              <w:rPr>
                <w:rFonts w:ascii="Times New Roman" w:hAnsi="Times New Roman"/>
                <w:b/>
                <w:szCs w:val="24"/>
              </w:rPr>
              <w:t>Pajamų sąskaita</w:t>
            </w:r>
          </w:p>
        </w:tc>
        <w:tc>
          <w:tcPr>
            <w:tcW w:w="6096" w:type="dxa"/>
          </w:tcPr>
          <w:p w14:paraId="4135458D" w14:textId="45C726B9" w:rsidR="00EE605D" w:rsidRPr="004F1304" w:rsidRDefault="00C56BF3" w:rsidP="00696D7B">
            <w:pPr>
              <w:spacing w:line="276" w:lineRule="auto"/>
              <w:ind w:left="34"/>
              <w:jc w:val="both"/>
              <w:rPr>
                <w:rFonts w:ascii="Times New Roman" w:hAnsi="Times New Roman"/>
                <w:szCs w:val="24"/>
              </w:rPr>
            </w:pPr>
            <w:r w:rsidRPr="004F1304">
              <w:rPr>
                <w:rFonts w:ascii="Times New Roman" w:hAnsi="Times New Roman"/>
                <w:szCs w:val="24"/>
              </w:rPr>
              <w:t>Sutarties priede Nr. 1 nurodyta</w:t>
            </w:r>
            <w:r w:rsidR="002316A1">
              <w:rPr>
                <w:rFonts w:ascii="Times New Roman" w:hAnsi="Times New Roman"/>
                <w:szCs w:val="24"/>
              </w:rPr>
              <w:t xml:space="preserve"> </w:t>
            </w:r>
            <w:r w:rsidR="006247E5">
              <w:rPr>
                <w:rFonts w:ascii="Times New Roman" w:hAnsi="Times New Roman"/>
                <w:szCs w:val="24"/>
              </w:rPr>
              <w:t>PGF2 priemonės valdytojo</w:t>
            </w:r>
            <w:r w:rsidR="00CF01EE" w:rsidRPr="004F1304">
              <w:rPr>
                <w:rFonts w:ascii="Times New Roman" w:hAnsi="Times New Roman"/>
                <w:szCs w:val="24"/>
              </w:rPr>
              <w:t xml:space="preserve"> banko</w:t>
            </w:r>
            <w:r w:rsidR="00EE605D" w:rsidRPr="004F1304">
              <w:rPr>
                <w:rFonts w:ascii="Times New Roman" w:hAnsi="Times New Roman"/>
                <w:szCs w:val="24"/>
              </w:rPr>
              <w:t xml:space="preserve"> sąskaita, į kurią „Invega“ perveda Garantijos išmokas ir kitas sumas. Pasikeitus Pajamų sąskaitos rekvizitams, </w:t>
            </w:r>
            <w:r w:rsidR="00C51F33" w:rsidRPr="004F1304">
              <w:rPr>
                <w:rFonts w:ascii="Times New Roman" w:hAnsi="Times New Roman"/>
                <w:szCs w:val="24"/>
              </w:rPr>
              <w:t>PGF</w:t>
            </w:r>
            <w:r w:rsidR="00264D2C" w:rsidRPr="004F1304">
              <w:rPr>
                <w:rFonts w:ascii="Times New Roman" w:hAnsi="Times New Roman"/>
                <w:szCs w:val="24"/>
              </w:rPr>
              <w:t>2</w:t>
            </w:r>
            <w:r w:rsidR="00EE605D" w:rsidRPr="004F1304">
              <w:rPr>
                <w:rFonts w:ascii="Times New Roman" w:hAnsi="Times New Roman"/>
                <w:szCs w:val="24"/>
              </w:rPr>
              <w:t xml:space="preserve"> priemonės valdytojas raštu informuoja „Invegą“ apie pasikeitimus. Visi mokėjimai nuo rašte nurodytos datos turi būti atliekami į naują </w:t>
            </w:r>
            <w:r w:rsidR="00C51F33" w:rsidRPr="004F1304">
              <w:rPr>
                <w:rFonts w:ascii="Times New Roman" w:hAnsi="Times New Roman"/>
                <w:szCs w:val="24"/>
              </w:rPr>
              <w:t>PGF</w:t>
            </w:r>
            <w:r w:rsidR="00264D2C" w:rsidRPr="004F1304">
              <w:rPr>
                <w:rFonts w:ascii="Times New Roman" w:hAnsi="Times New Roman"/>
                <w:szCs w:val="24"/>
              </w:rPr>
              <w:t>2</w:t>
            </w:r>
            <w:r w:rsidR="00EE605D" w:rsidRPr="004F1304">
              <w:rPr>
                <w:rFonts w:ascii="Times New Roman" w:hAnsi="Times New Roman"/>
                <w:szCs w:val="24"/>
              </w:rPr>
              <w:t xml:space="preserve"> priemonės valdytojo rašte nurodytą banko sąskaitą</w:t>
            </w:r>
            <w:r w:rsidRPr="004F1304">
              <w:rPr>
                <w:rFonts w:ascii="Times New Roman" w:hAnsi="Times New Roman"/>
                <w:szCs w:val="24"/>
              </w:rPr>
              <w:t>, kuri toliau bus laikoma</w:t>
            </w:r>
            <w:r w:rsidR="00EE605D" w:rsidRPr="004F1304">
              <w:rPr>
                <w:rFonts w:ascii="Times New Roman" w:hAnsi="Times New Roman"/>
                <w:szCs w:val="24"/>
              </w:rPr>
              <w:t xml:space="preserve"> Pajamų sąskaita</w:t>
            </w:r>
            <w:r w:rsidR="00941D1E">
              <w:rPr>
                <w:rFonts w:ascii="Times New Roman" w:hAnsi="Times New Roman"/>
                <w:szCs w:val="24"/>
              </w:rPr>
              <w:t>.</w:t>
            </w:r>
          </w:p>
        </w:tc>
      </w:tr>
      <w:tr w:rsidR="007F2A2A" w:rsidRPr="00C33AC8" w14:paraId="5A51A981"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56E22F17" w14:textId="276F3FCF" w:rsidR="004842F8" w:rsidRPr="00A223D8" w:rsidRDefault="00A223D8" w:rsidP="00A223D8">
            <w:pPr>
              <w:pStyle w:val="ListParagraph"/>
              <w:numPr>
                <w:ilvl w:val="0"/>
                <w:numId w:val="13"/>
              </w:numPr>
              <w:spacing w:after="0"/>
              <w:jc w:val="center"/>
              <w:rPr>
                <w:szCs w:val="24"/>
              </w:rPr>
            </w:pPr>
            <w:r w:rsidRPr="00A223D8">
              <w:rPr>
                <w:szCs w:val="24"/>
              </w:rPr>
              <w:t>28</w:t>
            </w:r>
          </w:p>
        </w:tc>
        <w:tc>
          <w:tcPr>
            <w:tcW w:w="3119" w:type="dxa"/>
            <w:tcBorders>
              <w:top w:val="single" w:sz="4" w:space="0" w:color="auto"/>
              <w:left w:val="single" w:sz="4" w:space="0" w:color="auto"/>
              <w:bottom w:val="single" w:sz="4" w:space="0" w:color="auto"/>
              <w:right w:val="single" w:sz="4" w:space="0" w:color="auto"/>
            </w:tcBorders>
          </w:tcPr>
          <w:p w14:paraId="3E355C33" w14:textId="7ABDB508" w:rsidR="004842F8" w:rsidRPr="00A223D8" w:rsidRDefault="004842F8" w:rsidP="009B0EE1">
            <w:pPr>
              <w:spacing w:line="276" w:lineRule="auto"/>
              <w:rPr>
                <w:rFonts w:ascii="Times New Roman" w:hAnsi="Times New Roman"/>
                <w:b/>
                <w:szCs w:val="24"/>
              </w:rPr>
            </w:pPr>
            <w:r w:rsidRPr="00A223D8">
              <w:rPr>
                <w:rFonts w:ascii="Times New Roman" w:hAnsi="Times New Roman"/>
                <w:b/>
                <w:szCs w:val="24"/>
              </w:rPr>
              <w:t>P</w:t>
            </w:r>
            <w:r w:rsidR="00A223D8">
              <w:rPr>
                <w:rFonts w:ascii="Times New Roman" w:hAnsi="Times New Roman"/>
                <w:b/>
                <w:szCs w:val="24"/>
              </w:rPr>
              <w:t>r</w:t>
            </w:r>
            <w:r w:rsidRPr="00A223D8">
              <w:rPr>
                <w:rFonts w:ascii="Times New Roman" w:hAnsi="Times New Roman"/>
                <w:b/>
                <w:szCs w:val="24"/>
              </w:rPr>
              <w:t>a</w:t>
            </w:r>
            <w:r w:rsidR="00A223D8">
              <w:rPr>
                <w:rFonts w:ascii="Times New Roman" w:hAnsi="Times New Roman"/>
                <w:b/>
                <w:szCs w:val="24"/>
              </w:rPr>
              <w:t>š</w:t>
            </w:r>
            <w:r w:rsidRPr="00A223D8">
              <w:rPr>
                <w:rFonts w:ascii="Times New Roman" w:hAnsi="Times New Roman"/>
                <w:b/>
                <w:szCs w:val="24"/>
              </w:rPr>
              <w:t>ymas</w:t>
            </w:r>
          </w:p>
        </w:tc>
        <w:tc>
          <w:tcPr>
            <w:tcW w:w="6096" w:type="dxa"/>
            <w:tcBorders>
              <w:top w:val="single" w:sz="4" w:space="0" w:color="auto"/>
              <w:left w:val="single" w:sz="4" w:space="0" w:color="auto"/>
              <w:bottom w:val="single" w:sz="4" w:space="0" w:color="auto"/>
              <w:right w:val="single" w:sz="4" w:space="0" w:color="auto"/>
            </w:tcBorders>
          </w:tcPr>
          <w:p w14:paraId="201ED803" w14:textId="3EE2A1DA" w:rsidR="004842F8" w:rsidRPr="00A223D8" w:rsidRDefault="00C51F33" w:rsidP="009B0EE1">
            <w:pPr>
              <w:spacing w:line="276" w:lineRule="auto"/>
              <w:ind w:left="34"/>
              <w:jc w:val="both"/>
              <w:rPr>
                <w:rFonts w:ascii="Times New Roman" w:hAnsi="Times New Roman"/>
                <w:szCs w:val="24"/>
              </w:rPr>
            </w:pPr>
            <w:r w:rsidRPr="00A223D8">
              <w:rPr>
                <w:rFonts w:ascii="Times New Roman" w:hAnsi="Times New Roman"/>
                <w:szCs w:val="24"/>
              </w:rPr>
              <w:t>PGF</w:t>
            </w:r>
            <w:r w:rsidR="00A223D8" w:rsidRPr="00F32F19">
              <w:rPr>
                <w:rFonts w:ascii="Times New Roman" w:hAnsi="Times New Roman"/>
                <w:szCs w:val="24"/>
              </w:rPr>
              <w:t>2</w:t>
            </w:r>
            <w:r w:rsidR="004842F8" w:rsidRPr="00A223D8">
              <w:rPr>
                <w:rFonts w:ascii="Times New Roman" w:hAnsi="Times New Roman"/>
                <w:szCs w:val="24"/>
              </w:rPr>
              <w:t xml:space="preserve"> priemonės valdytojo pateiktas </w:t>
            </w:r>
            <w:r w:rsidR="00263D9A">
              <w:rPr>
                <w:rFonts w:ascii="Times New Roman" w:hAnsi="Times New Roman"/>
                <w:szCs w:val="24"/>
              </w:rPr>
              <w:t xml:space="preserve">prašymas pagal Apraše nurodytas sąlygas </w:t>
            </w:r>
            <w:r w:rsidR="00263D9A" w:rsidRPr="00263D9A">
              <w:rPr>
                <w:rFonts w:ascii="Times New Roman" w:hAnsi="Times New Roman" w:hint="eastAsia"/>
                <w:szCs w:val="24"/>
              </w:rPr>
              <w:t>dėl dalyvavimo įgyvendinant PGF2</w:t>
            </w:r>
            <w:r w:rsidR="004D5D26">
              <w:rPr>
                <w:rFonts w:ascii="Times New Roman" w:hAnsi="Times New Roman"/>
                <w:szCs w:val="24"/>
              </w:rPr>
              <w:t> </w:t>
            </w:r>
            <w:r w:rsidR="00263D9A" w:rsidRPr="00263D9A">
              <w:rPr>
                <w:rFonts w:ascii="Times New Roman" w:hAnsi="Times New Roman" w:hint="eastAsia"/>
                <w:szCs w:val="24"/>
              </w:rPr>
              <w:t>priemonę  kartu su visais jo priedais</w:t>
            </w:r>
            <w:r w:rsidR="00F32F19">
              <w:rPr>
                <w:rFonts w:ascii="Times New Roman" w:hAnsi="Times New Roman"/>
                <w:szCs w:val="24"/>
              </w:rPr>
              <w:t>.</w:t>
            </w:r>
          </w:p>
        </w:tc>
      </w:tr>
      <w:tr w:rsidR="007F2A2A" w:rsidRPr="00C33AC8" w14:paraId="1A44EE23"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734C6048" w14:textId="77777777" w:rsidR="00EE605D" w:rsidRPr="00500EA1" w:rsidRDefault="00EE605D" w:rsidP="009B0EE1">
            <w:pPr>
              <w:pStyle w:val="ListParagraph"/>
              <w:numPr>
                <w:ilvl w:val="0"/>
                <w:numId w:val="13"/>
              </w:numPr>
              <w:spacing w:after="0"/>
              <w:jc w:val="center"/>
              <w:rPr>
                <w:sz w:val="24"/>
                <w:szCs w:val="24"/>
                <w:lang w:val="lt-LT"/>
              </w:rPr>
            </w:pPr>
          </w:p>
        </w:tc>
        <w:tc>
          <w:tcPr>
            <w:tcW w:w="3119" w:type="dxa"/>
          </w:tcPr>
          <w:p w14:paraId="541690CF" w14:textId="5E2E5113" w:rsidR="00EE605D" w:rsidRPr="00500EA1" w:rsidRDefault="00C51F33" w:rsidP="009B0EE1">
            <w:pPr>
              <w:spacing w:line="276" w:lineRule="auto"/>
              <w:rPr>
                <w:rFonts w:ascii="Times New Roman" w:hAnsi="Times New Roman"/>
                <w:b/>
                <w:szCs w:val="24"/>
              </w:rPr>
            </w:pPr>
            <w:r w:rsidRPr="00500EA1">
              <w:rPr>
                <w:rFonts w:ascii="Times New Roman" w:hAnsi="Times New Roman"/>
                <w:b/>
                <w:szCs w:val="24"/>
              </w:rPr>
              <w:t>PGF</w:t>
            </w:r>
            <w:r w:rsidR="00A56D9E" w:rsidRPr="00500EA1">
              <w:rPr>
                <w:rFonts w:ascii="Times New Roman" w:hAnsi="Times New Roman"/>
                <w:b/>
                <w:szCs w:val="24"/>
                <w:lang w:val="en-US"/>
              </w:rPr>
              <w:t>2</w:t>
            </w:r>
            <w:r w:rsidR="00EE605D" w:rsidRPr="00500EA1">
              <w:rPr>
                <w:rFonts w:ascii="Times New Roman" w:hAnsi="Times New Roman"/>
                <w:b/>
                <w:szCs w:val="24"/>
              </w:rPr>
              <w:t xml:space="preserve"> priemonė</w:t>
            </w:r>
          </w:p>
        </w:tc>
        <w:tc>
          <w:tcPr>
            <w:tcW w:w="6096" w:type="dxa"/>
          </w:tcPr>
          <w:p w14:paraId="00BE2959" w14:textId="5EE936E9" w:rsidR="0067639A" w:rsidRPr="00C33AC8" w:rsidRDefault="0067639A" w:rsidP="009B0EE1">
            <w:pPr>
              <w:spacing w:line="276" w:lineRule="auto"/>
              <w:ind w:left="34"/>
              <w:jc w:val="both"/>
              <w:rPr>
                <w:rFonts w:ascii="Times New Roman" w:hAnsi="Times New Roman"/>
                <w:szCs w:val="24"/>
                <w:highlight w:val="yellow"/>
              </w:rPr>
            </w:pPr>
            <w:r w:rsidRPr="007648AD">
              <w:rPr>
                <w:rFonts w:ascii="Times New Roman" w:hAnsi="Times New Roman"/>
                <w:szCs w:val="24"/>
              </w:rPr>
              <w:t>F</w:t>
            </w:r>
            <w:r w:rsidR="00EE605D" w:rsidRPr="007648AD">
              <w:rPr>
                <w:rFonts w:ascii="Times New Roman" w:hAnsi="Times New Roman"/>
                <w:szCs w:val="24"/>
              </w:rPr>
              <w:t>inans</w:t>
            </w:r>
            <w:r w:rsidR="00104910" w:rsidRPr="007648AD">
              <w:rPr>
                <w:rFonts w:ascii="Times New Roman" w:hAnsi="Times New Roman"/>
                <w:szCs w:val="24"/>
              </w:rPr>
              <w:t xml:space="preserve">ų inžinerijos </w:t>
            </w:r>
            <w:r w:rsidR="00EE605D" w:rsidRPr="007648AD">
              <w:rPr>
                <w:rFonts w:ascii="Times New Roman" w:hAnsi="Times New Roman"/>
                <w:szCs w:val="24"/>
              </w:rPr>
              <w:t xml:space="preserve">priemonė „Portfelinės garantijos </w:t>
            </w:r>
            <w:r w:rsidR="00500EA1" w:rsidRPr="007648AD">
              <w:rPr>
                <w:rFonts w:ascii="Times New Roman" w:hAnsi="Times New Roman"/>
                <w:szCs w:val="24"/>
              </w:rPr>
              <w:t>f</w:t>
            </w:r>
            <w:r w:rsidR="00F628C6" w:rsidRPr="007648AD">
              <w:rPr>
                <w:rFonts w:ascii="Times New Roman" w:hAnsi="Times New Roman"/>
                <w:szCs w:val="24"/>
              </w:rPr>
              <w:t xml:space="preserve">aktoringo </w:t>
            </w:r>
            <w:r w:rsidR="00104910" w:rsidRPr="004A405A">
              <w:rPr>
                <w:rFonts w:ascii="Times New Roman" w:hAnsi="Times New Roman"/>
                <w:szCs w:val="24"/>
              </w:rPr>
              <w:t>sandoriams</w:t>
            </w:r>
            <w:r w:rsidR="00500EA1" w:rsidRPr="004A405A">
              <w:rPr>
                <w:rFonts w:ascii="Times New Roman" w:hAnsi="Times New Roman"/>
                <w:szCs w:val="24"/>
              </w:rPr>
              <w:t xml:space="preserve"> 2</w:t>
            </w:r>
            <w:r w:rsidR="00EE605D" w:rsidRPr="004A405A">
              <w:rPr>
                <w:rFonts w:ascii="Times New Roman" w:hAnsi="Times New Roman"/>
                <w:szCs w:val="24"/>
              </w:rPr>
              <w:t xml:space="preserve">“, kuri finansuojama iš </w:t>
            </w:r>
            <w:r w:rsidR="00104910" w:rsidRPr="004A405A">
              <w:rPr>
                <w:rFonts w:ascii="Times New Roman" w:hAnsi="Times New Roman"/>
                <w:szCs w:val="24"/>
              </w:rPr>
              <w:t>INVEGOS</w:t>
            </w:r>
            <w:r w:rsidR="00EE605D" w:rsidRPr="004A405A">
              <w:rPr>
                <w:rFonts w:ascii="Times New Roman" w:hAnsi="Times New Roman"/>
                <w:szCs w:val="24"/>
              </w:rPr>
              <w:t xml:space="preserve"> fondo </w:t>
            </w:r>
            <w:r w:rsidR="00AE26BF" w:rsidRPr="004A405A">
              <w:rPr>
                <w:rFonts w:ascii="Times New Roman" w:hAnsi="Times New Roman"/>
                <w:szCs w:val="24"/>
              </w:rPr>
              <w:t xml:space="preserve">grįžusių ir (ar) grįšiančių </w:t>
            </w:r>
            <w:r w:rsidR="00EE605D" w:rsidRPr="004A405A">
              <w:rPr>
                <w:rFonts w:ascii="Times New Roman" w:hAnsi="Times New Roman"/>
                <w:szCs w:val="24"/>
              </w:rPr>
              <w:t xml:space="preserve">lėšų, pagal kurią </w:t>
            </w:r>
            <w:r w:rsidR="00C51F33" w:rsidRPr="004A405A">
              <w:rPr>
                <w:rFonts w:ascii="Times New Roman" w:hAnsi="Times New Roman"/>
                <w:szCs w:val="24"/>
              </w:rPr>
              <w:t>PGF</w:t>
            </w:r>
            <w:r w:rsidR="007D363C" w:rsidRPr="004A405A">
              <w:rPr>
                <w:rFonts w:ascii="Times New Roman" w:hAnsi="Times New Roman"/>
                <w:szCs w:val="24"/>
              </w:rPr>
              <w:t>2</w:t>
            </w:r>
            <w:r w:rsidR="004800E0" w:rsidRPr="004A405A">
              <w:rPr>
                <w:rFonts w:ascii="Times New Roman" w:hAnsi="Times New Roman"/>
                <w:szCs w:val="24"/>
              </w:rPr>
              <w:t> </w:t>
            </w:r>
            <w:r w:rsidR="00EE605D" w:rsidRPr="004A405A">
              <w:rPr>
                <w:rFonts w:ascii="Times New Roman" w:hAnsi="Times New Roman"/>
                <w:szCs w:val="24"/>
              </w:rPr>
              <w:t xml:space="preserve"> priemonės valdytojas formuoja </w:t>
            </w:r>
            <w:r w:rsidR="00104910" w:rsidRPr="004A405A">
              <w:rPr>
                <w:rFonts w:ascii="Times New Roman" w:hAnsi="Times New Roman"/>
                <w:szCs w:val="24"/>
              </w:rPr>
              <w:t>Portfelin</w:t>
            </w:r>
            <w:r w:rsidR="007D363C" w:rsidRPr="004A405A">
              <w:rPr>
                <w:rFonts w:ascii="Times New Roman" w:hAnsi="Times New Roman"/>
                <w:szCs w:val="24"/>
              </w:rPr>
              <w:t>ę</w:t>
            </w:r>
            <w:r w:rsidR="00104910" w:rsidRPr="004A405A">
              <w:rPr>
                <w:rFonts w:ascii="Times New Roman" w:hAnsi="Times New Roman"/>
                <w:szCs w:val="24"/>
              </w:rPr>
              <w:t xml:space="preserve"> garantij</w:t>
            </w:r>
            <w:r w:rsidR="007D363C" w:rsidRPr="004A405A">
              <w:rPr>
                <w:rFonts w:ascii="Times New Roman" w:hAnsi="Times New Roman"/>
                <w:szCs w:val="24"/>
              </w:rPr>
              <w:t>ą</w:t>
            </w:r>
            <w:r w:rsidR="004800E0" w:rsidRPr="004A405A">
              <w:rPr>
                <w:rFonts w:ascii="Times New Roman" w:hAnsi="Times New Roman"/>
                <w:szCs w:val="24"/>
              </w:rPr>
              <w:t>, kuri mažina finansavimo riziką,</w:t>
            </w:r>
            <w:r w:rsidR="00104910" w:rsidRPr="004A405A">
              <w:rPr>
                <w:rFonts w:ascii="Times New Roman" w:hAnsi="Times New Roman"/>
                <w:szCs w:val="24"/>
              </w:rPr>
              <w:t xml:space="preserve"> g</w:t>
            </w:r>
            <w:r w:rsidR="00EE605D" w:rsidRPr="004A405A">
              <w:rPr>
                <w:rFonts w:ascii="Times New Roman" w:hAnsi="Times New Roman"/>
                <w:szCs w:val="24"/>
              </w:rPr>
              <w:t xml:space="preserve">arantuotą </w:t>
            </w:r>
            <w:r w:rsidR="00AE26BF" w:rsidRPr="004A405A">
              <w:rPr>
                <w:rFonts w:ascii="Times New Roman" w:hAnsi="Times New Roman"/>
                <w:szCs w:val="24"/>
              </w:rPr>
              <w:t>P</w:t>
            </w:r>
            <w:r w:rsidR="00EE605D" w:rsidRPr="004A405A">
              <w:rPr>
                <w:rFonts w:ascii="Times New Roman" w:hAnsi="Times New Roman"/>
                <w:szCs w:val="24"/>
              </w:rPr>
              <w:t>ortfelį</w:t>
            </w:r>
            <w:r w:rsidR="007648AD" w:rsidRPr="004A405A">
              <w:rPr>
                <w:rFonts w:ascii="Times New Roman" w:hAnsi="Times New Roman"/>
                <w:szCs w:val="24"/>
              </w:rPr>
              <w:t>.</w:t>
            </w:r>
          </w:p>
        </w:tc>
      </w:tr>
      <w:tr w:rsidR="007D2CB6" w:rsidRPr="00C33AC8" w14:paraId="76AB60A4"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14C8EF3A" w14:textId="77777777" w:rsidR="007D2CB6" w:rsidRPr="00500EA1" w:rsidRDefault="007D2CB6" w:rsidP="009B0EE1">
            <w:pPr>
              <w:pStyle w:val="ListParagraph"/>
              <w:numPr>
                <w:ilvl w:val="0"/>
                <w:numId w:val="13"/>
              </w:numPr>
              <w:spacing w:after="0"/>
              <w:jc w:val="center"/>
              <w:rPr>
                <w:sz w:val="24"/>
                <w:szCs w:val="24"/>
                <w:lang w:val="lt-LT"/>
              </w:rPr>
            </w:pPr>
          </w:p>
        </w:tc>
        <w:tc>
          <w:tcPr>
            <w:tcW w:w="3119" w:type="dxa"/>
          </w:tcPr>
          <w:p w14:paraId="7B8E4BA0" w14:textId="5E89789B" w:rsidR="007D2CB6" w:rsidRPr="00500EA1" w:rsidRDefault="007D2CB6" w:rsidP="009B0EE1">
            <w:pPr>
              <w:spacing w:line="276" w:lineRule="auto"/>
              <w:rPr>
                <w:rFonts w:ascii="Times New Roman" w:hAnsi="Times New Roman"/>
                <w:b/>
                <w:szCs w:val="24"/>
              </w:rPr>
            </w:pPr>
            <w:r w:rsidRPr="007D2CB6">
              <w:rPr>
                <w:rFonts w:ascii="Times New Roman" w:hAnsi="Times New Roman"/>
                <w:b/>
                <w:szCs w:val="24"/>
              </w:rPr>
              <w:t>PGF2 priemonės valdytojas</w:t>
            </w:r>
          </w:p>
        </w:tc>
        <w:tc>
          <w:tcPr>
            <w:tcW w:w="6096" w:type="dxa"/>
          </w:tcPr>
          <w:p w14:paraId="1CF824E0" w14:textId="33EC69AD" w:rsidR="007D2CB6" w:rsidRPr="007648AD" w:rsidRDefault="007D2CB6" w:rsidP="009B0EE1">
            <w:pPr>
              <w:spacing w:line="276" w:lineRule="auto"/>
              <w:ind w:left="34"/>
              <w:jc w:val="both"/>
              <w:rPr>
                <w:rFonts w:ascii="Times New Roman" w:hAnsi="Times New Roman"/>
                <w:szCs w:val="24"/>
              </w:rPr>
            </w:pPr>
            <w:r w:rsidRPr="007D2CB6">
              <w:rPr>
                <w:rFonts w:ascii="Times New Roman" w:hAnsi="Times New Roman"/>
                <w:szCs w:val="24"/>
              </w:rPr>
              <w:t>Finansų įstaiga, turinti teisę teikti finansavimą Faktoringo sandorio forma</w:t>
            </w:r>
            <w:r w:rsidR="007845C2">
              <w:rPr>
                <w:rFonts w:ascii="Times New Roman" w:hAnsi="Times New Roman"/>
                <w:szCs w:val="24"/>
              </w:rPr>
              <w:t>, su kuria pasirašyta Sutartis</w:t>
            </w:r>
          </w:p>
        </w:tc>
      </w:tr>
      <w:tr w:rsidR="007F2A2A" w:rsidRPr="00C33AC8" w14:paraId="236F55EF"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27D82298" w14:textId="77777777" w:rsidR="00104910" w:rsidRPr="000E7C7F" w:rsidRDefault="00104910" w:rsidP="009B0EE1">
            <w:pPr>
              <w:pStyle w:val="ListParagraph"/>
              <w:numPr>
                <w:ilvl w:val="0"/>
                <w:numId w:val="13"/>
              </w:numPr>
              <w:spacing w:after="0"/>
              <w:jc w:val="center"/>
              <w:rPr>
                <w:sz w:val="24"/>
                <w:szCs w:val="24"/>
                <w:lang w:val="lt-LT"/>
              </w:rPr>
            </w:pPr>
          </w:p>
        </w:tc>
        <w:tc>
          <w:tcPr>
            <w:tcW w:w="3119" w:type="dxa"/>
            <w:tcBorders>
              <w:bottom w:val="single" w:sz="4" w:space="0" w:color="000000"/>
            </w:tcBorders>
          </w:tcPr>
          <w:p w14:paraId="29B3F8D0" w14:textId="324FD921" w:rsidR="00104910" w:rsidRPr="000E7C7F" w:rsidRDefault="00104910" w:rsidP="009B0EE1">
            <w:pPr>
              <w:spacing w:line="276" w:lineRule="auto"/>
              <w:rPr>
                <w:rFonts w:ascii="Times New Roman" w:hAnsi="Times New Roman"/>
                <w:b/>
                <w:szCs w:val="24"/>
              </w:rPr>
            </w:pPr>
            <w:r w:rsidRPr="000E7C7F">
              <w:rPr>
                <w:rFonts w:ascii="Times New Roman" w:hAnsi="Times New Roman"/>
                <w:b/>
                <w:szCs w:val="24"/>
              </w:rPr>
              <w:t>PGF</w:t>
            </w:r>
            <w:r w:rsidR="00671F0D" w:rsidRPr="000E7C7F">
              <w:rPr>
                <w:rFonts w:ascii="Times New Roman" w:hAnsi="Times New Roman"/>
                <w:b/>
                <w:szCs w:val="24"/>
              </w:rPr>
              <w:t>2</w:t>
            </w:r>
            <w:r w:rsidRPr="000E7C7F">
              <w:rPr>
                <w:rFonts w:ascii="Times New Roman" w:hAnsi="Times New Roman"/>
                <w:b/>
                <w:szCs w:val="24"/>
              </w:rPr>
              <w:t xml:space="preserve"> priemonės valdytojo iš MVĮ reikalaujamas užstato dydis</w:t>
            </w:r>
          </w:p>
        </w:tc>
        <w:tc>
          <w:tcPr>
            <w:tcW w:w="6096" w:type="dxa"/>
            <w:tcBorders>
              <w:bottom w:val="single" w:sz="4" w:space="0" w:color="000000"/>
            </w:tcBorders>
          </w:tcPr>
          <w:p w14:paraId="139705BD" w14:textId="0F9EF44F" w:rsidR="00104910" w:rsidRPr="000E7C7F" w:rsidRDefault="00AE26BF" w:rsidP="009B0EE1">
            <w:pPr>
              <w:spacing w:line="276" w:lineRule="auto"/>
              <w:ind w:left="34"/>
              <w:jc w:val="both"/>
              <w:rPr>
                <w:rFonts w:ascii="Times New Roman" w:hAnsi="Times New Roman"/>
                <w:szCs w:val="24"/>
              </w:rPr>
            </w:pPr>
            <w:r w:rsidRPr="000E7C7F">
              <w:rPr>
                <w:rFonts w:ascii="Times New Roman" w:hAnsi="Times New Roman"/>
                <w:szCs w:val="24"/>
              </w:rPr>
              <w:t>B</w:t>
            </w:r>
            <w:r w:rsidR="00104910" w:rsidRPr="000E7C7F">
              <w:rPr>
                <w:rFonts w:ascii="Times New Roman" w:hAnsi="Times New Roman"/>
                <w:szCs w:val="24"/>
              </w:rPr>
              <w:t xml:space="preserve">et kuriuo </w:t>
            </w:r>
            <w:r w:rsidR="00DB7E9F" w:rsidRPr="000E7C7F">
              <w:rPr>
                <w:rFonts w:ascii="Times New Roman" w:hAnsi="Times New Roman"/>
                <w:szCs w:val="24"/>
              </w:rPr>
              <w:t>P</w:t>
            </w:r>
            <w:r w:rsidR="00104910" w:rsidRPr="000E7C7F">
              <w:rPr>
                <w:rFonts w:ascii="Times New Roman" w:hAnsi="Times New Roman"/>
                <w:szCs w:val="24"/>
              </w:rPr>
              <w:t xml:space="preserve">ortfelio vertinimo metu Faktoringo sandorių užstatų </w:t>
            </w:r>
            <w:r w:rsidR="00775E50" w:rsidRPr="000E7C7F">
              <w:rPr>
                <w:rFonts w:ascii="Times New Roman" w:hAnsi="Times New Roman"/>
                <w:szCs w:val="24"/>
              </w:rPr>
              <w:t xml:space="preserve">vertė </w:t>
            </w:r>
            <w:r w:rsidR="00104910" w:rsidRPr="000E7C7F">
              <w:rPr>
                <w:rFonts w:ascii="Times New Roman" w:hAnsi="Times New Roman"/>
                <w:szCs w:val="24"/>
              </w:rPr>
              <w:t xml:space="preserve">neturi viršyti 20 (dvidešimt) proc. nuo </w:t>
            </w:r>
            <w:r w:rsidR="004800E0" w:rsidRPr="000E7C7F">
              <w:rPr>
                <w:rFonts w:ascii="Times New Roman" w:hAnsi="Times New Roman"/>
                <w:szCs w:val="24"/>
              </w:rPr>
              <w:t>Faktinio portfelio dydžio</w:t>
            </w:r>
            <w:r w:rsidR="00104910" w:rsidRPr="000E7C7F">
              <w:rPr>
                <w:rFonts w:ascii="Times New Roman" w:hAnsi="Times New Roman"/>
                <w:szCs w:val="24"/>
              </w:rPr>
              <w:t xml:space="preserve"> (užstato vertė nustatoma pagal PGF</w:t>
            </w:r>
            <w:r w:rsidR="00E12160" w:rsidRPr="000E7C7F">
              <w:rPr>
                <w:rFonts w:ascii="Times New Roman" w:hAnsi="Times New Roman"/>
                <w:szCs w:val="24"/>
              </w:rPr>
              <w:t>2</w:t>
            </w:r>
            <w:r w:rsidR="0025487E" w:rsidRPr="000E7C7F">
              <w:rPr>
                <w:rFonts w:ascii="Times New Roman" w:hAnsi="Times New Roman"/>
                <w:szCs w:val="24"/>
              </w:rPr>
              <w:t> </w:t>
            </w:r>
            <w:r w:rsidR="00104910" w:rsidRPr="000E7C7F">
              <w:rPr>
                <w:rFonts w:ascii="Times New Roman" w:hAnsi="Times New Roman"/>
                <w:szCs w:val="24"/>
              </w:rPr>
              <w:t xml:space="preserve"> priemonės valdytojo patvirtintas vidines tvarkas</w:t>
            </w:r>
            <w:r w:rsidR="000B26DE" w:rsidRPr="000E7C7F">
              <w:rPr>
                <w:rFonts w:ascii="Times New Roman" w:hAnsi="Times New Roman"/>
                <w:szCs w:val="24"/>
              </w:rPr>
              <w:t xml:space="preserve">; </w:t>
            </w:r>
            <w:r w:rsidR="00AF5B84">
              <w:rPr>
                <w:rFonts w:ascii="Times New Roman" w:hAnsi="Times New Roman"/>
                <w:szCs w:val="24"/>
              </w:rPr>
              <w:t>F</w:t>
            </w:r>
            <w:r w:rsidR="000B26DE" w:rsidRPr="000E7C7F">
              <w:rPr>
                <w:rFonts w:ascii="Times New Roman" w:hAnsi="Times New Roman"/>
                <w:szCs w:val="24"/>
              </w:rPr>
              <w:t xml:space="preserve">aktinis </w:t>
            </w:r>
            <w:r w:rsidR="002B62F6">
              <w:rPr>
                <w:rFonts w:ascii="Times New Roman" w:hAnsi="Times New Roman"/>
                <w:szCs w:val="24"/>
              </w:rPr>
              <w:t>p</w:t>
            </w:r>
            <w:r w:rsidR="000B26DE" w:rsidRPr="000E7C7F">
              <w:rPr>
                <w:rFonts w:ascii="Times New Roman" w:hAnsi="Times New Roman"/>
                <w:szCs w:val="24"/>
              </w:rPr>
              <w:t>ortfelio dydis čia ir toliau suprantamas kaip tam tikru momentu apskaičiuotas Portfelio dydis; Portfelio dydis suprantamas kaip Portfelyje esančių Faktoringo sandorių limitų suma</w:t>
            </w:r>
            <w:r w:rsidR="0025487E" w:rsidRPr="000E7C7F">
              <w:rPr>
                <w:rFonts w:ascii="Times New Roman" w:hAnsi="Times New Roman"/>
                <w:szCs w:val="24"/>
              </w:rPr>
              <w:t>)</w:t>
            </w:r>
            <w:r w:rsidR="00104910" w:rsidRPr="000E7C7F">
              <w:rPr>
                <w:rFonts w:ascii="Times New Roman" w:hAnsi="Times New Roman"/>
                <w:szCs w:val="24"/>
              </w:rPr>
              <w:t xml:space="preserve">. Vertinant </w:t>
            </w:r>
            <w:r w:rsidR="001917B4" w:rsidRPr="000E7C7F">
              <w:rPr>
                <w:rFonts w:ascii="Times New Roman" w:hAnsi="Times New Roman"/>
                <w:szCs w:val="24"/>
              </w:rPr>
              <w:t xml:space="preserve">skaičiuojamas santykis tarp </w:t>
            </w:r>
            <w:r w:rsidR="00F22FB9" w:rsidRPr="000E7C7F">
              <w:rPr>
                <w:rFonts w:ascii="Times New Roman" w:hAnsi="Times New Roman"/>
                <w:szCs w:val="24"/>
              </w:rPr>
              <w:t xml:space="preserve">į </w:t>
            </w:r>
            <w:r w:rsidR="002B62F6">
              <w:rPr>
                <w:rFonts w:ascii="Times New Roman" w:hAnsi="Times New Roman"/>
                <w:szCs w:val="24"/>
              </w:rPr>
              <w:t>f</w:t>
            </w:r>
            <w:r w:rsidR="00F22FB9" w:rsidRPr="000E7C7F">
              <w:rPr>
                <w:rFonts w:ascii="Times New Roman" w:hAnsi="Times New Roman"/>
                <w:szCs w:val="24"/>
              </w:rPr>
              <w:t xml:space="preserve">aktinį </w:t>
            </w:r>
            <w:r w:rsidR="004F6DA7" w:rsidRPr="000E7C7F">
              <w:rPr>
                <w:rFonts w:ascii="Times New Roman" w:hAnsi="Times New Roman"/>
                <w:szCs w:val="24"/>
              </w:rPr>
              <w:t>P</w:t>
            </w:r>
            <w:r w:rsidR="00F22FB9" w:rsidRPr="000E7C7F">
              <w:rPr>
                <w:rFonts w:ascii="Times New Roman" w:hAnsi="Times New Roman"/>
                <w:szCs w:val="24"/>
              </w:rPr>
              <w:t xml:space="preserve">ortfelį įtrauktų Faktoringo sandorių </w:t>
            </w:r>
            <w:r w:rsidR="00706156" w:rsidRPr="000E7C7F">
              <w:rPr>
                <w:rFonts w:ascii="Times New Roman" w:hAnsi="Times New Roman"/>
                <w:szCs w:val="24"/>
              </w:rPr>
              <w:t xml:space="preserve">bendros </w:t>
            </w:r>
            <w:r w:rsidR="00104910" w:rsidRPr="000E7C7F">
              <w:rPr>
                <w:rFonts w:ascii="Times New Roman" w:hAnsi="Times New Roman"/>
                <w:szCs w:val="24"/>
              </w:rPr>
              <w:t>užstat</w:t>
            </w:r>
            <w:r w:rsidR="00706156" w:rsidRPr="000E7C7F">
              <w:rPr>
                <w:rFonts w:ascii="Times New Roman" w:hAnsi="Times New Roman"/>
                <w:szCs w:val="24"/>
              </w:rPr>
              <w:t>ų</w:t>
            </w:r>
            <w:r w:rsidR="00104910" w:rsidRPr="000E7C7F">
              <w:rPr>
                <w:rFonts w:ascii="Times New Roman" w:hAnsi="Times New Roman"/>
                <w:szCs w:val="24"/>
              </w:rPr>
              <w:t xml:space="preserve"> vertė</w:t>
            </w:r>
            <w:r w:rsidR="001917B4" w:rsidRPr="000E7C7F">
              <w:rPr>
                <w:rFonts w:ascii="Times New Roman" w:hAnsi="Times New Roman"/>
                <w:szCs w:val="24"/>
              </w:rPr>
              <w:t>s</w:t>
            </w:r>
            <w:r w:rsidR="00104910" w:rsidRPr="000E7C7F">
              <w:rPr>
                <w:rFonts w:ascii="Times New Roman" w:hAnsi="Times New Roman"/>
                <w:szCs w:val="24"/>
              </w:rPr>
              <w:t>, nustatyt</w:t>
            </w:r>
            <w:r w:rsidR="001917B4" w:rsidRPr="000E7C7F">
              <w:rPr>
                <w:rFonts w:ascii="Times New Roman" w:hAnsi="Times New Roman"/>
                <w:szCs w:val="24"/>
              </w:rPr>
              <w:t>os</w:t>
            </w:r>
            <w:r w:rsidR="00104910" w:rsidRPr="000E7C7F">
              <w:rPr>
                <w:rFonts w:ascii="Times New Roman" w:hAnsi="Times New Roman"/>
                <w:szCs w:val="24"/>
              </w:rPr>
              <w:t xml:space="preserve"> Faktoringo sandori</w:t>
            </w:r>
            <w:r w:rsidR="00F22FB9" w:rsidRPr="000E7C7F">
              <w:rPr>
                <w:rFonts w:ascii="Times New Roman" w:hAnsi="Times New Roman"/>
                <w:szCs w:val="24"/>
              </w:rPr>
              <w:t>ų</w:t>
            </w:r>
            <w:r w:rsidR="00104910" w:rsidRPr="000E7C7F">
              <w:rPr>
                <w:rFonts w:ascii="Times New Roman" w:hAnsi="Times New Roman"/>
                <w:szCs w:val="24"/>
              </w:rPr>
              <w:t xml:space="preserve"> suteikimo metu</w:t>
            </w:r>
            <w:r w:rsidR="001917B4" w:rsidRPr="000E7C7F">
              <w:rPr>
                <w:rFonts w:ascii="Times New Roman" w:hAnsi="Times New Roman"/>
                <w:szCs w:val="24"/>
              </w:rPr>
              <w:t>,</w:t>
            </w:r>
            <w:r w:rsidR="00104910" w:rsidRPr="000E7C7F">
              <w:rPr>
                <w:rFonts w:ascii="Times New Roman" w:hAnsi="Times New Roman"/>
                <w:szCs w:val="24"/>
              </w:rPr>
              <w:t xml:space="preserve"> ir </w:t>
            </w:r>
            <w:r w:rsidR="00F22FB9" w:rsidRPr="000E7C7F">
              <w:rPr>
                <w:rFonts w:ascii="Times New Roman" w:hAnsi="Times New Roman"/>
                <w:szCs w:val="24"/>
              </w:rPr>
              <w:t>Faktinio portfelio dydžio</w:t>
            </w:r>
            <w:r w:rsidR="001917B4" w:rsidRPr="000E7C7F">
              <w:rPr>
                <w:rFonts w:ascii="Times New Roman" w:hAnsi="Times New Roman"/>
                <w:szCs w:val="24"/>
              </w:rPr>
              <w:t>.</w:t>
            </w:r>
          </w:p>
          <w:p w14:paraId="785D03FF" w14:textId="21064207" w:rsidR="00104910" w:rsidRPr="000E7C7F" w:rsidRDefault="00104910" w:rsidP="009B0EE1">
            <w:pPr>
              <w:spacing w:line="276" w:lineRule="auto"/>
              <w:ind w:left="34"/>
              <w:jc w:val="both"/>
              <w:rPr>
                <w:rFonts w:ascii="Times New Roman" w:hAnsi="Times New Roman"/>
                <w:szCs w:val="24"/>
              </w:rPr>
            </w:pPr>
            <w:r w:rsidRPr="000E7C7F">
              <w:rPr>
                <w:rFonts w:ascii="Times New Roman" w:hAnsi="Times New Roman"/>
                <w:szCs w:val="24"/>
              </w:rPr>
              <w:t xml:space="preserve">Jei vertinimo metu Faktoringo sandorių užstato vertė būtų nustatyta didesnė nei 20 proc. </w:t>
            </w:r>
            <w:r w:rsidR="0025487E" w:rsidRPr="000E7C7F">
              <w:rPr>
                <w:rFonts w:ascii="Times New Roman" w:hAnsi="Times New Roman"/>
                <w:szCs w:val="24"/>
              </w:rPr>
              <w:t>Faktinio portfelio dydžio</w:t>
            </w:r>
            <w:r w:rsidRPr="000E7C7F">
              <w:rPr>
                <w:rFonts w:ascii="Times New Roman" w:hAnsi="Times New Roman"/>
                <w:szCs w:val="24"/>
              </w:rPr>
              <w:t xml:space="preserve">, </w:t>
            </w:r>
            <w:r w:rsidR="00487A0C" w:rsidRPr="007648AD">
              <w:rPr>
                <w:rFonts w:ascii="Times New Roman" w:hAnsi="Times New Roman"/>
                <w:szCs w:val="24"/>
              </w:rPr>
              <w:t>„</w:t>
            </w:r>
            <w:r w:rsidR="001917B4" w:rsidRPr="000E7C7F">
              <w:rPr>
                <w:rFonts w:ascii="Times New Roman" w:hAnsi="Times New Roman"/>
                <w:szCs w:val="24"/>
              </w:rPr>
              <w:t>Invega“ turi teisę</w:t>
            </w:r>
            <w:r w:rsidRPr="000E7C7F">
              <w:rPr>
                <w:rFonts w:ascii="Times New Roman" w:hAnsi="Times New Roman"/>
                <w:szCs w:val="24"/>
              </w:rPr>
              <w:t xml:space="preserve"> stabdyti tolimesnį Faktoringo sandorių įtraukimą į Portfelį</w:t>
            </w:r>
            <w:r w:rsidR="00C378EC">
              <w:rPr>
                <w:rFonts w:ascii="Times New Roman" w:hAnsi="Times New Roman"/>
                <w:szCs w:val="24"/>
              </w:rPr>
              <w:t>.</w:t>
            </w:r>
          </w:p>
        </w:tc>
      </w:tr>
      <w:tr w:rsidR="00F321E4" w:rsidRPr="00C33AC8" w14:paraId="46EE0BA5"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5DAF282E" w14:textId="77777777" w:rsidR="00F321E4" w:rsidRPr="000E7C7F" w:rsidRDefault="00F321E4" w:rsidP="009B0EE1">
            <w:pPr>
              <w:pStyle w:val="ListParagraph"/>
              <w:numPr>
                <w:ilvl w:val="0"/>
                <w:numId w:val="13"/>
              </w:numPr>
              <w:spacing w:after="0"/>
              <w:jc w:val="center"/>
              <w:rPr>
                <w:sz w:val="24"/>
                <w:szCs w:val="24"/>
                <w:lang w:val="lt-LT"/>
              </w:rPr>
            </w:pPr>
          </w:p>
        </w:tc>
        <w:tc>
          <w:tcPr>
            <w:tcW w:w="3119" w:type="dxa"/>
            <w:tcBorders>
              <w:bottom w:val="single" w:sz="4" w:space="0" w:color="000000"/>
            </w:tcBorders>
          </w:tcPr>
          <w:p w14:paraId="23A56559" w14:textId="69F3FA20" w:rsidR="00F321E4" w:rsidRPr="000E7C7F" w:rsidRDefault="00F321E4" w:rsidP="009B0EE1">
            <w:pPr>
              <w:spacing w:line="276" w:lineRule="auto"/>
              <w:rPr>
                <w:rFonts w:ascii="Times New Roman" w:hAnsi="Times New Roman"/>
                <w:b/>
                <w:szCs w:val="24"/>
              </w:rPr>
            </w:pPr>
            <w:r>
              <w:rPr>
                <w:rFonts w:ascii="Times New Roman" w:hAnsi="Times New Roman"/>
                <w:b/>
                <w:szCs w:val="24"/>
              </w:rPr>
              <w:t>Portfelis</w:t>
            </w:r>
          </w:p>
        </w:tc>
        <w:tc>
          <w:tcPr>
            <w:tcW w:w="6096" w:type="dxa"/>
            <w:tcBorders>
              <w:bottom w:val="single" w:sz="4" w:space="0" w:color="000000"/>
            </w:tcBorders>
          </w:tcPr>
          <w:p w14:paraId="1B2DCBBE" w14:textId="0DCC07C8" w:rsidR="00F321E4" w:rsidRPr="000E7C7F" w:rsidRDefault="00F321E4" w:rsidP="009B0EE1">
            <w:pPr>
              <w:spacing w:line="276" w:lineRule="auto"/>
              <w:ind w:left="34"/>
              <w:jc w:val="both"/>
              <w:rPr>
                <w:rFonts w:ascii="Times New Roman" w:hAnsi="Times New Roman"/>
                <w:szCs w:val="24"/>
              </w:rPr>
            </w:pPr>
            <w:r w:rsidRPr="00F321E4">
              <w:rPr>
                <w:rFonts w:ascii="Times New Roman" w:hAnsi="Times New Roman"/>
                <w:szCs w:val="24"/>
              </w:rPr>
              <w:t>Faktoringo sandorių, atitinkančių PGF2 priemonės Tinkamumo sąlygas, Faktoringo limitų suma</w:t>
            </w:r>
            <w:r>
              <w:rPr>
                <w:rFonts w:ascii="Times New Roman" w:hAnsi="Times New Roman"/>
                <w:szCs w:val="24"/>
              </w:rPr>
              <w:t>.</w:t>
            </w:r>
          </w:p>
        </w:tc>
      </w:tr>
      <w:tr w:rsidR="007F2A2A" w:rsidRPr="00C33AC8" w14:paraId="18D76C0C"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3C55E310" w14:textId="77777777" w:rsidR="00EE605D" w:rsidRPr="00E84CD7" w:rsidRDefault="00EE605D" w:rsidP="009B0EE1">
            <w:pPr>
              <w:pStyle w:val="ListParagraph"/>
              <w:numPr>
                <w:ilvl w:val="0"/>
                <w:numId w:val="13"/>
              </w:numPr>
              <w:spacing w:after="0"/>
              <w:jc w:val="center"/>
              <w:rPr>
                <w:sz w:val="24"/>
                <w:szCs w:val="24"/>
                <w:lang w:val="lt-LT"/>
              </w:rPr>
            </w:pPr>
          </w:p>
        </w:tc>
        <w:tc>
          <w:tcPr>
            <w:tcW w:w="3119" w:type="dxa"/>
          </w:tcPr>
          <w:p w14:paraId="45F4B8AD" w14:textId="551C7483" w:rsidR="00EE605D" w:rsidRPr="00E84CD7" w:rsidRDefault="00EE605D" w:rsidP="009B0EE1">
            <w:pPr>
              <w:spacing w:line="276" w:lineRule="auto"/>
              <w:rPr>
                <w:rFonts w:ascii="Times New Roman" w:hAnsi="Times New Roman"/>
                <w:b/>
                <w:szCs w:val="24"/>
              </w:rPr>
            </w:pPr>
            <w:r w:rsidRPr="00E84CD7">
              <w:rPr>
                <w:rFonts w:ascii="Times New Roman" w:hAnsi="Times New Roman"/>
                <w:b/>
                <w:szCs w:val="24"/>
              </w:rPr>
              <w:t xml:space="preserve">Prašymas </w:t>
            </w:r>
            <w:r w:rsidR="0025487E" w:rsidRPr="00E84CD7">
              <w:rPr>
                <w:rFonts w:ascii="Times New Roman" w:hAnsi="Times New Roman"/>
                <w:b/>
                <w:szCs w:val="24"/>
              </w:rPr>
              <w:t>G</w:t>
            </w:r>
            <w:r w:rsidRPr="00E84CD7">
              <w:rPr>
                <w:rFonts w:ascii="Times New Roman" w:hAnsi="Times New Roman"/>
                <w:b/>
                <w:szCs w:val="24"/>
              </w:rPr>
              <w:t>arantijos išmokai</w:t>
            </w:r>
          </w:p>
        </w:tc>
        <w:tc>
          <w:tcPr>
            <w:tcW w:w="6096" w:type="dxa"/>
          </w:tcPr>
          <w:p w14:paraId="585D92D9" w14:textId="66A221CC" w:rsidR="00EE605D" w:rsidRPr="00E84CD7" w:rsidRDefault="002441D6" w:rsidP="000F0A39">
            <w:pPr>
              <w:spacing w:line="276" w:lineRule="auto"/>
              <w:ind w:left="34"/>
              <w:jc w:val="both"/>
              <w:rPr>
                <w:rFonts w:ascii="Times New Roman" w:hAnsi="Times New Roman"/>
                <w:szCs w:val="24"/>
              </w:rPr>
            </w:pPr>
            <w:r w:rsidRPr="00E84CD7">
              <w:rPr>
                <w:rFonts w:ascii="Times New Roman" w:hAnsi="Times New Roman"/>
                <w:szCs w:val="24"/>
              </w:rPr>
              <w:t>P</w:t>
            </w:r>
            <w:r w:rsidR="00EE605D" w:rsidRPr="00E84CD7">
              <w:rPr>
                <w:rFonts w:ascii="Times New Roman" w:hAnsi="Times New Roman"/>
                <w:szCs w:val="24"/>
              </w:rPr>
              <w:t>rašymas Garantijos išmok</w:t>
            </w:r>
            <w:r w:rsidR="0025487E" w:rsidRPr="00E84CD7">
              <w:rPr>
                <w:rFonts w:ascii="Times New Roman" w:hAnsi="Times New Roman"/>
                <w:szCs w:val="24"/>
              </w:rPr>
              <w:t>ai</w:t>
            </w:r>
            <w:r w:rsidR="00EE605D" w:rsidRPr="00E84CD7">
              <w:rPr>
                <w:rFonts w:ascii="Times New Roman" w:hAnsi="Times New Roman"/>
                <w:szCs w:val="24"/>
              </w:rPr>
              <w:t>, kurio forma nurodyta Sutarties priede Nr.</w:t>
            </w:r>
            <w:r w:rsidRPr="00E84CD7">
              <w:rPr>
                <w:rFonts w:ascii="Times New Roman" w:hAnsi="Times New Roman"/>
                <w:szCs w:val="24"/>
              </w:rPr>
              <w:t xml:space="preserve"> </w:t>
            </w:r>
            <w:r w:rsidR="00EE605D" w:rsidRPr="00E84CD7">
              <w:rPr>
                <w:rFonts w:ascii="Times New Roman" w:hAnsi="Times New Roman"/>
                <w:szCs w:val="24"/>
              </w:rPr>
              <w:t>1</w:t>
            </w:r>
            <w:r w:rsidR="000F0A39">
              <w:rPr>
                <w:rFonts w:ascii="Times New Roman" w:hAnsi="Times New Roman"/>
                <w:szCs w:val="24"/>
              </w:rPr>
              <w:t>3</w:t>
            </w:r>
            <w:r w:rsidR="00C10F5E">
              <w:rPr>
                <w:rFonts w:ascii="Times New Roman" w:hAnsi="Times New Roman"/>
                <w:szCs w:val="24"/>
              </w:rPr>
              <w:t>.</w:t>
            </w:r>
          </w:p>
        </w:tc>
      </w:tr>
      <w:tr w:rsidR="007F2A2A" w:rsidRPr="00C33AC8" w14:paraId="02005715" w14:textId="77777777" w:rsidTr="00B91A59">
        <w:trPr>
          <w:trHeight w:val="4243"/>
        </w:trPr>
        <w:tc>
          <w:tcPr>
            <w:tcW w:w="709" w:type="dxa"/>
            <w:tcBorders>
              <w:top w:val="single" w:sz="4" w:space="0" w:color="auto"/>
              <w:left w:val="single" w:sz="4" w:space="0" w:color="auto"/>
              <w:bottom w:val="single" w:sz="4" w:space="0" w:color="auto"/>
              <w:right w:val="single" w:sz="4" w:space="0" w:color="auto"/>
            </w:tcBorders>
          </w:tcPr>
          <w:p w14:paraId="76A6E4E4" w14:textId="77777777" w:rsidR="005B6E65" w:rsidRPr="009520BE" w:rsidRDefault="005B6E65" w:rsidP="009B0EE1">
            <w:pPr>
              <w:pStyle w:val="ListParagraph"/>
              <w:numPr>
                <w:ilvl w:val="0"/>
                <w:numId w:val="13"/>
              </w:numPr>
              <w:spacing w:after="0"/>
              <w:jc w:val="center"/>
              <w:rPr>
                <w:sz w:val="24"/>
                <w:szCs w:val="24"/>
                <w:lang w:val="lt-LT"/>
              </w:rPr>
            </w:pPr>
          </w:p>
        </w:tc>
        <w:tc>
          <w:tcPr>
            <w:tcW w:w="3119" w:type="dxa"/>
            <w:tcBorders>
              <w:bottom w:val="single" w:sz="4" w:space="0" w:color="000000"/>
            </w:tcBorders>
          </w:tcPr>
          <w:p w14:paraId="7BA7FBF4" w14:textId="577C3F58" w:rsidR="005B6E65" w:rsidRPr="009520BE" w:rsidRDefault="005B6E65" w:rsidP="009B0EE1">
            <w:pPr>
              <w:spacing w:line="276" w:lineRule="auto"/>
              <w:rPr>
                <w:rFonts w:ascii="Times New Roman" w:hAnsi="Times New Roman"/>
                <w:b/>
                <w:szCs w:val="24"/>
              </w:rPr>
            </w:pPr>
            <w:r w:rsidRPr="009520BE">
              <w:rPr>
                <w:rFonts w:ascii="Times New Roman" w:hAnsi="Times New Roman"/>
                <w:b/>
                <w:szCs w:val="24"/>
              </w:rPr>
              <w:t>Probleminis Faktoringo sandoris</w:t>
            </w:r>
          </w:p>
        </w:tc>
        <w:tc>
          <w:tcPr>
            <w:tcW w:w="6096" w:type="dxa"/>
            <w:tcBorders>
              <w:bottom w:val="single" w:sz="4" w:space="0" w:color="000000"/>
            </w:tcBorders>
          </w:tcPr>
          <w:p w14:paraId="27552402" w14:textId="77777777" w:rsidR="005B6E65" w:rsidRPr="009E238F" w:rsidRDefault="005B6E65" w:rsidP="009B0EE1">
            <w:pPr>
              <w:spacing w:line="276" w:lineRule="auto"/>
              <w:ind w:left="34"/>
              <w:jc w:val="both"/>
              <w:rPr>
                <w:rFonts w:ascii="Times New Roman" w:hAnsi="Times New Roman"/>
                <w:szCs w:val="24"/>
              </w:rPr>
            </w:pPr>
            <w:r w:rsidRPr="009520BE">
              <w:rPr>
                <w:rFonts w:ascii="Times New Roman" w:hAnsi="Times New Roman"/>
                <w:szCs w:val="24"/>
              </w:rPr>
              <w:t>Faktoringo sandoris laikomas Probleminiu Faktoringo sandoriu tada, kai:</w:t>
            </w:r>
          </w:p>
          <w:p w14:paraId="08532178" w14:textId="7B20C178" w:rsidR="005B6E65" w:rsidRPr="009E238F" w:rsidRDefault="001A55CA" w:rsidP="009B0EE1">
            <w:pPr>
              <w:numPr>
                <w:ilvl w:val="0"/>
                <w:numId w:val="23"/>
              </w:numPr>
              <w:tabs>
                <w:tab w:val="left" w:pos="359"/>
              </w:tabs>
              <w:overflowPunct/>
              <w:adjustRightInd/>
              <w:spacing w:line="276" w:lineRule="auto"/>
              <w:ind w:left="34" w:firstLine="0"/>
              <w:jc w:val="both"/>
              <w:textAlignment w:val="auto"/>
              <w:rPr>
                <w:rFonts w:ascii="Times New Roman" w:hAnsi="Times New Roman"/>
                <w:szCs w:val="24"/>
              </w:rPr>
            </w:pPr>
            <w:r w:rsidRPr="009E238F">
              <w:rPr>
                <w:rFonts w:ascii="Times New Roman" w:hAnsi="Times New Roman"/>
                <w:szCs w:val="24"/>
              </w:rPr>
              <w:t>p</w:t>
            </w:r>
            <w:r w:rsidR="00D65B41" w:rsidRPr="009E238F">
              <w:rPr>
                <w:rFonts w:ascii="Times New Roman" w:hAnsi="Times New Roman"/>
                <w:szCs w:val="24"/>
              </w:rPr>
              <w:t>irkėjui p</w:t>
            </w:r>
            <w:r w:rsidRPr="009E238F">
              <w:rPr>
                <w:rFonts w:ascii="Times New Roman" w:hAnsi="Times New Roman"/>
                <w:szCs w:val="24"/>
              </w:rPr>
              <w:t>agal</w:t>
            </w:r>
            <w:r w:rsidR="00D65B41" w:rsidRPr="009E238F">
              <w:rPr>
                <w:rFonts w:ascii="Times New Roman" w:hAnsi="Times New Roman"/>
                <w:szCs w:val="24"/>
              </w:rPr>
              <w:t xml:space="preserve"> sąskait</w:t>
            </w:r>
            <w:r w:rsidRPr="009E238F">
              <w:rPr>
                <w:rFonts w:ascii="Times New Roman" w:hAnsi="Times New Roman"/>
                <w:szCs w:val="24"/>
              </w:rPr>
              <w:t>ą</w:t>
            </w:r>
            <w:r w:rsidR="00D65B41" w:rsidRPr="009E238F">
              <w:rPr>
                <w:rFonts w:ascii="Times New Roman" w:hAnsi="Times New Roman"/>
                <w:szCs w:val="24"/>
              </w:rPr>
              <w:t xml:space="preserve"> faktūr</w:t>
            </w:r>
            <w:r w:rsidRPr="009E238F">
              <w:rPr>
                <w:rFonts w:ascii="Times New Roman" w:hAnsi="Times New Roman"/>
                <w:szCs w:val="24"/>
              </w:rPr>
              <w:t>ą</w:t>
            </w:r>
            <w:r w:rsidR="00D65B41" w:rsidRPr="009E238F">
              <w:rPr>
                <w:rFonts w:ascii="Times New Roman" w:hAnsi="Times New Roman"/>
                <w:szCs w:val="24"/>
              </w:rPr>
              <w:t xml:space="preserve">, </w:t>
            </w:r>
            <w:r w:rsidRPr="009E238F">
              <w:rPr>
                <w:rFonts w:ascii="Times New Roman" w:hAnsi="Times New Roman"/>
                <w:szCs w:val="24"/>
              </w:rPr>
              <w:t>pagal</w:t>
            </w:r>
            <w:r w:rsidR="00D65B41" w:rsidRPr="009E238F">
              <w:rPr>
                <w:rFonts w:ascii="Times New Roman" w:hAnsi="Times New Roman"/>
                <w:szCs w:val="24"/>
              </w:rPr>
              <w:t xml:space="preserve"> kuri</w:t>
            </w:r>
            <w:r w:rsidRPr="009E238F">
              <w:rPr>
                <w:rFonts w:ascii="Times New Roman" w:hAnsi="Times New Roman"/>
                <w:szCs w:val="24"/>
              </w:rPr>
              <w:t>ą</w:t>
            </w:r>
            <w:r w:rsidR="00D65B41" w:rsidRPr="009E238F">
              <w:rPr>
                <w:rFonts w:ascii="Times New Roman" w:hAnsi="Times New Roman"/>
                <w:szCs w:val="24"/>
              </w:rPr>
              <w:t xml:space="preserve"> reikalavimo teisės yra perleistos PGF</w:t>
            </w:r>
            <w:r w:rsidR="007E2B42" w:rsidRPr="009E238F">
              <w:rPr>
                <w:rFonts w:ascii="Times New Roman" w:hAnsi="Times New Roman"/>
                <w:szCs w:val="24"/>
              </w:rPr>
              <w:t>2</w:t>
            </w:r>
            <w:r w:rsidR="00D65B41" w:rsidRPr="009E238F">
              <w:rPr>
                <w:rFonts w:ascii="Times New Roman" w:hAnsi="Times New Roman"/>
                <w:szCs w:val="24"/>
              </w:rPr>
              <w:t xml:space="preserve"> priemonės valdytojui, </w:t>
            </w:r>
            <w:r w:rsidR="007E2B42" w:rsidRPr="009E238F">
              <w:rPr>
                <w:rFonts w:ascii="Times New Roman" w:hAnsi="Times New Roman"/>
                <w:szCs w:val="24"/>
              </w:rPr>
              <w:t xml:space="preserve">neatsiskaičius su PGF2 </w:t>
            </w:r>
            <w:r w:rsidR="00DF593A" w:rsidRPr="009E238F">
              <w:rPr>
                <w:rFonts w:ascii="Times New Roman" w:hAnsi="Times New Roman"/>
                <w:szCs w:val="24"/>
              </w:rPr>
              <w:t xml:space="preserve">priemonės valdytoju per </w:t>
            </w:r>
            <w:r w:rsidR="00D65B41" w:rsidRPr="009E238F">
              <w:rPr>
                <w:rFonts w:ascii="Times New Roman" w:hAnsi="Times New Roman"/>
                <w:szCs w:val="24"/>
              </w:rPr>
              <w:t>apmokėjimo terminą, kuris negali būti ilgesnis nei Maksimalus mokėjimo atidėjimo pirkėjams terminas,</w:t>
            </w:r>
            <w:r w:rsidR="005B6E65" w:rsidRPr="009E238F">
              <w:rPr>
                <w:rFonts w:ascii="Times New Roman" w:hAnsi="Times New Roman"/>
                <w:szCs w:val="24"/>
              </w:rPr>
              <w:t xml:space="preserve"> ir PGF</w:t>
            </w:r>
            <w:r w:rsidR="00DF593A" w:rsidRPr="009E238F">
              <w:rPr>
                <w:rFonts w:ascii="Times New Roman" w:hAnsi="Times New Roman"/>
                <w:szCs w:val="24"/>
              </w:rPr>
              <w:t>2</w:t>
            </w:r>
            <w:r w:rsidR="005B6E65" w:rsidRPr="009E238F">
              <w:rPr>
                <w:rFonts w:ascii="Times New Roman" w:hAnsi="Times New Roman"/>
                <w:szCs w:val="24"/>
              </w:rPr>
              <w:t xml:space="preserve"> priemonės valdytojui kreipusis raštu į MVĮ dėl regreso, MVĮ neatsiskaito su PGF</w:t>
            </w:r>
            <w:r w:rsidR="00486BB9" w:rsidRPr="009E238F">
              <w:rPr>
                <w:rFonts w:ascii="Times New Roman" w:hAnsi="Times New Roman"/>
                <w:szCs w:val="24"/>
              </w:rPr>
              <w:t>2</w:t>
            </w:r>
            <w:r w:rsidR="005B6E65" w:rsidRPr="009E238F">
              <w:rPr>
                <w:rFonts w:ascii="Times New Roman" w:hAnsi="Times New Roman"/>
                <w:szCs w:val="24"/>
              </w:rPr>
              <w:t> priemonės valdytoju per 90 kalendorinių dienų po šio kreipimosi; ir (arba)</w:t>
            </w:r>
          </w:p>
          <w:p w14:paraId="7D10A113" w14:textId="29961255" w:rsidR="005B6E65" w:rsidRPr="009E238F" w:rsidRDefault="005B6E65" w:rsidP="009B0EE1">
            <w:pPr>
              <w:numPr>
                <w:ilvl w:val="0"/>
                <w:numId w:val="23"/>
              </w:numPr>
              <w:tabs>
                <w:tab w:val="left" w:pos="359"/>
              </w:tabs>
              <w:overflowPunct/>
              <w:adjustRightInd/>
              <w:spacing w:line="276" w:lineRule="auto"/>
              <w:ind w:left="34" w:firstLine="0"/>
              <w:jc w:val="both"/>
              <w:textAlignment w:val="auto"/>
              <w:rPr>
                <w:rFonts w:ascii="Times New Roman" w:hAnsi="Times New Roman"/>
                <w:szCs w:val="24"/>
              </w:rPr>
            </w:pPr>
            <w:r w:rsidRPr="009E238F">
              <w:rPr>
                <w:rFonts w:ascii="Times New Roman" w:hAnsi="Times New Roman"/>
                <w:szCs w:val="24"/>
              </w:rPr>
              <w:t>PGF</w:t>
            </w:r>
            <w:r w:rsidR="00486BB9" w:rsidRPr="009E238F">
              <w:rPr>
                <w:rFonts w:ascii="Times New Roman" w:hAnsi="Times New Roman"/>
                <w:szCs w:val="24"/>
              </w:rPr>
              <w:t>2</w:t>
            </w:r>
            <w:r w:rsidRPr="009E238F">
              <w:rPr>
                <w:rFonts w:ascii="Times New Roman" w:hAnsi="Times New Roman"/>
                <w:szCs w:val="24"/>
              </w:rPr>
              <w:t xml:space="preserve"> priemonės valdytojas, veikdamas pagal vidaus taisykles ir Faktoringo </w:t>
            </w:r>
            <w:r w:rsidR="00486BB9" w:rsidRPr="009E238F">
              <w:rPr>
                <w:rFonts w:ascii="Times New Roman" w:hAnsi="Times New Roman"/>
                <w:szCs w:val="24"/>
              </w:rPr>
              <w:t xml:space="preserve">sandorio </w:t>
            </w:r>
            <w:r w:rsidRPr="009E238F">
              <w:rPr>
                <w:rFonts w:ascii="Times New Roman" w:hAnsi="Times New Roman"/>
                <w:szCs w:val="24"/>
              </w:rPr>
              <w:t>sutarties nuostatas, nustato riziką, kad MVĮ nesugebės atsiskaityti su PGF</w:t>
            </w:r>
            <w:r w:rsidR="00486BB9" w:rsidRPr="009E238F">
              <w:rPr>
                <w:rFonts w:ascii="Times New Roman" w:hAnsi="Times New Roman"/>
                <w:szCs w:val="24"/>
              </w:rPr>
              <w:t>2</w:t>
            </w:r>
            <w:r w:rsidRPr="009E238F">
              <w:rPr>
                <w:rFonts w:ascii="Times New Roman" w:hAnsi="Times New Roman"/>
                <w:szCs w:val="24"/>
              </w:rPr>
              <w:t xml:space="preserve"> priemonės valdytoju ir, PGF</w:t>
            </w:r>
            <w:r w:rsidR="009E238F" w:rsidRPr="009E238F">
              <w:rPr>
                <w:rFonts w:ascii="Times New Roman" w:hAnsi="Times New Roman"/>
                <w:szCs w:val="24"/>
              </w:rPr>
              <w:t>2</w:t>
            </w:r>
            <w:r w:rsidRPr="009E238F">
              <w:rPr>
                <w:rFonts w:ascii="Times New Roman" w:hAnsi="Times New Roman"/>
                <w:szCs w:val="24"/>
              </w:rPr>
              <w:t xml:space="preserve"> priemonės valdytojui raštu kreipusis į MVĮ dėl regreso, MVĮ neatsiskaito su PGF</w:t>
            </w:r>
            <w:r w:rsidR="009E238F" w:rsidRPr="009E238F">
              <w:rPr>
                <w:rFonts w:ascii="Times New Roman" w:hAnsi="Times New Roman"/>
                <w:szCs w:val="24"/>
              </w:rPr>
              <w:t>2</w:t>
            </w:r>
            <w:r w:rsidRPr="009E238F">
              <w:rPr>
                <w:rFonts w:ascii="Times New Roman" w:hAnsi="Times New Roman"/>
                <w:szCs w:val="24"/>
              </w:rPr>
              <w:t xml:space="preserve"> priemonės valdytoju per 90 kalendorinių dienų po šio kreipimosi</w:t>
            </w:r>
            <w:r w:rsidR="00C57F05">
              <w:rPr>
                <w:rFonts w:ascii="Times New Roman" w:hAnsi="Times New Roman"/>
                <w:szCs w:val="24"/>
              </w:rPr>
              <w:t>.</w:t>
            </w:r>
          </w:p>
        </w:tc>
      </w:tr>
      <w:tr w:rsidR="007F2A2A" w:rsidRPr="00C33AC8" w14:paraId="05E479BB"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0144ADAF" w14:textId="77777777" w:rsidR="00EE605D" w:rsidRPr="00EE1892" w:rsidRDefault="00EE605D" w:rsidP="009B0EE1">
            <w:pPr>
              <w:pStyle w:val="ListParagraph"/>
              <w:numPr>
                <w:ilvl w:val="0"/>
                <w:numId w:val="13"/>
              </w:numPr>
              <w:spacing w:after="0"/>
              <w:jc w:val="center"/>
              <w:rPr>
                <w:sz w:val="24"/>
                <w:szCs w:val="24"/>
                <w:lang w:val="lt-LT"/>
              </w:rPr>
            </w:pPr>
          </w:p>
        </w:tc>
        <w:tc>
          <w:tcPr>
            <w:tcW w:w="3119" w:type="dxa"/>
          </w:tcPr>
          <w:p w14:paraId="42C7BAF6" w14:textId="55A638D8" w:rsidR="00EE605D" w:rsidRPr="00EE1892" w:rsidRDefault="00EE605D" w:rsidP="009B0EE1">
            <w:pPr>
              <w:spacing w:line="276" w:lineRule="auto"/>
              <w:rPr>
                <w:rFonts w:ascii="Times New Roman" w:hAnsi="Times New Roman"/>
                <w:b/>
                <w:szCs w:val="24"/>
              </w:rPr>
            </w:pPr>
            <w:r w:rsidRPr="00EE1892">
              <w:rPr>
                <w:rFonts w:ascii="Times New Roman" w:hAnsi="Times New Roman"/>
                <w:b/>
                <w:szCs w:val="24"/>
              </w:rPr>
              <w:t>Reikalavimų neatitinkant</w:t>
            </w:r>
            <w:r w:rsidR="00E67DAC" w:rsidRPr="00EE1892">
              <w:rPr>
                <w:rFonts w:ascii="Times New Roman" w:hAnsi="Times New Roman"/>
                <w:b/>
                <w:szCs w:val="24"/>
              </w:rPr>
              <w:t>is Faktoringo sandoris</w:t>
            </w:r>
            <w:r w:rsidR="005B6E65" w:rsidRPr="00EE1892">
              <w:rPr>
                <w:rFonts w:ascii="Times New Roman" w:hAnsi="Times New Roman"/>
                <w:b/>
                <w:szCs w:val="24"/>
              </w:rPr>
              <w:t xml:space="preserve"> </w:t>
            </w:r>
          </w:p>
        </w:tc>
        <w:tc>
          <w:tcPr>
            <w:tcW w:w="6096" w:type="dxa"/>
          </w:tcPr>
          <w:p w14:paraId="035C458A" w14:textId="599E6A2B" w:rsidR="00EE605D" w:rsidRPr="00EE1892" w:rsidRDefault="00842C93" w:rsidP="009B0EE1">
            <w:pPr>
              <w:spacing w:line="276" w:lineRule="auto"/>
              <w:ind w:left="34"/>
              <w:jc w:val="both"/>
              <w:rPr>
                <w:rFonts w:ascii="Times New Roman" w:hAnsi="Times New Roman"/>
                <w:szCs w:val="24"/>
              </w:rPr>
            </w:pPr>
            <w:r w:rsidRPr="00EE1892">
              <w:rPr>
                <w:rFonts w:ascii="Times New Roman" w:hAnsi="Times New Roman"/>
                <w:szCs w:val="24"/>
              </w:rPr>
              <w:t>P</w:t>
            </w:r>
            <w:r w:rsidR="00EE605D" w:rsidRPr="00EE1892">
              <w:rPr>
                <w:rFonts w:ascii="Times New Roman" w:hAnsi="Times New Roman"/>
                <w:szCs w:val="24"/>
              </w:rPr>
              <w:t xml:space="preserve">ažeidžiant Sutarties sąlygas ir </w:t>
            </w:r>
            <w:r w:rsidR="009B0B86">
              <w:rPr>
                <w:rFonts w:ascii="Times New Roman" w:hAnsi="Times New Roman"/>
                <w:szCs w:val="24"/>
              </w:rPr>
              <w:t>Aprašo</w:t>
            </w:r>
            <w:r w:rsidR="00EE605D" w:rsidRPr="00EE1892">
              <w:rPr>
                <w:rFonts w:ascii="Times New Roman" w:hAnsi="Times New Roman"/>
                <w:szCs w:val="24"/>
              </w:rPr>
              <w:t xml:space="preserve"> sąlygas </w:t>
            </w:r>
            <w:r w:rsidR="005B6E65" w:rsidRPr="00EE1892">
              <w:rPr>
                <w:rFonts w:ascii="Times New Roman" w:hAnsi="Times New Roman" w:hint="eastAsia"/>
                <w:szCs w:val="24"/>
              </w:rPr>
              <w:t>į</w:t>
            </w:r>
            <w:r w:rsidR="005B6E65" w:rsidRPr="00EE1892">
              <w:rPr>
                <w:rFonts w:ascii="Times New Roman" w:hAnsi="Times New Roman"/>
                <w:szCs w:val="24"/>
              </w:rPr>
              <w:t xml:space="preserve"> Portfel</w:t>
            </w:r>
            <w:r w:rsidR="005B6E65" w:rsidRPr="00EE1892">
              <w:rPr>
                <w:rFonts w:ascii="Times New Roman" w:hAnsi="Times New Roman" w:hint="eastAsia"/>
                <w:szCs w:val="24"/>
              </w:rPr>
              <w:t>į</w:t>
            </w:r>
            <w:r w:rsidR="005B6E65" w:rsidRPr="00EE1892">
              <w:rPr>
                <w:rFonts w:ascii="Times New Roman" w:hAnsi="Times New Roman"/>
                <w:szCs w:val="24"/>
              </w:rPr>
              <w:t xml:space="preserve"> </w:t>
            </w:r>
            <w:r w:rsidR="00560904" w:rsidRPr="00EE1892">
              <w:rPr>
                <w:rFonts w:ascii="Times New Roman" w:hAnsi="Times New Roman"/>
                <w:szCs w:val="24"/>
              </w:rPr>
              <w:t>į</w:t>
            </w:r>
            <w:r w:rsidR="005B6E65" w:rsidRPr="00EE1892">
              <w:rPr>
                <w:rFonts w:ascii="Times New Roman" w:hAnsi="Times New Roman"/>
                <w:szCs w:val="24"/>
              </w:rPr>
              <w:t>trauktas Faktoringo sandoris</w:t>
            </w:r>
            <w:r w:rsidR="005E1823" w:rsidRPr="00EE1892">
              <w:rPr>
                <w:rFonts w:ascii="Times New Roman" w:hAnsi="Times New Roman"/>
                <w:szCs w:val="24"/>
              </w:rPr>
              <w:t>,</w:t>
            </w:r>
            <w:r w:rsidR="005B6E65" w:rsidRPr="00EE1892">
              <w:rPr>
                <w:rFonts w:ascii="Times New Roman" w:hAnsi="Times New Roman"/>
                <w:szCs w:val="24"/>
              </w:rPr>
              <w:t xml:space="preserve"> kuris neatitinka</w:t>
            </w:r>
            <w:r w:rsidR="00E67DAC" w:rsidRPr="00EE1892">
              <w:rPr>
                <w:rFonts w:ascii="Times New Roman" w:hAnsi="Times New Roman"/>
                <w:szCs w:val="24"/>
              </w:rPr>
              <w:t xml:space="preserve"> </w:t>
            </w:r>
            <w:r w:rsidR="00B141B4" w:rsidRPr="00EE1892">
              <w:rPr>
                <w:rFonts w:ascii="Times New Roman" w:hAnsi="Times New Roman"/>
                <w:szCs w:val="24"/>
              </w:rPr>
              <w:t>MVĮ t</w:t>
            </w:r>
            <w:r w:rsidR="00E67DAC" w:rsidRPr="00EE1892">
              <w:rPr>
                <w:rFonts w:ascii="Times New Roman" w:hAnsi="Times New Roman"/>
                <w:szCs w:val="24"/>
              </w:rPr>
              <w:t xml:space="preserve">inkamumo </w:t>
            </w:r>
            <w:r w:rsidR="00B141B4" w:rsidRPr="00EE1892">
              <w:rPr>
                <w:rFonts w:ascii="Times New Roman" w:hAnsi="Times New Roman"/>
                <w:szCs w:val="24"/>
              </w:rPr>
              <w:t xml:space="preserve">ir Faktoringo sandorių, įtraukiamų į Portfelį, tinkamumo sąlygų, nurodytų Sutarties </w:t>
            </w:r>
            <w:r w:rsidR="007A623F" w:rsidRPr="00EE1892">
              <w:rPr>
                <w:rFonts w:ascii="Times New Roman" w:hAnsi="Times New Roman"/>
                <w:szCs w:val="24"/>
              </w:rPr>
              <w:t>V skyriuje</w:t>
            </w:r>
            <w:r w:rsidR="00D64A94">
              <w:rPr>
                <w:rFonts w:ascii="Times New Roman" w:hAnsi="Times New Roman"/>
                <w:szCs w:val="24"/>
              </w:rPr>
              <w:t>.</w:t>
            </w:r>
            <w:r w:rsidR="00F42F40" w:rsidRPr="00EE1892">
              <w:rPr>
                <w:rFonts w:ascii="Times New Roman" w:hAnsi="Times New Roman"/>
                <w:szCs w:val="24"/>
              </w:rPr>
              <w:t xml:space="preserve"> </w:t>
            </w:r>
          </w:p>
        </w:tc>
      </w:tr>
      <w:tr w:rsidR="007F2A2A" w:rsidRPr="00C33AC8" w14:paraId="0170EF64"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3D31B6E3" w14:textId="77777777" w:rsidR="00EE605D" w:rsidRPr="009770D5" w:rsidRDefault="00EE605D" w:rsidP="009B0EE1">
            <w:pPr>
              <w:pStyle w:val="ListParagraph"/>
              <w:numPr>
                <w:ilvl w:val="0"/>
                <w:numId w:val="13"/>
              </w:numPr>
              <w:spacing w:after="0"/>
              <w:jc w:val="center"/>
              <w:rPr>
                <w:sz w:val="24"/>
                <w:szCs w:val="24"/>
                <w:lang w:val="lt-LT"/>
              </w:rPr>
            </w:pPr>
          </w:p>
        </w:tc>
        <w:tc>
          <w:tcPr>
            <w:tcW w:w="3119" w:type="dxa"/>
          </w:tcPr>
          <w:p w14:paraId="3741E6E0" w14:textId="6BEEBB21" w:rsidR="00EE605D" w:rsidRPr="009770D5" w:rsidRDefault="00C51F33" w:rsidP="009B0EE1">
            <w:pPr>
              <w:spacing w:line="276" w:lineRule="auto"/>
              <w:rPr>
                <w:rFonts w:ascii="Times New Roman" w:hAnsi="Times New Roman"/>
                <w:b/>
                <w:szCs w:val="24"/>
              </w:rPr>
            </w:pPr>
            <w:r w:rsidRPr="009770D5">
              <w:rPr>
                <w:rFonts w:ascii="Times New Roman" w:hAnsi="Times New Roman"/>
                <w:b/>
                <w:szCs w:val="24"/>
              </w:rPr>
              <w:t>PGF</w:t>
            </w:r>
            <w:r w:rsidR="008977D9" w:rsidRPr="009770D5">
              <w:rPr>
                <w:rFonts w:ascii="Times New Roman" w:hAnsi="Times New Roman"/>
                <w:b/>
                <w:szCs w:val="24"/>
              </w:rPr>
              <w:t>2</w:t>
            </w:r>
            <w:r w:rsidR="00EE605D" w:rsidRPr="009770D5">
              <w:rPr>
                <w:rFonts w:ascii="Times New Roman" w:hAnsi="Times New Roman"/>
                <w:b/>
                <w:szCs w:val="24"/>
              </w:rPr>
              <w:t xml:space="preserve"> priemonės lėš</w:t>
            </w:r>
            <w:r w:rsidR="00C11FAD" w:rsidRPr="009770D5">
              <w:rPr>
                <w:rFonts w:ascii="Times New Roman" w:hAnsi="Times New Roman"/>
                <w:b/>
                <w:szCs w:val="24"/>
              </w:rPr>
              <w:t>os</w:t>
            </w:r>
          </w:p>
        </w:tc>
        <w:tc>
          <w:tcPr>
            <w:tcW w:w="6096" w:type="dxa"/>
          </w:tcPr>
          <w:p w14:paraId="7642F2FE" w14:textId="11AF8A7E" w:rsidR="00EE605D" w:rsidRPr="009770D5" w:rsidRDefault="0045777E" w:rsidP="007A25C4">
            <w:pPr>
              <w:spacing w:line="276" w:lineRule="auto"/>
              <w:ind w:left="34"/>
              <w:jc w:val="both"/>
              <w:rPr>
                <w:rFonts w:ascii="Times New Roman" w:hAnsi="Times New Roman"/>
                <w:szCs w:val="24"/>
              </w:rPr>
            </w:pPr>
            <w:r w:rsidRPr="009770D5">
              <w:rPr>
                <w:rFonts w:ascii="Times New Roman" w:hAnsi="Times New Roman"/>
                <w:szCs w:val="24"/>
              </w:rPr>
              <w:t xml:space="preserve">Sutarties priede Nr. 1 nurodyta </w:t>
            </w:r>
            <w:r w:rsidR="00C51F33" w:rsidRPr="009770D5">
              <w:rPr>
                <w:rFonts w:ascii="Times New Roman" w:hAnsi="Times New Roman"/>
                <w:szCs w:val="24"/>
              </w:rPr>
              <w:t>PGF</w:t>
            </w:r>
            <w:r w:rsidR="00EE605D" w:rsidRPr="009770D5">
              <w:rPr>
                <w:rFonts w:ascii="Times New Roman" w:hAnsi="Times New Roman"/>
                <w:szCs w:val="24"/>
              </w:rPr>
              <w:t xml:space="preserve"> priemonės valdytojui skirta </w:t>
            </w:r>
            <w:r w:rsidR="00C51F33" w:rsidRPr="009770D5">
              <w:rPr>
                <w:rFonts w:ascii="Times New Roman" w:hAnsi="Times New Roman"/>
                <w:szCs w:val="24"/>
              </w:rPr>
              <w:t>PGF</w:t>
            </w:r>
            <w:r w:rsidR="0088155C" w:rsidRPr="00384849">
              <w:rPr>
                <w:rFonts w:ascii="Times New Roman" w:hAnsi="Times New Roman"/>
                <w:szCs w:val="24"/>
              </w:rPr>
              <w:t>2</w:t>
            </w:r>
            <w:r w:rsidR="00EE605D" w:rsidRPr="009770D5">
              <w:rPr>
                <w:rFonts w:ascii="Times New Roman" w:hAnsi="Times New Roman"/>
                <w:szCs w:val="24"/>
              </w:rPr>
              <w:t xml:space="preserve"> priemonės lėšų suma</w:t>
            </w:r>
            <w:r w:rsidR="00EF0ADC">
              <w:rPr>
                <w:rFonts w:ascii="Times New Roman" w:hAnsi="Times New Roman"/>
                <w:szCs w:val="24"/>
              </w:rPr>
              <w:t>.</w:t>
            </w:r>
            <w:r w:rsidR="00865911">
              <w:rPr>
                <w:rFonts w:ascii="Times New Roman" w:hAnsi="Times New Roman"/>
                <w:szCs w:val="24"/>
              </w:rPr>
              <w:t xml:space="preserve"> </w:t>
            </w:r>
            <w:r w:rsidR="00C11FAD" w:rsidRPr="009770D5">
              <w:rPr>
                <w:rFonts w:ascii="Times New Roman" w:hAnsi="Times New Roman"/>
                <w:szCs w:val="24"/>
              </w:rPr>
              <w:t xml:space="preserve">PGF2 priemonei įgyvendinti numatyta skirti 10 mln. Eur sumą INVEGOS fondo grįžusių ir (ar) grįšiančių lėšų. Pasikeitus rinkos poreikiams PGF2 priemonei skirta lėšų suma gali būti didinama arba mažinama. </w:t>
            </w:r>
            <w:r w:rsidR="00EE605D" w:rsidRPr="009770D5">
              <w:rPr>
                <w:rFonts w:ascii="Times New Roman" w:hAnsi="Times New Roman"/>
                <w:szCs w:val="24"/>
              </w:rPr>
              <w:t xml:space="preserve">Tokiu atveju patikslinta </w:t>
            </w:r>
            <w:r w:rsidR="00C51F33" w:rsidRPr="009770D5">
              <w:rPr>
                <w:rFonts w:ascii="Times New Roman" w:hAnsi="Times New Roman"/>
                <w:szCs w:val="24"/>
              </w:rPr>
              <w:t>PGF</w:t>
            </w:r>
            <w:r w:rsidR="00C11FAD" w:rsidRPr="009770D5">
              <w:rPr>
                <w:rFonts w:ascii="Times New Roman" w:hAnsi="Times New Roman"/>
                <w:szCs w:val="24"/>
              </w:rPr>
              <w:t>2</w:t>
            </w:r>
            <w:r w:rsidR="00EE605D" w:rsidRPr="009770D5">
              <w:rPr>
                <w:rFonts w:ascii="Times New Roman" w:hAnsi="Times New Roman"/>
                <w:szCs w:val="24"/>
              </w:rPr>
              <w:t xml:space="preserve"> priemonės valdytojui </w:t>
            </w:r>
            <w:r w:rsidR="00C11FAD" w:rsidRPr="009770D5">
              <w:rPr>
                <w:rFonts w:ascii="Times New Roman" w:hAnsi="Times New Roman"/>
                <w:szCs w:val="24"/>
              </w:rPr>
              <w:t>s</w:t>
            </w:r>
            <w:r w:rsidR="00EE605D" w:rsidRPr="009770D5">
              <w:rPr>
                <w:rFonts w:ascii="Times New Roman" w:hAnsi="Times New Roman"/>
                <w:szCs w:val="24"/>
              </w:rPr>
              <w:t xml:space="preserve">kirta </w:t>
            </w:r>
            <w:r w:rsidR="00C51F33" w:rsidRPr="009770D5">
              <w:rPr>
                <w:rFonts w:ascii="Times New Roman" w:hAnsi="Times New Roman"/>
                <w:szCs w:val="24"/>
              </w:rPr>
              <w:t>PGF</w:t>
            </w:r>
            <w:r w:rsidR="00C11FAD" w:rsidRPr="009770D5">
              <w:rPr>
                <w:rFonts w:ascii="Times New Roman" w:hAnsi="Times New Roman"/>
                <w:szCs w:val="24"/>
              </w:rPr>
              <w:t>2</w:t>
            </w:r>
            <w:r w:rsidR="00EE605D" w:rsidRPr="009770D5">
              <w:rPr>
                <w:rFonts w:ascii="Times New Roman" w:hAnsi="Times New Roman"/>
                <w:szCs w:val="24"/>
              </w:rPr>
              <w:t xml:space="preserve"> priemonės lėšų suma yra nurodoma pasirašytame </w:t>
            </w:r>
            <w:r w:rsidR="00410AB4">
              <w:rPr>
                <w:rFonts w:ascii="Times New Roman" w:hAnsi="Times New Roman"/>
                <w:szCs w:val="24"/>
              </w:rPr>
              <w:t>s</w:t>
            </w:r>
            <w:r w:rsidR="00EE605D" w:rsidRPr="009770D5">
              <w:rPr>
                <w:rFonts w:ascii="Times New Roman" w:hAnsi="Times New Roman"/>
                <w:szCs w:val="24"/>
              </w:rPr>
              <w:t xml:space="preserve">usitarime dėl perskirstomų </w:t>
            </w:r>
            <w:r w:rsidR="00865911" w:rsidRPr="009770D5">
              <w:rPr>
                <w:rFonts w:ascii="Times New Roman" w:hAnsi="Times New Roman"/>
                <w:szCs w:val="24"/>
              </w:rPr>
              <w:t>PGF2</w:t>
            </w:r>
            <w:r w:rsidR="00865911">
              <w:rPr>
                <w:rFonts w:ascii="Times New Roman" w:hAnsi="Times New Roman"/>
                <w:szCs w:val="24"/>
              </w:rPr>
              <w:t> </w:t>
            </w:r>
            <w:r w:rsidR="00EE605D" w:rsidRPr="009770D5">
              <w:rPr>
                <w:rFonts w:ascii="Times New Roman" w:hAnsi="Times New Roman"/>
                <w:szCs w:val="24"/>
              </w:rPr>
              <w:t xml:space="preserve">priemonės lėšų skyrimo, prie kurio pridedamas atnaujintas </w:t>
            </w:r>
            <w:r w:rsidR="0058580E" w:rsidRPr="009770D5">
              <w:rPr>
                <w:rFonts w:ascii="Times New Roman" w:hAnsi="Times New Roman"/>
                <w:szCs w:val="24"/>
              </w:rPr>
              <w:t>Faktoringo sandorių</w:t>
            </w:r>
            <w:r w:rsidR="0076033B" w:rsidRPr="009770D5">
              <w:rPr>
                <w:rFonts w:ascii="Times New Roman" w:hAnsi="Times New Roman"/>
                <w:szCs w:val="24"/>
              </w:rPr>
              <w:t xml:space="preserve"> įtraukimo į Portfelį grafikas</w:t>
            </w:r>
            <w:r w:rsidR="00EE605D" w:rsidRPr="009770D5">
              <w:rPr>
                <w:rFonts w:ascii="Times New Roman" w:hAnsi="Times New Roman"/>
                <w:szCs w:val="24"/>
              </w:rPr>
              <w:t xml:space="preserve"> i</w:t>
            </w:r>
            <w:r w:rsidR="005E1823" w:rsidRPr="009770D5">
              <w:rPr>
                <w:rFonts w:ascii="Times New Roman" w:hAnsi="Times New Roman"/>
                <w:szCs w:val="24"/>
              </w:rPr>
              <w:t>r</w:t>
            </w:r>
            <w:r w:rsidR="00EE605D" w:rsidRPr="009770D5">
              <w:rPr>
                <w:rFonts w:ascii="Times New Roman" w:hAnsi="Times New Roman"/>
                <w:szCs w:val="24"/>
              </w:rPr>
              <w:t xml:space="preserve"> aktuali Sutarties priedo Nr. 1 redakcija</w:t>
            </w:r>
            <w:r w:rsidR="00517E8C">
              <w:rPr>
                <w:rFonts w:ascii="Times New Roman" w:hAnsi="Times New Roman"/>
                <w:szCs w:val="24"/>
              </w:rPr>
              <w:t>.</w:t>
            </w:r>
          </w:p>
        </w:tc>
      </w:tr>
      <w:tr w:rsidR="007F2A2A" w:rsidRPr="00C33AC8" w14:paraId="11DD3976"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43E3E238" w14:textId="77777777" w:rsidR="004842F8" w:rsidRPr="00AE2B7C" w:rsidRDefault="004842F8" w:rsidP="009B0EE1">
            <w:pPr>
              <w:pStyle w:val="ListParagraph"/>
              <w:numPr>
                <w:ilvl w:val="0"/>
                <w:numId w:val="13"/>
              </w:numPr>
              <w:spacing w:after="0"/>
              <w:jc w:val="center"/>
              <w:rPr>
                <w:sz w:val="24"/>
                <w:szCs w:val="24"/>
                <w:lang w:val="lt-LT"/>
              </w:rPr>
            </w:pPr>
          </w:p>
        </w:tc>
        <w:tc>
          <w:tcPr>
            <w:tcW w:w="3119" w:type="dxa"/>
          </w:tcPr>
          <w:p w14:paraId="5B3434C4" w14:textId="2201903F" w:rsidR="004842F8" w:rsidRPr="00AE2B7C" w:rsidRDefault="004842F8" w:rsidP="009B0EE1">
            <w:pPr>
              <w:spacing w:line="276" w:lineRule="auto"/>
              <w:rPr>
                <w:rFonts w:ascii="Times New Roman" w:hAnsi="Times New Roman"/>
                <w:b/>
                <w:szCs w:val="24"/>
              </w:rPr>
            </w:pPr>
            <w:r w:rsidRPr="00AE2B7C">
              <w:rPr>
                <w:rFonts w:ascii="Times New Roman" w:hAnsi="Times New Roman"/>
                <w:b/>
                <w:szCs w:val="24"/>
              </w:rPr>
              <w:t xml:space="preserve">Sutartas </w:t>
            </w:r>
            <w:r w:rsidR="00BC03D2" w:rsidRPr="00AE2B7C">
              <w:rPr>
                <w:rFonts w:ascii="Times New Roman" w:hAnsi="Times New Roman"/>
                <w:b/>
                <w:szCs w:val="24"/>
              </w:rPr>
              <w:t>p</w:t>
            </w:r>
            <w:r w:rsidRPr="00AE2B7C">
              <w:rPr>
                <w:rFonts w:ascii="Times New Roman" w:hAnsi="Times New Roman"/>
                <w:b/>
                <w:szCs w:val="24"/>
              </w:rPr>
              <w:t>ortfelio dydis</w:t>
            </w:r>
          </w:p>
          <w:p w14:paraId="186A5124" w14:textId="12462B02" w:rsidR="00087688" w:rsidRPr="00AE2B7C" w:rsidRDefault="00087688" w:rsidP="009B0EE1">
            <w:pPr>
              <w:spacing w:line="276" w:lineRule="auto"/>
              <w:rPr>
                <w:rFonts w:ascii="Times New Roman" w:hAnsi="Times New Roman"/>
                <w:b/>
                <w:szCs w:val="24"/>
              </w:rPr>
            </w:pPr>
          </w:p>
        </w:tc>
        <w:tc>
          <w:tcPr>
            <w:tcW w:w="6096" w:type="dxa"/>
          </w:tcPr>
          <w:p w14:paraId="41B7A0E7" w14:textId="168D7C75" w:rsidR="004842F8" w:rsidRPr="00AE2B7C" w:rsidRDefault="00F732FD" w:rsidP="009B0EE1">
            <w:pPr>
              <w:spacing w:line="276" w:lineRule="auto"/>
              <w:ind w:left="34"/>
              <w:jc w:val="both"/>
              <w:rPr>
                <w:rFonts w:ascii="Times New Roman" w:hAnsi="Times New Roman"/>
                <w:szCs w:val="24"/>
              </w:rPr>
            </w:pPr>
            <w:r w:rsidRPr="00AE2B7C">
              <w:rPr>
                <w:rFonts w:ascii="Times New Roman" w:hAnsi="Times New Roman"/>
                <w:szCs w:val="24"/>
              </w:rPr>
              <w:t>D</w:t>
            </w:r>
            <w:r w:rsidR="004842F8" w:rsidRPr="00AE2B7C">
              <w:rPr>
                <w:rFonts w:ascii="Times New Roman" w:hAnsi="Times New Roman"/>
                <w:szCs w:val="24"/>
              </w:rPr>
              <w:t>idžiausia leistina įtraukti į Portfelį</w:t>
            </w:r>
            <w:r w:rsidR="00BB370D" w:rsidRPr="00AE2B7C">
              <w:rPr>
                <w:rFonts w:ascii="Times New Roman" w:hAnsi="Times New Roman"/>
                <w:szCs w:val="24"/>
              </w:rPr>
              <w:t xml:space="preserve"> </w:t>
            </w:r>
            <w:r w:rsidR="00244407" w:rsidRPr="000B097D">
              <w:rPr>
                <w:rFonts w:ascii="Times New Roman" w:hAnsi="Times New Roman"/>
                <w:szCs w:val="24"/>
              </w:rPr>
              <w:t xml:space="preserve">Faktoringo </w:t>
            </w:r>
            <w:r w:rsidR="00BB370D" w:rsidRPr="000B097D">
              <w:rPr>
                <w:rFonts w:ascii="Times New Roman" w:hAnsi="Times New Roman"/>
                <w:szCs w:val="24"/>
              </w:rPr>
              <w:t>limitų suma</w:t>
            </w:r>
            <w:r w:rsidR="004842F8" w:rsidRPr="000B097D">
              <w:rPr>
                <w:rFonts w:ascii="Times New Roman" w:hAnsi="Times New Roman"/>
                <w:szCs w:val="24"/>
              </w:rPr>
              <w:t xml:space="preserve">, </w:t>
            </w:r>
            <w:r w:rsidR="004842F8" w:rsidRPr="00AE2B7C">
              <w:rPr>
                <w:rFonts w:ascii="Times New Roman" w:hAnsi="Times New Roman"/>
                <w:szCs w:val="24"/>
              </w:rPr>
              <w:t>nurodyta Sutarties priede</w:t>
            </w:r>
            <w:r w:rsidR="00EC1DD2" w:rsidRPr="00AE2B7C">
              <w:rPr>
                <w:rFonts w:ascii="Times New Roman" w:hAnsi="Times New Roman"/>
                <w:szCs w:val="24"/>
              </w:rPr>
              <w:t xml:space="preserve"> Nr.</w:t>
            </w:r>
            <w:r w:rsidR="00DA4B1E" w:rsidRPr="00AE2B7C">
              <w:rPr>
                <w:rFonts w:ascii="Times New Roman" w:hAnsi="Times New Roman"/>
                <w:szCs w:val="24"/>
              </w:rPr>
              <w:t xml:space="preserve"> </w:t>
            </w:r>
            <w:r w:rsidR="00EC1DD2" w:rsidRPr="00AE2B7C">
              <w:rPr>
                <w:rFonts w:ascii="Times New Roman" w:hAnsi="Times New Roman"/>
                <w:szCs w:val="24"/>
              </w:rPr>
              <w:t>1</w:t>
            </w:r>
            <w:r w:rsidRPr="00AE2B7C">
              <w:rPr>
                <w:rFonts w:ascii="Times New Roman" w:hAnsi="Times New Roman"/>
                <w:szCs w:val="24"/>
              </w:rPr>
              <w:t>.</w:t>
            </w:r>
          </w:p>
          <w:p w14:paraId="3CA49B0E" w14:textId="11FCCD8B" w:rsidR="004842F8" w:rsidRPr="00AE2B7C" w:rsidRDefault="004842F8" w:rsidP="00537D38">
            <w:pPr>
              <w:spacing w:line="276" w:lineRule="auto"/>
              <w:ind w:left="34"/>
              <w:jc w:val="both"/>
              <w:rPr>
                <w:rFonts w:ascii="Times New Roman" w:hAnsi="Times New Roman"/>
                <w:szCs w:val="24"/>
              </w:rPr>
            </w:pPr>
            <w:r w:rsidRPr="00AE2B7C">
              <w:rPr>
                <w:rFonts w:ascii="Times New Roman" w:hAnsi="Times New Roman"/>
                <w:szCs w:val="24"/>
              </w:rPr>
              <w:t xml:space="preserve">Sutartas </w:t>
            </w:r>
            <w:r w:rsidR="0047358C" w:rsidRPr="00AE2B7C">
              <w:rPr>
                <w:rFonts w:ascii="Times New Roman" w:hAnsi="Times New Roman"/>
                <w:szCs w:val="24"/>
              </w:rPr>
              <w:t>p</w:t>
            </w:r>
            <w:r w:rsidRPr="00AE2B7C">
              <w:rPr>
                <w:rFonts w:ascii="Times New Roman" w:hAnsi="Times New Roman"/>
                <w:szCs w:val="24"/>
              </w:rPr>
              <w:t xml:space="preserve">ortfelio dydis yra didinamas, jei yra didinama </w:t>
            </w:r>
            <w:r w:rsidR="00C51F33" w:rsidRPr="00AE2B7C">
              <w:rPr>
                <w:rFonts w:ascii="Times New Roman" w:hAnsi="Times New Roman"/>
                <w:szCs w:val="24"/>
              </w:rPr>
              <w:t>PGF</w:t>
            </w:r>
            <w:r w:rsidR="00AE2B7C" w:rsidRPr="00AE2B7C">
              <w:rPr>
                <w:rFonts w:ascii="Times New Roman" w:hAnsi="Times New Roman"/>
                <w:szCs w:val="24"/>
              </w:rPr>
              <w:t>2</w:t>
            </w:r>
            <w:r w:rsidR="005E1823" w:rsidRPr="00AE2B7C">
              <w:rPr>
                <w:rFonts w:ascii="Times New Roman" w:hAnsi="Times New Roman"/>
                <w:szCs w:val="24"/>
              </w:rPr>
              <w:t> </w:t>
            </w:r>
            <w:r w:rsidRPr="00AE2B7C">
              <w:rPr>
                <w:rFonts w:ascii="Times New Roman" w:hAnsi="Times New Roman"/>
                <w:szCs w:val="24"/>
              </w:rPr>
              <w:t xml:space="preserve"> priemonės valdytojui skirta </w:t>
            </w:r>
            <w:r w:rsidR="00C51F33" w:rsidRPr="00AE2B7C">
              <w:rPr>
                <w:rFonts w:ascii="Times New Roman" w:hAnsi="Times New Roman"/>
                <w:szCs w:val="24"/>
              </w:rPr>
              <w:t>PGF</w:t>
            </w:r>
            <w:r w:rsidR="00AE2B7C" w:rsidRPr="00AE2B7C">
              <w:rPr>
                <w:rFonts w:ascii="Times New Roman" w:hAnsi="Times New Roman"/>
                <w:szCs w:val="24"/>
              </w:rPr>
              <w:t>2</w:t>
            </w:r>
            <w:r w:rsidRPr="00AE2B7C">
              <w:rPr>
                <w:rFonts w:ascii="Times New Roman" w:hAnsi="Times New Roman"/>
                <w:szCs w:val="24"/>
              </w:rPr>
              <w:t xml:space="preserve"> priemonės lėšų suma, arba mažinamas, jei yra mažinama </w:t>
            </w:r>
            <w:r w:rsidR="00C51F33" w:rsidRPr="00AE2B7C">
              <w:rPr>
                <w:rFonts w:ascii="Times New Roman" w:hAnsi="Times New Roman"/>
                <w:szCs w:val="24"/>
              </w:rPr>
              <w:t>PGF</w:t>
            </w:r>
            <w:r w:rsidR="00AE2B7C" w:rsidRPr="00AE2B7C">
              <w:rPr>
                <w:rFonts w:ascii="Times New Roman" w:hAnsi="Times New Roman"/>
                <w:szCs w:val="24"/>
              </w:rPr>
              <w:t>2</w:t>
            </w:r>
            <w:r w:rsidRPr="00AE2B7C">
              <w:rPr>
                <w:rFonts w:ascii="Times New Roman" w:hAnsi="Times New Roman"/>
                <w:szCs w:val="24"/>
              </w:rPr>
              <w:t xml:space="preserve"> priemonės valdytojui skirta </w:t>
            </w:r>
            <w:r w:rsidR="00C51F33" w:rsidRPr="00AE2B7C">
              <w:rPr>
                <w:rFonts w:ascii="Times New Roman" w:hAnsi="Times New Roman"/>
                <w:szCs w:val="24"/>
              </w:rPr>
              <w:t>PGF</w:t>
            </w:r>
            <w:r w:rsidR="00AE2B7C" w:rsidRPr="00AE2B7C">
              <w:rPr>
                <w:rFonts w:ascii="Times New Roman" w:hAnsi="Times New Roman"/>
                <w:szCs w:val="24"/>
              </w:rPr>
              <w:t>2</w:t>
            </w:r>
            <w:r w:rsidRPr="00AE2B7C">
              <w:rPr>
                <w:rFonts w:ascii="Times New Roman" w:hAnsi="Times New Roman"/>
                <w:szCs w:val="24"/>
              </w:rPr>
              <w:t xml:space="preserve"> priemonės lėšų suma Sutartyje nustatytais atvejais</w:t>
            </w:r>
            <w:r w:rsidR="00C91624">
              <w:rPr>
                <w:rFonts w:ascii="Times New Roman" w:hAnsi="Times New Roman"/>
                <w:szCs w:val="24"/>
              </w:rPr>
              <w:t>.</w:t>
            </w:r>
          </w:p>
        </w:tc>
      </w:tr>
      <w:tr w:rsidR="007F2A2A" w:rsidRPr="00C33AC8" w14:paraId="6239C51F"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78B80C06" w14:textId="77777777" w:rsidR="00EE605D" w:rsidRPr="00E165EF" w:rsidRDefault="00EE605D"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47B23D49" w14:textId="3D070808" w:rsidR="00EE605D" w:rsidRPr="00E165EF" w:rsidRDefault="00EE605D" w:rsidP="00254ADB">
            <w:pPr>
              <w:spacing w:line="276" w:lineRule="auto"/>
              <w:rPr>
                <w:rFonts w:ascii="Times New Roman" w:hAnsi="Times New Roman"/>
                <w:b/>
                <w:szCs w:val="24"/>
              </w:rPr>
            </w:pPr>
            <w:r w:rsidRPr="00E165EF">
              <w:rPr>
                <w:rFonts w:ascii="Times New Roman" w:hAnsi="Times New Roman"/>
                <w:b/>
                <w:szCs w:val="24"/>
              </w:rPr>
              <w:t xml:space="preserve">Sutartis </w:t>
            </w:r>
          </w:p>
        </w:tc>
        <w:tc>
          <w:tcPr>
            <w:tcW w:w="6096" w:type="dxa"/>
            <w:tcBorders>
              <w:top w:val="single" w:sz="4" w:space="0" w:color="auto"/>
              <w:left w:val="single" w:sz="4" w:space="0" w:color="auto"/>
              <w:bottom w:val="single" w:sz="4" w:space="0" w:color="auto"/>
              <w:right w:val="single" w:sz="4" w:space="0" w:color="auto"/>
            </w:tcBorders>
          </w:tcPr>
          <w:p w14:paraId="1BE60425" w14:textId="20CBA2C4" w:rsidR="00EE605D" w:rsidRPr="00E165EF" w:rsidRDefault="007E50C1" w:rsidP="009B0EE1">
            <w:pPr>
              <w:spacing w:line="276" w:lineRule="auto"/>
              <w:ind w:left="34"/>
              <w:jc w:val="both"/>
              <w:rPr>
                <w:rFonts w:ascii="Times New Roman" w:hAnsi="Times New Roman"/>
                <w:szCs w:val="24"/>
              </w:rPr>
            </w:pPr>
            <w:r w:rsidRPr="00E165EF">
              <w:rPr>
                <w:rFonts w:ascii="Times New Roman" w:hAnsi="Times New Roman"/>
                <w:szCs w:val="24"/>
              </w:rPr>
              <w:t>Š</w:t>
            </w:r>
            <w:r w:rsidR="00EE605D" w:rsidRPr="00E165EF">
              <w:rPr>
                <w:rFonts w:ascii="Times New Roman" w:hAnsi="Times New Roman"/>
                <w:szCs w:val="24"/>
              </w:rPr>
              <w:t>i</w:t>
            </w:r>
            <w:r w:rsidRPr="00E165EF">
              <w:rPr>
                <w:rFonts w:ascii="Times New Roman" w:hAnsi="Times New Roman"/>
                <w:szCs w:val="24"/>
              </w:rPr>
              <w:t xml:space="preserve"> </w:t>
            </w:r>
            <w:r w:rsidR="00EE605D" w:rsidRPr="00E165EF">
              <w:rPr>
                <w:rFonts w:ascii="Times New Roman" w:hAnsi="Times New Roman"/>
                <w:szCs w:val="24"/>
              </w:rPr>
              <w:t>sutartis ir jos priedai kartu su visais pakeitimais</w:t>
            </w:r>
            <w:r w:rsidR="00D1612E">
              <w:rPr>
                <w:rFonts w:ascii="Times New Roman" w:hAnsi="Times New Roman"/>
                <w:szCs w:val="24"/>
              </w:rPr>
              <w:t>.</w:t>
            </w:r>
          </w:p>
        </w:tc>
      </w:tr>
      <w:tr w:rsidR="007F2A2A" w:rsidRPr="00C33AC8" w14:paraId="5A3C81F3"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3255271A" w14:textId="77777777" w:rsidR="004842F8" w:rsidRPr="00E07A2F" w:rsidRDefault="004842F8" w:rsidP="009B0EE1">
            <w:pPr>
              <w:pStyle w:val="ListParagraph"/>
              <w:numPr>
                <w:ilvl w:val="0"/>
                <w:numId w:val="13"/>
              </w:numPr>
              <w:spacing w:after="0"/>
              <w:jc w:val="center"/>
              <w:rPr>
                <w:sz w:val="24"/>
                <w:szCs w:val="24"/>
                <w:lang w:val="lt-LT"/>
              </w:rPr>
            </w:pPr>
          </w:p>
        </w:tc>
        <w:tc>
          <w:tcPr>
            <w:tcW w:w="3119" w:type="dxa"/>
            <w:tcBorders>
              <w:bottom w:val="single" w:sz="4" w:space="0" w:color="000000"/>
            </w:tcBorders>
          </w:tcPr>
          <w:p w14:paraId="07C9F11B" w14:textId="38684E47" w:rsidR="004842F8" w:rsidRPr="00E07A2F" w:rsidRDefault="004842F8" w:rsidP="009B0EE1">
            <w:pPr>
              <w:spacing w:line="276" w:lineRule="auto"/>
              <w:rPr>
                <w:rFonts w:ascii="Times New Roman" w:hAnsi="Times New Roman"/>
                <w:b/>
                <w:szCs w:val="24"/>
              </w:rPr>
            </w:pPr>
            <w:r w:rsidRPr="00E07A2F">
              <w:rPr>
                <w:rFonts w:ascii="Times New Roman" w:hAnsi="Times New Roman"/>
                <w:b/>
                <w:szCs w:val="24"/>
              </w:rPr>
              <w:t>Sutarties nuostolingumas</w:t>
            </w:r>
            <w:r w:rsidR="00E165EF" w:rsidRPr="00E07A2F">
              <w:rPr>
                <w:rFonts w:ascii="Times New Roman" w:hAnsi="Times New Roman"/>
                <w:b/>
                <w:szCs w:val="24"/>
              </w:rPr>
              <w:t>, proc.</w:t>
            </w:r>
          </w:p>
        </w:tc>
        <w:tc>
          <w:tcPr>
            <w:tcW w:w="6096" w:type="dxa"/>
            <w:tcBorders>
              <w:bottom w:val="single" w:sz="4" w:space="0" w:color="000000"/>
            </w:tcBorders>
          </w:tcPr>
          <w:p w14:paraId="2207B95E" w14:textId="1BE5540C" w:rsidR="005B6E65" w:rsidRPr="00E07A2F" w:rsidRDefault="005B6E65" w:rsidP="009B0EE1">
            <w:pPr>
              <w:spacing w:line="276" w:lineRule="auto"/>
              <w:ind w:left="34"/>
              <w:jc w:val="both"/>
              <w:rPr>
                <w:rFonts w:ascii="Times New Roman" w:hAnsi="Times New Roman"/>
                <w:szCs w:val="24"/>
              </w:rPr>
            </w:pPr>
            <w:r w:rsidRPr="00E07A2F">
              <w:rPr>
                <w:rFonts w:ascii="Times New Roman" w:hAnsi="Times New Roman"/>
                <w:szCs w:val="24"/>
              </w:rPr>
              <w:t>Sutarties nuostolingumas (proc.) skai</w:t>
            </w:r>
            <w:r w:rsidRPr="00E07A2F">
              <w:rPr>
                <w:rFonts w:ascii="Times New Roman" w:hAnsi="Times New Roman" w:hint="eastAsia"/>
                <w:szCs w:val="24"/>
              </w:rPr>
              <w:t>č</w:t>
            </w:r>
            <w:r w:rsidRPr="00E07A2F">
              <w:rPr>
                <w:rFonts w:ascii="Times New Roman" w:hAnsi="Times New Roman"/>
                <w:szCs w:val="24"/>
              </w:rPr>
              <w:t>iuojamas kaip faktiškai PGF</w:t>
            </w:r>
            <w:r w:rsidR="00E165EF" w:rsidRPr="00E07A2F">
              <w:rPr>
                <w:rFonts w:ascii="Times New Roman" w:hAnsi="Times New Roman"/>
                <w:szCs w:val="24"/>
              </w:rPr>
              <w:t>2</w:t>
            </w:r>
            <w:r w:rsidRPr="00E07A2F">
              <w:rPr>
                <w:rFonts w:ascii="Times New Roman" w:hAnsi="Times New Roman"/>
                <w:szCs w:val="24"/>
              </w:rPr>
              <w:t xml:space="preserve"> priemon</w:t>
            </w:r>
            <w:r w:rsidRPr="00E07A2F">
              <w:rPr>
                <w:rFonts w:ascii="Times New Roman" w:hAnsi="Times New Roman" w:hint="eastAsia"/>
                <w:szCs w:val="24"/>
              </w:rPr>
              <w:t>ė</w:t>
            </w:r>
            <w:r w:rsidRPr="00E07A2F">
              <w:rPr>
                <w:rFonts w:ascii="Times New Roman" w:hAnsi="Times New Roman"/>
                <w:szCs w:val="24"/>
              </w:rPr>
              <w:t xml:space="preserve">s valdytojui </w:t>
            </w:r>
            <w:r w:rsidR="00CF5C56" w:rsidRPr="00E07A2F">
              <w:rPr>
                <w:rFonts w:ascii="Times New Roman" w:hAnsi="Times New Roman"/>
                <w:szCs w:val="24"/>
              </w:rPr>
              <w:t>sumok</w:t>
            </w:r>
            <w:r w:rsidR="00CF5C56" w:rsidRPr="00E07A2F">
              <w:rPr>
                <w:rFonts w:ascii="Times New Roman" w:hAnsi="Times New Roman" w:hint="eastAsia"/>
                <w:szCs w:val="24"/>
              </w:rPr>
              <w:t>ė</w:t>
            </w:r>
            <w:r w:rsidR="00CF5C56" w:rsidRPr="00E07A2F">
              <w:rPr>
                <w:rFonts w:ascii="Times New Roman" w:hAnsi="Times New Roman"/>
                <w:szCs w:val="24"/>
              </w:rPr>
              <w:t>t</w:t>
            </w:r>
            <w:r w:rsidR="00CF5C56" w:rsidRPr="00E07A2F">
              <w:rPr>
                <w:rFonts w:ascii="Times New Roman" w:hAnsi="Times New Roman" w:hint="eastAsia"/>
                <w:szCs w:val="24"/>
              </w:rPr>
              <w:t>ų</w:t>
            </w:r>
            <w:r w:rsidR="00CF5C56" w:rsidRPr="00E07A2F">
              <w:rPr>
                <w:rFonts w:ascii="Times New Roman" w:hAnsi="Times New Roman"/>
                <w:szCs w:val="24"/>
              </w:rPr>
              <w:t xml:space="preserve"> </w:t>
            </w:r>
            <w:r w:rsidR="00244407" w:rsidRPr="00E07A2F">
              <w:rPr>
                <w:rFonts w:ascii="Times New Roman" w:hAnsi="Times New Roman"/>
                <w:szCs w:val="24"/>
              </w:rPr>
              <w:t>I</w:t>
            </w:r>
            <w:r w:rsidR="00CF5C56" w:rsidRPr="00E07A2F">
              <w:rPr>
                <w:rFonts w:ascii="Times New Roman" w:hAnsi="Times New Roman"/>
                <w:szCs w:val="24"/>
              </w:rPr>
              <w:t>šmok</w:t>
            </w:r>
            <w:r w:rsidR="00CF5C56" w:rsidRPr="00E07A2F">
              <w:rPr>
                <w:rFonts w:ascii="Times New Roman" w:hAnsi="Times New Roman" w:hint="eastAsia"/>
                <w:szCs w:val="24"/>
              </w:rPr>
              <w:t>ų</w:t>
            </w:r>
            <w:r w:rsidR="00CF5C56" w:rsidRPr="00E07A2F">
              <w:rPr>
                <w:rFonts w:ascii="Times New Roman" w:hAnsi="Times New Roman"/>
                <w:szCs w:val="24"/>
              </w:rPr>
              <w:t xml:space="preserve"> sumos </w:t>
            </w:r>
            <w:r w:rsidRPr="00E07A2F">
              <w:rPr>
                <w:rFonts w:ascii="Times New Roman" w:hAnsi="Times New Roman"/>
                <w:szCs w:val="24"/>
              </w:rPr>
              <w:t xml:space="preserve">ir </w:t>
            </w:r>
            <w:r w:rsidRPr="00E07A2F">
              <w:rPr>
                <w:rFonts w:ascii="Times New Roman" w:hAnsi="Times New Roman" w:hint="eastAsia"/>
                <w:szCs w:val="24"/>
              </w:rPr>
              <w:t>į</w:t>
            </w:r>
            <w:r w:rsidRPr="00E07A2F">
              <w:rPr>
                <w:rFonts w:ascii="Times New Roman" w:hAnsi="Times New Roman"/>
                <w:szCs w:val="24"/>
              </w:rPr>
              <w:t xml:space="preserve"> Portfel</w:t>
            </w:r>
            <w:r w:rsidRPr="00E07A2F">
              <w:rPr>
                <w:rFonts w:ascii="Times New Roman" w:hAnsi="Times New Roman" w:hint="eastAsia"/>
                <w:szCs w:val="24"/>
              </w:rPr>
              <w:t>į</w:t>
            </w:r>
            <w:r w:rsidRPr="00E07A2F">
              <w:rPr>
                <w:rFonts w:ascii="Times New Roman" w:hAnsi="Times New Roman"/>
                <w:szCs w:val="24"/>
              </w:rPr>
              <w:t xml:space="preserve"> faktiškai </w:t>
            </w:r>
            <w:r w:rsidRPr="00E07A2F">
              <w:rPr>
                <w:rFonts w:ascii="Times New Roman" w:hAnsi="Times New Roman" w:hint="eastAsia"/>
                <w:szCs w:val="24"/>
              </w:rPr>
              <w:t>į</w:t>
            </w:r>
            <w:r w:rsidRPr="00E07A2F">
              <w:rPr>
                <w:rFonts w:ascii="Times New Roman" w:hAnsi="Times New Roman"/>
                <w:szCs w:val="24"/>
              </w:rPr>
              <w:t>traukt</w:t>
            </w:r>
            <w:r w:rsidRPr="00E07A2F">
              <w:rPr>
                <w:rFonts w:ascii="Times New Roman" w:hAnsi="Times New Roman" w:hint="eastAsia"/>
                <w:szCs w:val="24"/>
              </w:rPr>
              <w:t>ų</w:t>
            </w:r>
            <w:r w:rsidRPr="00E07A2F">
              <w:rPr>
                <w:rFonts w:ascii="Times New Roman" w:hAnsi="Times New Roman"/>
                <w:szCs w:val="24"/>
              </w:rPr>
              <w:t xml:space="preserve"> Faktoringo sandori</w:t>
            </w:r>
            <w:r w:rsidRPr="00E07A2F">
              <w:rPr>
                <w:rFonts w:ascii="Times New Roman" w:hAnsi="Times New Roman" w:hint="eastAsia"/>
                <w:szCs w:val="24"/>
              </w:rPr>
              <w:t>ų</w:t>
            </w:r>
            <w:r w:rsidRPr="00E07A2F">
              <w:rPr>
                <w:rFonts w:ascii="Times New Roman" w:hAnsi="Times New Roman"/>
                <w:szCs w:val="24"/>
              </w:rPr>
              <w:t xml:space="preserve"> išmok</w:t>
            </w:r>
            <w:r w:rsidRPr="00E07A2F">
              <w:rPr>
                <w:rFonts w:ascii="Times New Roman" w:hAnsi="Times New Roman" w:hint="eastAsia"/>
                <w:szCs w:val="24"/>
              </w:rPr>
              <w:t>ė</w:t>
            </w:r>
            <w:r w:rsidRPr="00E07A2F">
              <w:rPr>
                <w:rFonts w:ascii="Times New Roman" w:hAnsi="Times New Roman"/>
                <w:szCs w:val="24"/>
              </w:rPr>
              <w:t>tos Faktoringo avans</w:t>
            </w:r>
            <w:r w:rsidRPr="00E07A2F">
              <w:rPr>
                <w:rFonts w:ascii="Times New Roman" w:hAnsi="Times New Roman" w:hint="eastAsia"/>
                <w:szCs w:val="24"/>
              </w:rPr>
              <w:t>ų</w:t>
            </w:r>
            <w:r w:rsidRPr="00E07A2F">
              <w:rPr>
                <w:rFonts w:ascii="Times New Roman" w:hAnsi="Times New Roman"/>
                <w:szCs w:val="24"/>
              </w:rPr>
              <w:t xml:space="preserve"> MV</w:t>
            </w:r>
            <w:r w:rsidRPr="00E07A2F">
              <w:rPr>
                <w:rFonts w:ascii="Times New Roman" w:hAnsi="Times New Roman" w:hint="eastAsia"/>
                <w:szCs w:val="24"/>
              </w:rPr>
              <w:t>Į</w:t>
            </w:r>
            <w:r w:rsidRPr="00E07A2F">
              <w:rPr>
                <w:rFonts w:ascii="Times New Roman" w:hAnsi="Times New Roman"/>
                <w:szCs w:val="24"/>
              </w:rPr>
              <w:t xml:space="preserve"> sumos, neviršijan</w:t>
            </w:r>
            <w:r w:rsidRPr="00E07A2F">
              <w:rPr>
                <w:rFonts w:ascii="Times New Roman" w:hAnsi="Times New Roman" w:hint="eastAsia"/>
                <w:szCs w:val="24"/>
              </w:rPr>
              <w:t>č</w:t>
            </w:r>
            <w:r w:rsidRPr="00E07A2F">
              <w:rPr>
                <w:rFonts w:ascii="Times New Roman" w:hAnsi="Times New Roman"/>
                <w:szCs w:val="24"/>
              </w:rPr>
              <w:t>ios Faktoringo limito, santykis padaugintas iš 100 proc.</w:t>
            </w:r>
          </w:p>
          <w:p w14:paraId="1D5F0452" w14:textId="77777777" w:rsidR="005B6E65" w:rsidRPr="00E07A2F" w:rsidRDefault="005B6E65" w:rsidP="009B0EE1">
            <w:pPr>
              <w:spacing w:line="276" w:lineRule="auto"/>
              <w:ind w:left="34"/>
              <w:jc w:val="both"/>
              <w:rPr>
                <w:rFonts w:ascii="Times New Roman" w:hAnsi="Times New Roman"/>
                <w:szCs w:val="24"/>
              </w:rPr>
            </w:pPr>
            <w:r w:rsidRPr="00E07A2F">
              <w:rPr>
                <w:rFonts w:ascii="Times New Roman" w:hAnsi="Times New Roman"/>
                <w:szCs w:val="24"/>
              </w:rPr>
              <w:lastRenderedPageBreak/>
              <w:t>Sutarties nuostolingumas (proc.) apskai</w:t>
            </w:r>
            <w:r w:rsidRPr="00E07A2F">
              <w:rPr>
                <w:rFonts w:ascii="Times New Roman" w:hAnsi="Times New Roman" w:hint="eastAsia"/>
                <w:szCs w:val="24"/>
              </w:rPr>
              <w:t>č</w:t>
            </w:r>
            <w:r w:rsidRPr="00E07A2F">
              <w:rPr>
                <w:rFonts w:ascii="Times New Roman" w:hAnsi="Times New Roman"/>
                <w:szCs w:val="24"/>
              </w:rPr>
              <w:t>iuojamas naudojant formul</w:t>
            </w:r>
            <w:r w:rsidRPr="00E07A2F">
              <w:rPr>
                <w:rFonts w:ascii="Times New Roman" w:hAnsi="Times New Roman" w:hint="eastAsia"/>
                <w:szCs w:val="24"/>
              </w:rPr>
              <w:t>ę</w:t>
            </w:r>
            <w:r w:rsidRPr="00E07A2F">
              <w:rPr>
                <w:rFonts w:ascii="Times New Roman" w:hAnsi="Times New Roman"/>
                <w:szCs w:val="24"/>
              </w:rPr>
              <w:t>:</w:t>
            </w:r>
          </w:p>
          <w:p w14:paraId="613587F7" w14:textId="77777777" w:rsidR="005B6E65" w:rsidRPr="00E07A2F" w:rsidRDefault="005B6E65" w:rsidP="009B0EE1">
            <w:pPr>
              <w:spacing w:line="276" w:lineRule="auto"/>
              <w:ind w:left="34"/>
              <w:jc w:val="both"/>
              <w:rPr>
                <w:rFonts w:ascii="Times New Roman" w:hAnsi="Times New Roman"/>
                <w:szCs w:val="24"/>
              </w:rPr>
            </w:pPr>
            <w:r w:rsidRPr="00E07A2F">
              <w:rPr>
                <w:rFonts w:ascii="Times New Roman" w:hAnsi="Times New Roman"/>
                <w:szCs w:val="24"/>
              </w:rPr>
              <w:t>N = IF / AF x 100 proc.,</w:t>
            </w:r>
          </w:p>
          <w:p w14:paraId="5DAE0830" w14:textId="77777777" w:rsidR="005B6E65" w:rsidRPr="00E07A2F" w:rsidRDefault="005B6E65" w:rsidP="009B0EE1">
            <w:pPr>
              <w:spacing w:line="276" w:lineRule="auto"/>
              <w:ind w:left="34"/>
              <w:jc w:val="both"/>
              <w:rPr>
                <w:rFonts w:ascii="Times New Roman" w:hAnsi="Times New Roman"/>
                <w:szCs w:val="24"/>
              </w:rPr>
            </w:pPr>
            <w:r w:rsidRPr="00E07A2F">
              <w:rPr>
                <w:rFonts w:ascii="Times New Roman" w:hAnsi="Times New Roman"/>
                <w:szCs w:val="24"/>
              </w:rPr>
              <w:t>kur:</w:t>
            </w:r>
          </w:p>
          <w:p w14:paraId="787D0422" w14:textId="77777777" w:rsidR="005B6E65" w:rsidRPr="00E07A2F" w:rsidRDefault="005B6E65" w:rsidP="009B0EE1">
            <w:pPr>
              <w:spacing w:line="276" w:lineRule="auto"/>
              <w:ind w:left="34"/>
              <w:jc w:val="both"/>
              <w:rPr>
                <w:rFonts w:ascii="Times New Roman" w:hAnsi="Times New Roman"/>
                <w:szCs w:val="24"/>
              </w:rPr>
            </w:pPr>
            <w:r w:rsidRPr="00E07A2F">
              <w:rPr>
                <w:rFonts w:ascii="Times New Roman" w:hAnsi="Times New Roman"/>
                <w:szCs w:val="24"/>
              </w:rPr>
              <w:t>N – Sutarties nuostolingumas (proc.);</w:t>
            </w:r>
          </w:p>
          <w:p w14:paraId="6F147F5D" w14:textId="434C5538" w:rsidR="005B6E65" w:rsidRPr="00E07A2F" w:rsidRDefault="005B6E65" w:rsidP="009B0EE1">
            <w:pPr>
              <w:spacing w:line="276" w:lineRule="auto"/>
              <w:ind w:left="34"/>
              <w:jc w:val="both"/>
              <w:rPr>
                <w:rFonts w:ascii="Times New Roman" w:hAnsi="Times New Roman"/>
                <w:szCs w:val="24"/>
              </w:rPr>
            </w:pPr>
            <w:r w:rsidRPr="00E07A2F">
              <w:rPr>
                <w:rFonts w:ascii="Times New Roman" w:hAnsi="Times New Roman"/>
                <w:szCs w:val="24"/>
              </w:rPr>
              <w:t xml:space="preserve">IF – </w:t>
            </w:r>
            <w:r w:rsidR="00CF5C56" w:rsidRPr="00E07A2F">
              <w:rPr>
                <w:rFonts w:ascii="Times New Roman" w:hAnsi="Times New Roman"/>
                <w:szCs w:val="24"/>
              </w:rPr>
              <w:t xml:space="preserve">nuo Sutarties pasirašymo dienos </w:t>
            </w:r>
            <w:r w:rsidRPr="00E07A2F">
              <w:rPr>
                <w:rFonts w:ascii="Times New Roman" w:hAnsi="Times New Roman"/>
                <w:szCs w:val="24"/>
              </w:rPr>
              <w:t>PGF</w:t>
            </w:r>
            <w:r w:rsidR="0069573C" w:rsidRPr="00E07A2F">
              <w:rPr>
                <w:rFonts w:ascii="Times New Roman" w:hAnsi="Times New Roman"/>
                <w:szCs w:val="24"/>
              </w:rPr>
              <w:t>2</w:t>
            </w:r>
            <w:r w:rsidRPr="00E07A2F">
              <w:rPr>
                <w:rFonts w:ascii="Times New Roman" w:hAnsi="Times New Roman"/>
                <w:szCs w:val="24"/>
              </w:rPr>
              <w:t xml:space="preserve"> priemon</w:t>
            </w:r>
            <w:r w:rsidRPr="00E07A2F">
              <w:rPr>
                <w:rFonts w:ascii="Times New Roman" w:hAnsi="Times New Roman" w:hint="eastAsia"/>
                <w:szCs w:val="24"/>
              </w:rPr>
              <w:t>ė</w:t>
            </w:r>
            <w:r w:rsidRPr="00E07A2F">
              <w:rPr>
                <w:rFonts w:ascii="Times New Roman" w:hAnsi="Times New Roman"/>
                <w:szCs w:val="24"/>
              </w:rPr>
              <w:t xml:space="preserve">s valdytojui </w:t>
            </w:r>
            <w:r w:rsidR="00CF5C56" w:rsidRPr="00E07A2F">
              <w:rPr>
                <w:rFonts w:ascii="Times New Roman" w:hAnsi="Times New Roman"/>
                <w:szCs w:val="24"/>
              </w:rPr>
              <w:t xml:space="preserve">faktiškai </w:t>
            </w:r>
            <w:r w:rsidRPr="00E07A2F">
              <w:rPr>
                <w:rFonts w:ascii="Times New Roman" w:hAnsi="Times New Roman"/>
                <w:szCs w:val="24"/>
              </w:rPr>
              <w:t>sumok</w:t>
            </w:r>
            <w:r w:rsidRPr="00E07A2F">
              <w:rPr>
                <w:rFonts w:ascii="Times New Roman" w:hAnsi="Times New Roman" w:hint="eastAsia"/>
                <w:szCs w:val="24"/>
              </w:rPr>
              <w:t>ė</w:t>
            </w:r>
            <w:r w:rsidRPr="00E07A2F">
              <w:rPr>
                <w:rFonts w:ascii="Times New Roman" w:hAnsi="Times New Roman"/>
                <w:szCs w:val="24"/>
              </w:rPr>
              <w:t xml:space="preserve">ta </w:t>
            </w:r>
            <w:r w:rsidR="00244407" w:rsidRPr="00E07A2F">
              <w:rPr>
                <w:rFonts w:ascii="Times New Roman" w:hAnsi="Times New Roman"/>
                <w:szCs w:val="24"/>
              </w:rPr>
              <w:t>I</w:t>
            </w:r>
            <w:r w:rsidRPr="00E07A2F">
              <w:rPr>
                <w:rFonts w:ascii="Times New Roman" w:hAnsi="Times New Roman"/>
                <w:szCs w:val="24"/>
              </w:rPr>
              <w:t>šmok</w:t>
            </w:r>
            <w:r w:rsidRPr="00E07A2F">
              <w:rPr>
                <w:rFonts w:ascii="Times New Roman" w:hAnsi="Times New Roman" w:hint="eastAsia"/>
                <w:szCs w:val="24"/>
              </w:rPr>
              <w:t>ų</w:t>
            </w:r>
            <w:r w:rsidRPr="00E07A2F">
              <w:rPr>
                <w:rFonts w:ascii="Times New Roman" w:hAnsi="Times New Roman"/>
                <w:szCs w:val="24"/>
              </w:rPr>
              <w:t xml:space="preserve"> suma;</w:t>
            </w:r>
          </w:p>
          <w:p w14:paraId="6E73597A" w14:textId="41875029" w:rsidR="00E07A2F" w:rsidRPr="00E42348" w:rsidRDefault="005B6E65" w:rsidP="00985B54">
            <w:pPr>
              <w:spacing w:line="276" w:lineRule="auto"/>
              <w:ind w:left="34"/>
              <w:jc w:val="both"/>
              <w:rPr>
                <w:rFonts w:ascii="Times New Roman" w:hAnsi="Times New Roman"/>
                <w:szCs w:val="24"/>
              </w:rPr>
            </w:pPr>
            <w:r w:rsidRPr="00E07A2F">
              <w:rPr>
                <w:rFonts w:ascii="Times New Roman" w:hAnsi="Times New Roman"/>
                <w:szCs w:val="24"/>
              </w:rPr>
              <w:t xml:space="preserve">AF – </w:t>
            </w:r>
            <w:r w:rsidR="00CF5C56" w:rsidRPr="00E07A2F">
              <w:rPr>
                <w:rFonts w:ascii="Times New Roman" w:hAnsi="Times New Roman"/>
                <w:szCs w:val="24"/>
              </w:rPr>
              <w:t xml:space="preserve">nuo Sutarties pasirašymo dienos </w:t>
            </w:r>
            <w:r w:rsidRPr="00E07A2F">
              <w:rPr>
                <w:rFonts w:ascii="Times New Roman" w:hAnsi="Times New Roman"/>
                <w:szCs w:val="24"/>
              </w:rPr>
              <w:t xml:space="preserve">pagal </w:t>
            </w:r>
            <w:r w:rsidRPr="00E07A2F">
              <w:rPr>
                <w:rFonts w:ascii="Times New Roman" w:hAnsi="Times New Roman" w:hint="eastAsia"/>
                <w:szCs w:val="24"/>
              </w:rPr>
              <w:t>į</w:t>
            </w:r>
            <w:r w:rsidRPr="00E07A2F">
              <w:rPr>
                <w:rFonts w:ascii="Times New Roman" w:hAnsi="Times New Roman"/>
                <w:szCs w:val="24"/>
              </w:rPr>
              <w:t xml:space="preserve"> Portfel</w:t>
            </w:r>
            <w:r w:rsidRPr="00E07A2F">
              <w:rPr>
                <w:rFonts w:ascii="Times New Roman" w:hAnsi="Times New Roman" w:hint="eastAsia"/>
                <w:szCs w:val="24"/>
              </w:rPr>
              <w:t>į</w:t>
            </w:r>
            <w:r w:rsidRPr="00E07A2F">
              <w:rPr>
                <w:rFonts w:ascii="Times New Roman" w:hAnsi="Times New Roman"/>
                <w:szCs w:val="24"/>
              </w:rPr>
              <w:t xml:space="preserve"> faktiškai </w:t>
            </w:r>
            <w:r w:rsidRPr="00E07A2F">
              <w:rPr>
                <w:rFonts w:ascii="Times New Roman" w:hAnsi="Times New Roman" w:hint="eastAsia"/>
                <w:szCs w:val="24"/>
              </w:rPr>
              <w:t>į</w:t>
            </w:r>
            <w:r w:rsidRPr="00E07A2F">
              <w:rPr>
                <w:rFonts w:ascii="Times New Roman" w:hAnsi="Times New Roman"/>
                <w:szCs w:val="24"/>
              </w:rPr>
              <w:t>trauktus Faktoringo sandorius išmok</w:t>
            </w:r>
            <w:r w:rsidRPr="00E07A2F">
              <w:rPr>
                <w:rFonts w:ascii="Times New Roman" w:hAnsi="Times New Roman" w:hint="eastAsia"/>
                <w:szCs w:val="24"/>
              </w:rPr>
              <w:t>ė</w:t>
            </w:r>
            <w:r w:rsidRPr="00E07A2F">
              <w:rPr>
                <w:rFonts w:ascii="Times New Roman" w:hAnsi="Times New Roman"/>
                <w:szCs w:val="24"/>
              </w:rPr>
              <w:t>ta Faktoringo avans</w:t>
            </w:r>
            <w:r w:rsidRPr="00E07A2F">
              <w:rPr>
                <w:rFonts w:ascii="Times New Roman" w:hAnsi="Times New Roman" w:hint="eastAsia"/>
                <w:szCs w:val="24"/>
              </w:rPr>
              <w:t>ų</w:t>
            </w:r>
            <w:r w:rsidRPr="00E07A2F">
              <w:rPr>
                <w:rFonts w:ascii="Times New Roman" w:hAnsi="Times New Roman"/>
                <w:szCs w:val="24"/>
              </w:rPr>
              <w:t xml:space="preserve"> MV</w:t>
            </w:r>
            <w:r w:rsidRPr="00E07A2F">
              <w:rPr>
                <w:rFonts w:ascii="Times New Roman" w:hAnsi="Times New Roman" w:hint="eastAsia"/>
                <w:szCs w:val="24"/>
              </w:rPr>
              <w:t>Į</w:t>
            </w:r>
            <w:r w:rsidRPr="00E07A2F">
              <w:rPr>
                <w:rFonts w:ascii="Times New Roman" w:hAnsi="Times New Roman"/>
                <w:szCs w:val="24"/>
              </w:rPr>
              <w:t xml:space="preserve"> suma, neviršijanti Faktoringo limito</w:t>
            </w:r>
            <w:r w:rsidR="00E07A2F" w:rsidRPr="00E07A2F">
              <w:rPr>
                <w:rFonts w:ascii="Times New Roman" w:hAnsi="Times New Roman"/>
                <w:szCs w:val="24"/>
              </w:rPr>
              <w:t>.</w:t>
            </w:r>
          </w:p>
        </w:tc>
      </w:tr>
      <w:tr w:rsidR="007F2A2A" w:rsidRPr="00C33AC8" w14:paraId="1633FCC4"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5E521F04" w14:textId="77777777" w:rsidR="004842F8" w:rsidRPr="0093420A" w:rsidRDefault="004842F8"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0F7CD132" w14:textId="77777777" w:rsidR="004842F8" w:rsidRPr="0093420A" w:rsidRDefault="004842F8" w:rsidP="009B0EE1">
            <w:pPr>
              <w:spacing w:line="276" w:lineRule="auto"/>
              <w:rPr>
                <w:rFonts w:ascii="Times New Roman" w:hAnsi="Times New Roman"/>
                <w:b/>
                <w:szCs w:val="24"/>
              </w:rPr>
            </w:pPr>
            <w:r w:rsidRPr="0093420A">
              <w:rPr>
                <w:rFonts w:ascii="Times New Roman" w:hAnsi="Times New Roman"/>
                <w:b/>
                <w:szCs w:val="24"/>
              </w:rPr>
              <w:t>Sutarties pasibaigimo data</w:t>
            </w:r>
          </w:p>
        </w:tc>
        <w:tc>
          <w:tcPr>
            <w:tcW w:w="6096" w:type="dxa"/>
            <w:tcBorders>
              <w:top w:val="single" w:sz="4" w:space="0" w:color="auto"/>
              <w:left w:val="single" w:sz="4" w:space="0" w:color="auto"/>
              <w:bottom w:val="single" w:sz="4" w:space="0" w:color="auto"/>
              <w:right w:val="single" w:sz="4" w:space="0" w:color="auto"/>
            </w:tcBorders>
          </w:tcPr>
          <w:p w14:paraId="42721E7D" w14:textId="7B609031" w:rsidR="004842F8" w:rsidRPr="0093420A" w:rsidRDefault="004842F8" w:rsidP="009B0EE1">
            <w:pPr>
              <w:spacing w:line="276" w:lineRule="auto"/>
              <w:ind w:left="34"/>
              <w:jc w:val="both"/>
              <w:rPr>
                <w:rFonts w:ascii="Times New Roman" w:hAnsi="Times New Roman"/>
                <w:szCs w:val="24"/>
              </w:rPr>
            </w:pPr>
            <w:r w:rsidRPr="0093420A">
              <w:rPr>
                <w:rFonts w:ascii="Times New Roman" w:hAnsi="Times New Roman"/>
                <w:szCs w:val="24"/>
              </w:rPr>
              <w:t>Ankstesnė iš šių datų:</w:t>
            </w:r>
          </w:p>
          <w:p w14:paraId="75DCDBDB" w14:textId="57523AD7" w:rsidR="004842F8" w:rsidRPr="0093420A" w:rsidRDefault="004842F8" w:rsidP="009B0EE1">
            <w:pPr>
              <w:spacing w:line="276" w:lineRule="auto"/>
              <w:jc w:val="both"/>
              <w:rPr>
                <w:rFonts w:ascii="Times New Roman" w:hAnsi="Times New Roman"/>
                <w:szCs w:val="24"/>
              </w:rPr>
            </w:pPr>
            <w:r w:rsidRPr="0093420A">
              <w:rPr>
                <w:rFonts w:ascii="Times New Roman" w:hAnsi="Times New Roman"/>
                <w:szCs w:val="24"/>
              </w:rPr>
              <w:t xml:space="preserve">1) </w:t>
            </w:r>
            <w:r w:rsidR="00082D12" w:rsidRPr="0093420A">
              <w:rPr>
                <w:rFonts w:ascii="Times New Roman" w:hAnsi="Times New Roman"/>
                <w:szCs w:val="24"/>
              </w:rPr>
              <w:t>3 (t</w:t>
            </w:r>
            <w:r w:rsidRPr="0093420A">
              <w:rPr>
                <w:rFonts w:ascii="Times New Roman" w:hAnsi="Times New Roman"/>
                <w:szCs w:val="24"/>
              </w:rPr>
              <w:t>reji</w:t>
            </w:r>
            <w:r w:rsidR="00082D12" w:rsidRPr="0093420A">
              <w:rPr>
                <w:rFonts w:ascii="Times New Roman" w:hAnsi="Times New Roman"/>
                <w:szCs w:val="24"/>
              </w:rPr>
              <w:t>)</w:t>
            </w:r>
            <w:r w:rsidRPr="0093420A">
              <w:rPr>
                <w:rFonts w:ascii="Times New Roman" w:hAnsi="Times New Roman"/>
                <w:szCs w:val="24"/>
              </w:rPr>
              <w:t xml:space="preserve"> metai po </w:t>
            </w:r>
            <w:r w:rsidR="00F21757" w:rsidRPr="0093420A">
              <w:rPr>
                <w:rFonts w:ascii="Times New Roman" w:hAnsi="Times New Roman"/>
                <w:szCs w:val="24"/>
              </w:rPr>
              <w:t>Faktoringo sandorio</w:t>
            </w:r>
            <w:r w:rsidR="00CE4A52" w:rsidRPr="0093420A">
              <w:rPr>
                <w:rFonts w:ascii="Times New Roman" w:hAnsi="Times New Roman"/>
                <w:szCs w:val="24"/>
              </w:rPr>
              <w:t xml:space="preserve">, kurio terminas yra ilgiausias iš visų į Portfelį įtrauktų </w:t>
            </w:r>
            <w:r w:rsidR="00150163" w:rsidRPr="0093420A">
              <w:rPr>
                <w:rFonts w:ascii="Times New Roman" w:hAnsi="Times New Roman"/>
                <w:szCs w:val="24"/>
              </w:rPr>
              <w:t>Faktoringo sandorių</w:t>
            </w:r>
            <w:r w:rsidR="00CE4A52" w:rsidRPr="0093420A">
              <w:rPr>
                <w:rFonts w:ascii="Times New Roman" w:hAnsi="Times New Roman"/>
                <w:szCs w:val="24"/>
              </w:rPr>
              <w:t>,</w:t>
            </w:r>
            <w:r w:rsidRPr="0093420A">
              <w:rPr>
                <w:rFonts w:ascii="Times New Roman" w:hAnsi="Times New Roman"/>
                <w:szCs w:val="24"/>
              </w:rPr>
              <w:t xml:space="preserve"> termino pabaigos</w:t>
            </w:r>
            <w:r w:rsidR="00082D12" w:rsidRPr="0093420A">
              <w:rPr>
                <w:rFonts w:ascii="Times New Roman" w:hAnsi="Times New Roman"/>
                <w:szCs w:val="24"/>
              </w:rPr>
              <w:t>;</w:t>
            </w:r>
            <w:r w:rsidRPr="0093420A">
              <w:rPr>
                <w:rFonts w:ascii="Times New Roman" w:hAnsi="Times New Roman"/>
                <w:szCs w:val="24"/>
              </w:rPr>
              <w:t xml:space="preserve"> arba</w:t>
            </w:r>
          </w:p>
          <w:p w14:paraId="4311A000" w14:textId="1701B72F" w:rsidR="004842F8" w:rsidRPr="0093420A" w:rsidRDefault="00082D12" w:rsidP="000246FF">
            <w:pPr>
              <w:keepNext/>
              <w:spacing w:line="276" w:lineRule="auto"/>
              <w:contextualSpacing/>
              <w:jc w:val="both"/>
              <w:rPr>
                <w:rFonts w:ascii="Times New Roman" w:hAnsi="Times New Roman"/>
                <w:szCs w:val="24"/>
              </w:rPr>
            </w:pPr>
            <w:r w:rsidRPr="0093420A">
              <w:rPr>
                <w:rFonts w:ascii="Times New Roman" w:hAnsi="Times New Roman"/>
                <w:szCs w:val="24"/>
              </w:rPr>
              <w:t xml:space="preserve">2) </w:t>
            </w:r>
            <w:r w:rsidR="004842F8" w:rsidRPr="0093420A">
              <w:rPr>
                <w:rFonts w:ascii="Times New Roman" w:hAnsi="Times New Roman"/>
                <w:szCs w:val="24"/>
              </w:rPr>
              <w:t xml:space="preserve">data, kada nebėra </w:t>
            </w:r>
            <w:r w:rsidR="00C51F33" w:rsidRPr="0093420A">
              <w:rPr>
                <w:rFonts w:ascii="Times New Roman" w:hAnsi="Times New Roman"/>
                <w:szCs w:val="24"/>
              </w:rPr>
              <w:t>PGF</w:t>
            </w:r>
            <w:r w:rsidR="00587F9D">
              <w:rPr>
                <w:rFonts w:ascii="Times New Roman" w:hAnsi="Times New Roman"/>
                <w:szCs w:val="24"/>
              </w:rPr>
              <w:t>2</w:t>
            </w:r>
            <w:r w:rsidR="004842F8" w:rsidRPr="0093420A">
              <w:rPr>
                <w:rFonts w:ascii="Times New Roman" w:hAnsi="Times New Roman"/>
                <w:szCs w:val="24"/>
              </w:rPr>
              <w:t xml:space="preserve"> priemonės valdytojo gautinų sumų, susijusių su </w:t>
            </w:r>
            <w:r w:rsidR="00C51F33" w:rsidRPr="0093420A">
              <w:rPr>
                <w:rFonts w:ascii="Times New Roman" w:hAnsi="Times New Roman"/>
                <w:szCs w:val="24"/>
              </w:rPr>
              <w:t>PGF</w:t>
            </w:r>
            <w:r w:rsidR="00587F9D">
              <w:rPr>
                <w:rFonts w:ascii="Times New Roman" w:hAnsi="Times New Roman"/>
                <w:szCs w:val="24"/>
              </w:rPr>
              <w:t>2</w:t>
            </w:r>
            <w:r w:rsidR="004842F8" w:rsidRPr="0093420A">
              <w:rPr>
                <w:rFonts w:ascii="Times New Roman" w:hAnsi="Times New Roman"/>
                <w:szCs w:val="24"/>
              </w:rPr>
              <w:t xml:space="preserve"> priemone, bet kuriuo atveju atsižvelgiant į tai, kad galutinis Sutarties galiojimo terminas yra nurodytas Sutarties </w:t>
            </w:r>
            <w:r w:rsidR="00EE11E6" w:rsidRPr="0093420A">
              <w:rPr>
                <w:rFonts w:ascii="Times New Roman" w:hAnsi="Times New Roman"/>
                <w:szCs w:val="24"/>
              </w:rPr>
              <w:t xml:space="preserve">1 </w:t>
            </w:r>
            <w:r w:rsidR="004842F8" w:rsidRPr="0093420A">
              <w:rPr>
                <w:rFonts w:ascii="Times New Roman" w:hAnsi="Times New Roman"/>
                <w:szCs w:val="24"/>
              </w:rPr>
              <w:t>priede</w:t>
            </w:r>
            <w:r w:rsidR="00587F9D">
              <w:rPr>
                <w:rFonts w:ascii="Times New Roman" w:hAnsi="Times New Roman"/>
                <w:szCs w:val="24"/>
              </w:rPr>
              <w:t>.</w:t>
            </w:r>
            <w:r w:rsidR="00F36BBC" w:rsidRPr="0093420A">
              <w:rPr>
                <w:rFonts w:ascii="Times New Roman" w:hAnsi="Times New Roman"/>
                <w:szCs w:val="24"/>
              </w:rPr>
              <w:t xml:space="preserve"> </w:t>
            </w:r>
          </w:p>
        </w:tc>
      </w:tr>
      <w:tr w:rsidR="007F2A2A" w:rsidRPr="00C33AC8" w14:paraId="74193880"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10B00633" w14:textId="12188A91" w:rsidR="007E50C1" w:rsidRPr="00943E30" w:rsidRDefault="007E50C1"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4BEA88DA" w14:textId="4A2F94F0" w:rsidR="007E50C1" w:rsidRPr="00943E30" w:rsidRDefault="007E50C1" w:rsidP="009B0EE1">
            <w:pPr>
              <w:spacing w:line="276" w:lineRule="auto"/>
              <w:rPr>
                <w:rFonts w:ascii="Times New Roman" w:hAnsi="Times New Roman"/>
                <w:b/>
                <w:szCs w:val="24"/>
              </w:rPr>
            </w:pPr>
            <w:r w:rsidRPr="00943E30">
              <w:rPr>
                <w:rFonts w:ascii="Times New Roman" w:hAnsi="Times New Roman"/>
                <w:b/>
                <w:szCs w:val="24"/>
              </w:rPr>
              <w:t>Suteiktos valstybės pagalbos registras</w:t>
            </w:r>
          </w:p>
        </w:tc>
        <w:tc>
          <w:tcPr>
            <w:tcW w:w="6096" w:type="dxa"/>
            <w:tcBorders>
              <w:top w:val="single" w:sz="4" w:space="0" w:color="auto"/>
              <w:left w:val="single" w:sz="4" w:space="0" w:color="auto"/>
              <w:bottom w:val="single" w:sz="4" w:space="0" w:color="auto"/>
              <w:right w:val="single" w:sz="4" w:space="0" w:color="auto"/>
            </w:tcBorders>
          </w:tcPr>
          <w:p w14:paraId="7F90E11E" w14:textId="5EC8F33F" w:rsidR="007E50C1" w:rsidRPr="00943E30" w:rsidRDefault="007E50C1" w:rsidP="009B0EE1">
            <w:pPr>
              <w:spacing w:line="276" w:lineRule="auto"/>
              <w:ind w:left="34"/>
              <w:jc w:val="both"/>
              <w:rPr>
                <w:rFonts w:ascii="Times New Roman" w:hAnsi="Times New Roman"/>
                <w:szCs w:val="24"/>
              </w:rPr>
            </w:pPr>
            <w:r w:rsidRPr="00943E30">
              <w:rPr>
                <w:rFonts w:ascii="Times New Roman" w:hAnsi="Times New Roman"/>
                <w:szCs w:val="24"/>
              </w:rPr>
              <w:t>Suteiktos valstybės pagalbos ir nereikšmingos (</w:t>
            </w:r>
            <w:r w:rsidRPr="00943E30">
              <w:rPr>
                <w:rFonts w:ascii="Times New Roman" w:hAnsi="Times New Roman"/>
                <w:i/>
                <w:szCs w:val="24"/>
              </w:rPr>
              <w:t>de minimis</w:t>
            </w:r>
            <w:r w:rsidRPr="00943E30">
              <w:rPr>
                <w:rFonts w:ascii="Times New Roman" w:hAnsi="Times New Roman"/>
                <w:szCs w:val="24"/>
              </w:rPr>
              <w:t>) pagalbos registras, kuris veikia vadovaujantis Lietuvos Respublikos Vyriausybės 2005 m. sausio 19 d. nutarimu Nr.</w:t>
            </w:r>
            <w:r w:rsidR="00F5033C" w:rsidRPr="00943E30">
              <w:rPr>
                <w:rFonts w:ascii="Times New Roman" w:hAnsi="Times New Roman"/>
                <w:szCs w:val="24"/>
              </w:rPr>
              <w:t> </w:t>
            </w:r>
            <w:r w:rsidRPr="00943E30">
              <w:rPr>
                <w:rFonts w:ascii="Times New Roman" w:hAnsi="Times New Roman"/>
                <w:szCs w:val="24"/>
              </w:rPr>
              <w:t xml:space="preserve"> 35 „Dėl suteiktos valstybės pagalbos ir nereikšmingos (</w:t>
            </w:r>
            <w:r w:rsidRPr="00943E30">
              <w:rPr>
                <w:rFonts w:ascii="Times New Roman" w:hAnsi="Times New Roman"/>
                <w:i/>
                <w:szCs w:val="24"/>
              </w:rPr>
              <w:t>de minimis</w:t>
            </w:r>
            <w:r w:rsidRPr="00943E30">
              <w:rPr>
                <w:rFonts w:ascii="Times New Roman" w:hAnsi="Times New Roman"/>
                <w:szCs w:val="24"/>
              </w:rPr>
              <w:t>) pagalbos registro nuostatų patvirtinimo“ patvirtintais Suteiktos valstybės pagalbos ir nereikšmingos (</w:t>
            </w:r>
            <w:r w:rsidRPr="00943E30">
              <w:rPr>
                <w:rFonts w:ascii="Times New Roman" w:hAnsi="Times New Roman"/>
                <w:i/>
                <w:szCs w:val="24"/>
              </w:rPr>
              <w:t>de minimis</w:t>
            </w:r>
            <w:r w:rsidRPr="00943E30">
              <w:rPr>
                <w:rFonts w:ascii="Times New Roman" w:hAnsi="Times New Roman"/>
                <w:szCs w:val="24"/>
              </w:rPr>
              <w:t>) pagalbos registro nuostatais</w:t>
            </w:r>
            <w:r w:rsidR="00E439C7">
              <w:rPr>
                <w:rFonts w:ascii="Times New Roman" w:hAnsi="Times New Roman"/>
                <w:szCs w:val="24"/>
              </w:rPr>
              <w:t>.</w:t>
            </w:r>
          </w:p>
        </w:tc>
      </w:tr>
      <w:tr w:rsidR="007F2A2A" w:rsidRPr="00C33AC8" w14:paraId="0E515549"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1241B38C" w14:textId="77777777" w:rsidR="007E50C1" w:rsidRPr="00611493" w:rsidRDefault="007E50C1"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7D91CE22" w14:textId="5464CFDB" w:rsidR="007E50C1" w:rsidRPr="00611493" w:rsidRDefault="007E50C1" w:rsidP="009B0EE1">
            <w:pPr>
              <w:spacing w:line="276" w:lineRule="auto"/>
              <w:rPr>
                <w:rFonts w:ascii="Times New Roman" w:hAnsi="Times New Roman"/>
                <w:b/>
                <w:szCs w:val="24"/>
              </w:rPr>
            </w:pPr>
            <w:r w:rsidRPr="00611493">
              <w:rPr>
                <w:rFonts w:ascii="Times New Roman" w:hAnsi="Times New Roman"/>
                <w:b/>
                <w:szCs w:val="24"/>
              </w:rPr>
              <w:t>SVV subjekto statuso deklaracija</w:t>
            </w:r>
          </w:p>
        </w:tc>
        <w:tc>
          <w:tcPr>
            <w:tcW w:w="6096" w:type="dxa"/>
            <w:tcBorders>
              <w:top w:val="single" w:sz="4" w:space="0" w:color="auto"/>
              <w:left w:val="single" w:sz="4" w:space="0" w:color="auto"/>
              <w:bottom w:val="single" w:sz="4" w:space="0" w:color="auto"/>
              <w:right w:val="single" w:sz="4" w:space="0" w:color="auto"/>
            </w:tcBorders>
          </w:tcPr>
          <w:p w14:paraId="5D9DEB1B" w14:textId="6D761DDD" w:rsidR="007E50C1" w:rsidRPr="00611493" w:rsidRDefault="007E50C1" w:rsidP="009B0EE1">
            <w:pPr>
              <w:spacing w:line="276" w:lineRule="auto"/>
              <w:ind w:left="34"/>
              <w:jc w:val="both"/>
              <w:rPr>
                <w:rFonts w:ascii="Times New Roman" w:hAnsi="Times New Roman"/>
                <w:szCs w:val="24"/>
              </w:rPr>
            </w:pPr>
            <w:r w:rsidRPr="00611493">
              <w:rPr>
                <w:rFonts w:ascii="Times New Roman" w:hAnsi="Times New Roman"/>
                <w:szCs w:val="24"/>
              </w:rPr>
              <w:t>SVV subjekto statuso deklaracija</w:t>
            </w:r>
            <w:r w:rsidR="00F5033C" w:rsidRPr="00611493">
              <w:rPr>
                <w:rFonts w:ascii="Times New Roman" w:hAnsi="Times New Roman"/>
                <w:szCs w:val="24"/>
              </w:rPr>
              <w:t>,</w:t>
            </w:r>
            <w:r w:rsidR="004A1D06" w:rsidRPr="00611493">
              <w:rPr>
                <w:rFonts w:ascii="Times New Roman" w:hAnsi="Times New Roman"/>
                <w:szCs w:val="24"/>
              </w:rPr>
              <w:t xml:space="preserve"> </w:t>
            </w:r>
            <w:r w:rsidRPr="00611493">
              <w:rPr>
                <w:rFonts w:ascii="Times New Roman" w:hAnsi="Times New Roman"/>
                <w:szCs w:val="24"/>
              </w:rPr>
              <w:t>kurios forma ir pildymo instrukcija patvirtinta Lietuvos Respublikos ūkio ministro 2008 m. kovo 26 d. įsakymu Nr. 4-119 „Dėl smulkiojo ir vidutinio verslo subjekto statuso deklaravimo tvarkos aprašo ir smulkiojo ir vidutinio verslo subjekto statuso deklaracijos formos patvirtinimo“</w:t>
            </w:r>
            <w:r w:rsidR="004A1D06" w:rsidRPr="00611493">
              <w:rPr>
                <w:rFonts w:ascii="Times New Roman" w:hAnsi="Times New Roman"/>
                <w:szCs w:val="24"/>
              </w:rPr>
              <w:t xml:space="preserve"> (aktuali redakcija)</w:t>
            </w:r>
            <w:r w:rsidR="001B76C0">
              <w:rPr>
                <w:rFonts w:ascii="Times New Roman" w:hAnsi="Times New Roman"/>
                <w:szCs w:val="24"/>
              </w:rPr>
              <w:t>.</w:t>
            </w:r>
          </w:p>
        </w:tc>
      </w:tr>
      <w:tr w:rsidR="007F2A2A" w:rsidRPr="00C33AC8" w14:paraId="00333CEB"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637499BB" w14:textId="77777777" w:rsidR="004842F8" w:rsidRPr="000B6538" w:rsidRDefault="004842F8"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0B3A936C" w14:textId="77777777" w:rsidR="004842F8" w:rsidRPr="000B6538" w:rsidRDefault="004842F8" w:rsidP="009B0EE1">
            <w:pPr>
              <w:spacing w:line="276" w:lineRule="auto"/>
              <w:rPr>
                <w:rFonts w:ascii="Times New Roman" w:hAnsi="Times New Roman"/>
                <w:b/>
                <w:szCs w:val="24"/>
              </w:rPr>
            </w:pPr>
            <w:r w:rsidRPr="000B6538">
              <w:rPr>
                <w:rFonts w:ascii="Times New Roman" w:hAnsi="Times New Roman"/>
                <w:b/>
                <w:szCs w:val="24"/>
              </w:rPr>
              <w:t>Tinkamumo laikotarpis</w:t>
            </w:r>
          </w:p>
        </w:tc>
        <w:tc>
          <w:tcPr>
            <w:tcW w:w="6096" w:type="dxa"/>
            <w:tcBorders>
              <w:top w:val="single" w:sz="4" w:space="0" w:color="auto"/>
              <w:left w:val="single" w:sz="4" w:space="0" w:color="auto"/>
              <w:bottom w:val="single" w:sz="4" w:space="0" w:color="auto"/>
              <w:right w:val="single" w:sz="4" w:space="0" w:color="auto"/>
            </w:tcBorders>
          </w:tcPr>
          <w:p w14:paraId="47631649" w14:textId="77777777" w:rsidR="00A9049C" w:rsidRPr="000B6538" w:rsidRDefault="00A9049C" w:rsidP="00A9049C">
            <w:pPr>
              <w:spacing w:line="276" w:lineRule="auto"/>
              <w:ind w:left="34"/>
              <w:jc w:val="both"/>
              <w:rPr>
                <w:rFonts w:ascii="Times New Roman" w:hAnsi="Times New Roman"/>
                <w:szCs w:val="24"/>
              </w:rPr>
            </w:pPr>
            <w:r w:rsidRPr="000B6538">
              <w:rPr>
                <w:rFonts w:ascii="Times New Roman" w:hAnsi="Times New Roman"/>
                <w:szCs w:val="24"/>
              </w:rPr>
              <w:t>3 metai nuo Sutarties pasirašymo datos (su galimybe Tinkamumo laikotarpį pratęsti, tačiau ne ilgiau nei Reglamento Nr. 1407/2013 galiojimo laikotarpiu).</w:t>
            </w:r>
          </w:p>
          <w:p w14:paraId="72C16456" w14:textId="3F5ABFF8" w:rsidR="00A9049C" w:rsidRPr="000B6538" w:rsidRDefault="00A9049C" w:rsidP="00A9049C">
            <w:pPr>
              <w:spacing w:line="276" w:lineRule="auto"/>
              <w:ind w:left="34"/>
              <w:jc w:val="both"/>
              <w:rPr>
                <w:rFonts w:ascii="Times New Roman" w:hAnsi="Times New Roman"/>
                <w:szCs w:val="24"/>
              </w:rPr>
            </w:pPr>
            <w:r w:rsidRPr="000B6538">
              <w:rPr>
                <w:rFonts w:ascii="Times New Roman" w:hAnsi="Times New Roman"/>
                <w:szCs w:val="24"/>
              </w:rPr>
              <w:t>Per šį laikotarpį į Portfelį gali būti traukiami Tinkamumo sąlygas atitinkantys Faktoringo sandoriai.</w:t>
            </w:r>
          </w:p>
        </w:tc>
      </w:tr>
      <w:tr w:rsidR="007F2A2A" w:rsidRPr="00C33AC8" w14:paraId="22B8C1E0"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48B4B8A5" w14:textId="77777777" w:rsidR="004842F8" w:rsidRPr="00BE0642" w:rsidRDefault="004842F8"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581C7166" w14:textId="77777777" w:rsidR="004842F8" w:rsidRPr="00BE0642" w:rsidRDefault="004842F8" w:rsidP="009B0EE1">
            <w:pPr>
              <w:spacing w:line="276" w:lineRule="auto"/>
              <w:rPr>
                <w:rFonts w:ascii="Times New Roman" w:hAnsi="Times New Roman"/>
                <w:b/>
                <w:szCs w:val="24"/>
              </w:rPr>
            </w:pPr>
            <w:r w:rsidRPr="00BE0642">
              <w:rPr>
                <w:rFonts w:ascii="Times New Roman" w:hAnsi="Times New Roman"/>
                <w:b/>
                <w:szCs w:val="24"/>
              </w:rPr>
              <w:t>Tinkamumo sąlygos</w:t>
            </w:r>
          </w:p>
        </w:tc>
        <w:tc>
          <w:tcPr>
            <w:tcW w:w="6096" w:type="dxa"/>
            <w:tcBorders>
              <w:top w:val="single" w:sz="4" w:space="0" w:color="auto"/>
              <w:left w:val="single" w:sz="4" w:space="0" w:color="auto"/>
              <w:bottom w:val="single" w:sz="4" w:space="0" w:color="auto"/>
              <w:right w:val="single" w:sz="4" w:space="0" w:color="auto"/>
            </w:tcBorders>
          </w:tcPr>
          <w:p w14:paraId="67679E84" w14:textId="1D056014" w:rsidR="007B77B0" w:rsidRPr="00BE0642" w:rsidRDefault="00516448" w:rsidP="009B0EE1">
            <w:pPr>
              <w:spacing w:line="276" w:lineRule="auto"/>
              <w:ind w:left="34"/>
              <w:jc w:val="both"/>
              <w:rPr>
                <w:rFonts w:ascii="Times New Roman" w:hAnsi="Times New Roman"/>
                <w:szCs w:val="24"/>
              </w:rPr>
            </w:pPr>
            <w:r>
              <w:rPr>
                <w:rFonts w:ascii="Times New Roman" w:hAnsi="Times New Roman"/>
                <w:szCs w:val="24"/>
              </w:rPr>
              <w:t>Be kitų Aprašo 1 priede (Pagrindinės sąlygos) nurodytų reikalavimų į</w:t>
            </w:r>
            <w:r w:rsidR="00B53CE5" w:rsidRPr="00B53CE5">
              <w:rPr>
                <w:rFonts w:ascii="Times New Roman" w:hAnsi="Times New Roman"/>
                <w:szCs w:val="24"/>
              </w:rPr>
              <w:t xml:space="preserve"> Portfelį traukiami Faktoringo sandoriai</w:t>
            </w:r>
            <w:r w:rsidR="00E207C6">
              <w:rPr>
                <w:rFonts w:ascii="Times New Roman" w:hAnsi="Times New Roman"/>
                <w:szCs w:val="24"/>
              </w:rPr>
              <w:t xml:space="preserve"> turi </w:t>
            </w:r>
            <w:r w:rsidR="00B53CE5" w:rsidRPr="00B53CE5">
              <w:rPr>
                <w:rFonts w:ascii="Times New Roman" w:hAnsi="Times New Roman"/>
                <w:szCs w:val="24"/>
              </w:rPr>
              <w:t>atiti</w:t>
            </w:r>
            <w:r w:rsidR="00E207C6">
              <w:rPr>
                <w:rFonts w:ascii="Times New Roman" w:hAnsi="Times New Roman"/>
                <w:szCs w:val="24"/>
              </w:rPr>
              <w:t>kti</w:t>
            </w:r>
            <w:r w:rsidR="00B53CE5" w:rsidRPr="00B53CE5">
              <w:rPr>
                <w:rFonts w:ascii="Times New Roman" w:hAnsi="Times New Roman"/>
                <w:szCs w:val="24"/>
              </w:rPr>
              <w:t xml:space="preserve"> </w:t>
            </w:r>
            <w:r w:rsidR="00E207C6">
              <w:rPr>
                <w:rFonts w:ascii="Times New Roman" w:hAnsi="Times New Roman"/>
                <w:szCs w:val="24"/>
              </w:rPr>
              <w:t xml:space="preserve">ir </w:t>
            </w:r>
            <w:r w:rsidR="00B53CE5" w:rsidRPr="00B53CE5">
              <w:rPr>
                <w:rFonts w:ascii="Times New Roman" w:hAnsi="Times New Roman"/>
                <w:szCs w:val="24"/>
              </w:rPr>
              <w:t>šias sąlygas</w:t>
            </w:r>
            <w:r w:rsidR="007B77B0" w:rsidRPr="00BE0642">
              <w:rPr>
                <w:rFonts w:ascii="Times New Roman" w:hAnsi="Times New Roman"/>
                <w:szCs w:val="24"/>
              </w:rPr>
              <w:t>:</w:t>
            </w:r>
          </w:p>
          <w:p w14:paraId="06CEC69C" w14:textId="4F5ED0FE" w:rsidR="007B77B0" w:rsidRPr="00BE0642" w:rsidRDefault="007B77B0" w:rsidP="004C62AD">
            <w:pPr>
              <w:tabs>
                <w:tab w:val="left" w:pos="317"/>
              </w:tabs>
              <w:spacing w:line="276" w:lineRule="auto"/>
              <w:ind w:left="34"/>
              <w:jc w:val="both"/>
              <w:rPr>
                <w:rFonts w:ascii="Times New Roman" w:hAnsi="Times New Roman"/>
                <w:szCs w:val="24"/>
              </w:rPr>
            </w:pPr>
            <w:r w:rsidRPr="00BE0642">
              <w:rPr>
                <w:rFonts w:ascii="Times New Roman" w:hAnsi="Times New Roman"/>
                <w:szCs w:val="24"/>
              </w:rPr>
              <w:t>1.</w:t>
            </w:r>
            <w:r w:rsidRPr="00BE0642">
              <w:rPr>
                <w:rFonts w:ascii="Times New Roman" w:hAnsi="Times New Roman"/>
                <w:szCs w:val="24"/>
              </w:rPr>
              <w:tab/>
              <w:t>MV</w:t>
            </w:r>
            <w:r w:rsidRPr="00BE0642">
              <w:rPr>
                <w:rFonts w:ascii="Times New Roman" w:hAnsi="Times New Roman" w:hint="eastAsia"/>
                <w:szCs w:val="24"/>
              </w:rPr>
              <w:t>Į</w:t>
            </w:r>
            <w:r w:rsidRPr="00BE0642">
              <w:rPr>
                <w:rFonts w:ascii="Times New Roman" w:hAnsi="Times New Roman"/>
                <w:szCs w:val="24"/>
              </w:rPr>
              <w:t xml:space="preserve"> tinkamumo s</w:t>
            </w:r>
            <w:r w:rsidRPr="00BE0642">
              <w:rPr>
                <w:rFonts w:ascii="Times New Roman" w:hAnsi="Times New Roman" w:hint="eastAsia"/>
                <w:szCs w:val="24"/>
              </w:rPr>
              <w:t>ą</w:t>
            </w:r>
            <w:r w:rsidRPr="00BE0642">
              <w:rPr>
                <w:rFonts w:ascii="Times New Roman" w:hAnsi="Times New Roman"/>
                <w:szCs w:val="24"/>
              </w:rPr>
              <w:t>lygas</w:t>
            </w:r>
            <w:r w:rsidR="00D44652" w:rsidRPr="00BE0642">
              <w:rPr>
                <w:rFonts w:ascii="Times New Roman" w:hAnsi="Times New Roman"/>
                <w:szCs w:val="24"/>
              </w:rPr>
              <w:t>, nurodytas Sutarties 5.1 punkte</w:t>
            </w:r>
            <w:r w:rsidRPr="00BE0642">
              <w:rPr>
                <w:rFonts w:ascii="Times New Roman" w:hAnsi="Times New Roman"/>
                <w:szCs w:val="24"/>
              </w:rPr>
              <w:t>;</w:t>
            </w:r>
          </w:p>
          <w:p w14:paraId="45A5FA0E" w14:textId="061399EE" w:rsidR="007B77B0" w:rsidRPr="00BE0642" w:rsidRDefault="007B77B0" w:rsidP="004C62AD">
            <w:pPr>
              <w:tabs>
                <w:tab w:val="left" w:pos="317"/>
              </w:tabs>
              <w:spacing w:line="276" w:lineRule="auto"/>
              <w:ind w:left="34"/>
              <w:jc w:val="both"/>
              <w:rPr>
                <w:rFonts w:ascii="Times New Roman" w:hAnsi="Times New Roman"/>
                <w:szCs w:val="24"/>
              </w:rPr>
            </w:pPr>
            <w:r w:rsidRPr="00BE0642">
              <w:rPr>
                <w:rFonts w:ascii="Times New Roman" w:hAnsi="Times New Roman"/>
                <w:szCs w:val="24"/>
              </w:rPr>
              <w:t>2.</w:t>
            </w:r>
            <w:r w:rsidRPr="00BE0642">
              <w:rPr>
                <w:rFonts w:ascii="Times New Roman" w:hAnsi="Times New Roman"/>
                <w:szCs w:val="24"/>
              </w:rPr>
              <w:tab/>
              <w:t>Faktoringo sandori</w:t>
            </w:r>
            <w:r w:rsidR="0059593D">
              <w:rPr>
                <w:rFonts w:ascii="Times New Roman" w:hAnsi="Times New Roman"/>
                <w:szCs w:val="24"/>
              </w:rPr>
              <w:t>ų,</w:t>
            </w:r>
            <w:r w:rsidR="0059593D">
              <w:t xml:space="preserve"> </w:t>
            </w:r>
            <w:r w:rsidR="0059593D" w:rsidRPr="0059593D">
              <w:rPr>
                <w:rFonts w:ascii="Times New Roman" w:hAnsi="Times New Roman"/>
                <w:szCs w:val="24"/>
              </w:rPr>
              <w:t>įtraukiamų į Portfelį</w:t>
            </w:r>
            <w:r w:rsidR="0059593D">
              <w:rPr>
                <w:rFonts w:ascii="Times New Roman" w:hAnsi="Times New Roman"/>
                <w:szCs w:val="24"/>
              </w:rPr>
              <w:t>,</w:t>
            </w:r>
            <w:r w:rsidRPr="00BE0642">
              <w:rPr>
                <w:rFonts w:ascii="Times New Roman" w:hAnsi="Times New Roman"/>
                <w:szCs w:val="24"/>
              </w:rPr>
              <w:t xml:space="preserve"> tinkamumo s</w:t>
            </w:r>
            <w:r w:rsidRPr="00BE0642">
              <w:rPr>
                <w:rFonts w:ascii="Times New Roman" w:hAnsi="Times New Roman" w:hint="eastAsia"/>
                <w:szCs w:val="24"/>
              </w:rPr>
              <w:t>ą</w:t>
            </w:r>
            <w:r w:rsidRPr="00BE0642">
              <w:rPr>
                <w:rFonts w:ascii="Times New Roman" w:hAnsi="Times New Roman"/>
                <w:szCs w:val="24"/>
              </w:rPr>
              <w:t>lygas</w:t>
            </w:r>
            <w:r w:rsidR="00D44652" w:rsidRPr="00BE0642">
              <w:rPr>
                <w:rFonts w:ascii="Times New Roman" w:hAnsi="Times New Roman"/>
                <w:szCs w:val="24"/>
              </w:rPr>
              <w:t>, nurodytas Sutarties 5.2 punkte</w:t>
            </w:r>
            <w:r w:rsidRPr="00BE0642">
              <w:rPr>
                <w:rFonts w:ascii="Times New Roman" w:hAnsi="Times New Roman"/>
                <w:szCs w:val="24"/>
              </w:rPr>
              <w:t>;</w:t>
            </w:r>
          </w:p>
          <w:p w14:paraId="56374E04" w14:textId="26969084" w:rsidR="00915FBC" w:rsidRPr="00BE0642" w:rsidRDefault="007B77B0" w:rsidP="00B53CE5">
            <w:pPr>
              <w:tabs>
                <w:tab w:val="left" w:pos="317"/>
              </w:tabs>
              <w:spacing w:line="276" w:lineRule="auto"/>
              <w:ind w:left="34"/>
              <w:jc w:val="both"/>
              <w:rPr>
                <w:rFonts w:ascii="Times New Roman" w:hAnsi="Times New Roman"/>
                <w:szCs w:val="24"/>
              </w:rPr>
            </w:pPr>
            <w:r w:rsidRPr="00BE0642">
              <w:rPr>
                <w:rFonts w:ascii="Times New Roman" w:hAnsi="Times New Roman"/>
                <w:szCs w:val="24"/>
              </w:rPr>
              <w:t>3.</w:t>
            </w:r>
            <w:r w:rsidRPr="00BE0642">
              <w:rPr>
                <w:rFonts w:ascii="Times New Roman" w:hAnsi="Times New Roman"/>
                <w:szCs w:val="24"/>
              </w:rPr>
              <w:tab/>
              <w:t>Portfelio formavimo s</w:t>
            </w:r>
            <w:r w:rsidRPr="00BE0642">
              <w:rPr>
                <w:rFonts w:ascii="Times New Roman" w:hAnsi="Times New Roman" w:hint="eastAsia"/>
                <w:szCs w:val="24"/>
              </w:rPr>
              <w:t>ą</w:t>
            </w:r>
            <w:r w:rsidRPr="00BE0642">
              <w:rPr>
                <w:rFonts w:ascii="Times New Roman" w:hAnsi="Times New Roman"/>
                <w:szCs w:val="24"/>
              </w:rPr>
              <w:t>lygas</w:t>
            </w:r>
            <w:r w:rsidR="00D44652" w:rsidRPr="00BE0642">
              <w:rPr>
                <w:rFonts w:ascii="Times New Roman" w:hAnsi="Times New Roman"/>
                <w:szCs w:val="24"/>
              </w:rPr>
              <w:t>, nurodytas Sutarties IV</w:t>
            </w:r>
            <w:r w:rsidR="002614F1">
              <w:rPr>
                <w:rFonts w:ascii="Times New Roman" w:hAnsi="Times New Roman"/>
                <w:szCs w:val="24"/>
              </w:rPr>
              <w:t> </w:t>
            </w:r>
            <w:r w:rsidR="00D44652" w:rsidRPr="00BE0642">
              <w:rPr>
                <w:rFonts w:ascii="Times New Roman" w:hAnsi="Times New Roman"/>
                <w:szCs w:val="24"/>
              </w:rPr>
              <w:t xml:space="preserve"> skyriuje.</w:t>
            </w:r>
            <w:r w:rsidRPr="00BE0642">
              <w:rPr>
                <w:rFonts w:ascii="Times New Roman" w:hAnsi="Times New Roman"/>
                <w:szCs w:val="24"/>
              </w:rPr>
              <w:t xml:space="preserve"> </w:t>
            </w:r>
          </w:p>
        </w:tc>
      </w:tr>
      <w:tr w:rsidR="007F2A2A" w:rsidRPr="00C33AC8" w14:paraId="18DA8867"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24F280B9" w14:textId="0D392072" w:rsidR="004842F8" w:rsidRPr="00855656" w:rsidRDefault="004842F8" w:rsidP="009B0EE1">
            <w:pPr>
              <w:pStyle w:val="ListParagraph"/>
              <w:numPr>
                <w:ilvl w:val="0"/>
                <w:numId w:val="13"/>
              </w:numPr>
              <w:spacing w:after="0"/>
              <w:jc w:val="center"/>
              <w:rPr>
                <w:sz w:val="24"/>
                <w:szCs w:val="24"/>
                <w:lang w:val="lt-LT"/>
              </w:rPr>
            </w:pPr>
          </w:p>
        </w:tc>
        <w:tc>
          <w:tcPr>
            <w:tcW w:w="3119" w:type="dxa"/>
            <w:tcBorders>
              <w:top w:val="single" w:sz="4" w:space="0" w:color="auto"/>
              <w:left w:val="single" w:sz="4" w:space="0" w:color="auto"/>
              <w:bottom w:val="single" w:sz="4" w:space="0" w:color="auto"/>
              <w:right w:val="single" w:sz="4" w:space="0" w:color="auto"/>
            </w:tcBorders>
          </w:tcPr>
          <w:p w14:paraId="06410497" w14:textId="77777777" w:rsidR="004842F8" w:rsidRPr="00855656" w:rsidRDefault="004842F8" w:rsidP="009B0EE1">
            <w:pPr>
              <w:spacing w:line="276" w:lineRule="auto"/>
              <w:rPr>
                <w:rFonts w:ascii="Times New Roman" w:hAnsi="Times New Roman"/>
                <w:b/>
                <w:szCs w:val="24"/>
              </w:rPr>
            </w:pPr>
            <w:r w:rsidRPr="00855656">
              <w:rPr>
                <w:rFonts w:ascii="Times New Roman" w:hAnsi="Times New Roman"/>
                <w:b/>
                <w:szCs w:val="24"/>
              </w:rPr>
              <w:t>Valstybės pagalbos schema</w:t>
            </w:r>
          </w:p>
        </w:tc>
        <w:tc>
          <w:tcPr>
            <w:tcW w:w="6096" w:type="dxa"/>
            <w:tcBorders>
              <w:top w:val="single" w:sz="4" w:space="0" w:color="auto"/>
              <w:left w:val="single" w:sz="4" w:space="0" w:color="auto"/>
              <w:bottom w:val="single" w:sz="4" w:space="0" w:color="auto"/>
              <w:right w:val="single" w:sz="4" w:space="0" w:color="auto"/>
            </w:tcBorders>
          </w:tcPr>
          <w:p w14:paraId="2DFF0DB2" w14:textId="77777777" w:rsidR="002614F1" w:rsidRDefault="00823956" w:rsidP="00A21BAC">
            <w:pPr>
              <w:spacing w:line="276" w:lineRule="auto"/>
              <w:ind w:left="34"/>
              <w:jc w:val="both"/>
              <w:rPr>
                <w:rFonts w:ascii="Times New Roman" w:hAnsi="Times New Roman"/>
                <w:szCs w:val="24"/>
              </w:rPr>
            </w:pPr>
            <w:r w:rsidRPr="00823956">
              <w:rPr>
                <w:rFonts w:ascii="Times New Roman" w:hAnsi="Times New Roman"/>
                <w:szCs w:val="24"/>
              </w:rPr>
              <w:t xml:space="preserve">MVĮ finansavimas pagal garantuotus PGF2 priemonės Faktoringo sandorius yra </w:t>
            </w:r>
            <w:r w:rsidRPr="003D0B03">
              <w:rPr>
                <w:rFonts w:ascii="Times New Roman" w:hAnsi="Times New Roman"/>
                <w:i/>
                <w:iCs/>
                <w:szCs w:val="24"/>
              </w:rPr>
              <w:t>de minimis</w:t>
            </w:r>
            <w:r w:rsidRPr="00823956">
              <w:rPr>
                <w:rFonts w:ascii="Times New Roman" w:hAnsi="Times New Roman"/>
                <w:szCs w:val="24"/>
              </w:rPr>
              <w:t xml:space="preserve"> pagalba MVĮ, kuri </w:t>
            </w:r>
            <w:r w:rsidRPr="00823956">
              <w:rPr>
                <w:rFonts w:ascii="Times New Roman" w:hAnsi="Times New Roman"/>
                <w:szCs w:val="24"/>
              </w:rPr>
              <w:lastRenderedPageBreak/>
              <w:t xml:space="preserve">teikiama pagal </w:t>
            </w:r>
            <w:r w:rsidR="003D0B03" w:rsidRPr="00407616">
              <w:rPr>
                <w:rFonts w:ascii="Times New Roman" w:hAnsi="Times New Roman"/>
                <w:i/>
                <w:szCs w:val="24"/>
              </w:rPr>
              <w:t xml:space="preserve">De </w:t>
            </w:r>
            <w:r w:rsidR="003D0B03" w:rsidRPr="00B060E4">
              <w:rPr>
                <w:rFonts w:ascii="Times New Roman" w:hAnsi="Times New Roman"/>
                <w:i/>
                <w:szCs w:val="24"/>
              </w:rPr>
              <w:t>minimis</w:t>
            </w:r>
            <w:r w:rsidR="003D0B03" w:rsidRPr="00B060E4">
              <w:rPr>
                <w:rFonts w:ascii="Times New Roman" w:hAnsi="Times New Roman"/>
                <w:szCs w:val="24"/>
              </w:rPr>
              <w:t xml:space="preserve"> reglamen</w:t>
            </w:r>
            <w:r w:rsidR="003D0B03">
              <w:rPr>
                <w:rFonts w:ascii="Times New Roman" w:hAnsi="Times New Roman"/>
                <w:szCs w:val="24"/>
              </w:rPr>
              <w:t>t</w:t>
            </w:r>
            <w:r w:rsidRPr="00823956">
              <w:rPr>
                <w:rFonts w:ascii="Times New Roman" w:hAnsi="Times New Roman"/>
                <w:szCs w:val="24"/>
              </w:rPr>
              <w:t xml:space="preserve">ą ir PGF2 priemonės schemą. </w:t>
            </w:r>
          </w:p>
          <w:p w14:paraId="73B2C41A" w14:textId="77777777" w:rsidR="002614F1" w:rsidRDefault="00823956" w:rsidP="00A21BAC">
            <w:pPr>
              <w:spacing w:line="276" w:lineRule="auto"/>
              <w:ind w:left="34"/>
              <w:jc w:val="both"/>
              <w:rPr>
                <w:rFonts w:ascii="Times New Roman" w:hAnsi="Times New Roman"/>
                <w:szCs w:val="24"/>
              </w:rPr>
            </w:pPr>
            <w:r w:rsidRPr="00823956">
              <w:rPr>
                <w:rFonts w:ascii="Times New Roman" w:hAnsi="Times New Roman"/>
                <w:szCs w:val="24"/>
              </w:rPr>
              <w:t xml:space="preserve">PGF2 priemonės valdytojas yra atsakingas už tai, kad į Portfelį įtraukiami Faktoringo sandoriai būtų suteikiami atsižvelgiant į </w:t>
            </w:r>
            <w:r w:rsidR="002F5B53" w:rsidRPr="002F5B53">
              <w:rPr>
                <w:rFonts w:ascii="Times New Roman" w:hAnsi="Times New Roman"/>
                <w:i/>
                <w:iCs/>
                <w:szCs w:val="24"/>
              </w:rPr>
              <w:t>De minimis</w:t>
            </w:r>
            <w:r w:rsidR="002F5B53" w:rsidRPr="002F5B53">
              <w:rPr>
                <w:rFonts w:ascii="Times New Roman" w:hAnsi="Times New Roman"/>
                <w:szCs w:val="24"/>
              </w:rPr>
              <w:t xml:space="preserve"> reglamentą</w:t>
            </w:r>
            <w:r w:rsidRPr="00823956">
              <w:rPr>
                <w:rFonts w:ascii="Times New Roman" w:hAnsi="Times New Roman"/>
                <w:szCs w:val="24"/>
              </w:rPr>
              <w:t xml:space="preserve"> ir į PGF2 priemonės schemą. </w:t>
            </w:r>
          </w:p>
          <w:p w14:paraId="0C25ED01" w14:textId="2CBD42A7" w:rsidR="00823956" w:rsidRPr="00823956" w:rsidRDefault="00823956" w:rsidP="00A21BAC">
            <w:pPr>
              <w:spacing w:line="276" w:lineRule="auto"/>
              <w:ind w:left="34"/>
              <w:jc w:val="both"/>
              <w:rPr>
                <w:rFonts w:ascii="Times New Roman" w:hAnsi="Times New Roman"/>
                <w:szCs w:val="24"/>
              </w:rPr>
            </w:pPr>
            <w:r w:rsidRPr="002F5B53">
              <w:rPr>
                <w:rFonts w:ascii="Times New Roman" w:hAnsi="Times New Roman"/>
                <w:i/>
                <w:iCs/>
                <w:szCs w:val="24"/>
              </w:rPr>
              <w:t>De minimis</w:t>
            </w:r>
            <w:r w:rsidRPr="00823956">
              <w:rPr>
                <w:rFonts w:ascii="Times New Roman" w:hAnsi="Times New Roman"/>
                <w:szCs w:val="24"/>
              </w:rPr>
              <w:t xml:space="preserve"> pagalba sumuojama, kaip tai nustatyta </w:t>
            </w:r>
            <w:r w:rsidR="002F5B53" w:rsidRPr="002F5B53">
              <w:rPr>
                <w:rFonts w:ascii="Times New Roman" w:hAnsi="Times New Roman"/>
                <w:i/>
                <w:iCs/>
                <w:szCs w:val="24"/>
              </w:rPr>
              <w:t>De minimis</w:t>
            </w:r>
            <w:r w:rsidR="002F5B53" w:rsidRPr="002F5B53">
              <w:rPr>
                <w:rFonts w:ascii="Times New Roman" w:hAnsi="Times New Roman"/>
                <w:szCs w:val="24"/>
              </w:rPr>
              <w:t xml:space="preserve"> reglament</w:t>
            </w:r>
            <w:r w:rsidRPr="00823956">
              <w:rPr>
                <w:rFonts w:ascii="Times New Roman" w:hAnsi="Times New Roman"/>
                <w:szCs w:val="24"/>
              </w:rPr>
              <w:t>o 5 straipsnyje.</w:t>
            </w:r>
          </w:p>
          <w:p w14:paraId="2601E4FB" w14:textId="77777777" w:rsidR="00823956" w:rsidRPr="00823956" w:rsidRDefault="00823956" w:rsidP="00823956">
            <w:pPr>
              <w:spacing w:line="276" w:lineRule="auto"/>
              <w:ind w:left="34"/>
              <w:jc w:val="both"/>
              <w:rPr>
                <w:rFonts w:ascii="Times New Roman" w:hAnsi="Times New Roman"/>
                <w:szCs w:val="24"/>
              </w:rPr>
            </w:pPr>
          </w:p>
          <w:p w14:paraId="09EFF7AB" w14:textId="77777777" w:rsidR="00A47B30" w:rsidRDefault="00823956" w:rsidP="00A47B30">
            <w:pPr>
              <w:spacing w:line="276" w:lineRule="auto"/>
              <w:ind w:left="34"/>
              <w:jc w:val="both"/>
              <w:rPr>
                <w:rFonts w:ascii="Times New Roman" w:hAnsi="Times New Roman"/>
                <w:szCs w:val="24"/>
              </w:rPr>
            </w:pPr>
            <w:r w:rsidRPr="00A47B30">
              <w:rPr>
                <w:rFonts w:ascii="Times New Roman" w:hAnsi="Times New Roman"/>
                <w:i/>
                <w:iCs/>
                <w:szCs w:val="24"/>
              </w:rPr>
              <w:t>De minimis</w:t>
            </w:r>
            <w:r w:rsidRPr="00823956">
              <w:rPr>
                <w:rFonts w:ascii="Times New Roman" w:hAnsi="Times New Roman"/>
                <w:szCs w:val="24"/>
              </w:rPr>
              <w:t xml:space="preserve"> pagalbos, suteikiamos MVĮ, dydis apskaičiuojamas pagal formulę:</w:t>
            </w:r>
          </w:p>
          <w:p w14:paraId="300F0AF6" w14:textId="77777777" w:rsidR="00A47B30" w:rsidRDefault="00A47B30" w:rsidP="00A47B30">
            <w:pPr>
              <w:spacing w:line="276" w:lineRule="auto"/>
              <w:ind w:left="34"/>
              <w:jc w:val="both"/>
              <w:rPr>
                <w:rFonts w:ascii="Times New Roman" w:hAnsi="Times New Roman"/>
                <w:szCs w:val="24"/>
              </w:rPr>
            </w:pPr>
          </w:p>
          <w:p w14:paraId="14C46DF7" w14:textId="0D59869E" w:rsidR="00823956" w:rsidRPr="00823956" w:rsidRDefault="00823956" w:rsidP="00A47B30">
            <w:pPr>
              <w:spacing w:line="276" w:lineRule="auto"/>
              <w:ind w:left="34"/>
              <w:jc w:val="both"/>
              <w:rPr>
                <w:rFonts w:ascii="Times New Roman" w:hAnsi="Times New Roman"/>
                <w:szCs w:val="24"/>
              </w:rPr>
            </w:pPr>
            <w:r w:rsidRPr="00823956">
              <w:rPr>
                <w:rFonts w:ascii="Times New Roman" w:hAnsi="Times New Roman"/>
                <w:szCs w:val="24"/>
              </w:rPr>
              <w:t>D = (FL x G x T)/450, kur:</w:t>
            </w:r>
          </w:p>
          <w:p w14:paraId="4EBB5081" w14:textId="77777777" w:rsidR="00823956" w:rsidRPr="00823956" w:rsidRDefault="00823956" w:rsidP="00823956">
            <w:pPr>
              <w:spacing w:line="276" w:lineRule="auto"/>
              <w:ind w:left="34"/>
              <w:jc w:val="both"/>
              <w:rPr>
                <w:rFonts w:ascii="Times New Roman" w:hAnsi="Times New Roman"/>
                <w:szCs w:val="24"/>
              </w:rPr>
            </w:pPr>
            <w:r w:rsidRPr="00823956">
              <w:rPr>
                <w:rFonts w:ascii="Times New Roman" w:hAnsi="Times New Roman"/>
                <w:szCs w:val="24"/>
              </w:rPr>
              <w:t xml:space="preserve">D – </w:t>
            </w:r>
            <w:r w:rsidRPr="00A47B30">
              <w:rPr>
                <w:rFonts w:ascii="Times New Roman" w:hAnsi="Times New Roman"/>
                <w:i/>
                <w:iCs/>
                <w:szCs w:val="24"/>
              </w:rPr>
              <w:t>de minimis</w:t>
            </w:r>
            <w:r w:rsidRPr="00823956">
              <w:rPr>
                <w:rFonts w:ascii="Times New Roman" w:hAnsi="Times New Roman"/>
                <w:szCs w:val="24"/>
              </w:rPr>
              <w:t xml:space="preserve"> pagalbos dydis;</w:t>
            </w:r>
          </w:p>
          <w:p w14:paraId="030C526A" w14:textId="77777777" w:rsidR="00823956" w:rsidRPr="00823956" w:rsidRDefault="00823956" w:rsidP="00823956">
            <w:pPr>
              <w:spacing w:line="276" w:lineRule="auto"/>
              <w:ind w:left="34"/>
              <w:jc w:val="both"/>
              <w:rPr>
                <w:rFonts w:ascii="Times New Roman" w:hAnsi="Times New Roman"/>
                <w:szCs w:val="24"/>
              </w:rPr>
            </w:pPr>
            <w:r w:rsidRPr="00823956">
              <w:rPr>
                <w:rFonts w:ascii="Times New Roman" w:hAnsi="Times New Roman"/>
                <w:szCs w:val="24"/>
              </w:rPr>
              <w:t>FL – įsipareigojimų (Faktoringo limito) suma;</w:t>
            </w:r>
          </w:p>
          <w:p w14:paraId="0AC24F0E" w14:textId="77777777" w:rsidR="00823956" w:rsidRPr="00823956" w:rsidRDefault="00823956" w:rsidP="00823956">
            <w:pPr>
              <w:spacing w:line="276" w:lineRule="auto"/>
              <w:ind w:left="34"/>
              <w:jc w:val="both"/>
              <w:rPr>
                <w:rFonts w:ascii="Times New Roman" w:hAnsi="Times New Roman"/>
                <w:szCs w:val="24"/>
              </w:rPr>
            </w:pPr>
            <w:r w:rsidRPr="00823956">
              <w:rPr>
                <w:rFonts w:ascii="Times New Roman" w:hAnsi="Times New Roman"/>
                <w:szCs w:val="24"/>
              </w:rPr>
              <w:t>G – garantijos dydis (proc.), t. y. 80 proc.;</w:t>
            </w:r>
          </w:p>
          <w:p w14:paraId="5B5F7573" w14:textId="77777777" w:rsidR="00823956" w:rsidRPr="00823956" w:rsidRDefault="00823956" w:rsidP="00823956">
            <w:pPr>
              <w:spacing w:line="276" w:lineRule="auto"/>
              <w:ind w:left="34"/>
              <w:jc w:val="both"/>
              <w:rPr>
                <w:rFonts w:ascii="Times New Roman" w:hAnsi="Times New Roman"/>
                <w:szCs w:val="24"/>
              </w:rPr>
            </w:pPr>
            <w:r w:rsidRPr="00823956">
              <w:rPr>
                <w:rFonts w:ascii="Times New Roman" w:hAnsi="Times New Roman"/>
                <w:szCs w:val="24"/>
              </w:rPr>
              <w:t>T – garantijos trukmė (mėnesiais).</w:t>
            </w:r>
          </w:p>
          <w:p w14:paraId="7829916F" w14:textId="77777777" w:rsidR="00823956" w:rsidRPr="00823956" w:rsidRDefault="00823956" w:rsidP="00823956">
            <w:pPr>
              <w:spacing w:line="276" w:lineRule="auto"/>
              <w:ind w:left="34"/>
              <w:jc w:val="both"/>
              <w:rPr>
                <w:rFonts w:ascii="Times New Roman" w:hAnsi="Times New Roman"/>
                <w:szCs w:val="24"/>
              </w:rPr>
            </w:pPr>
          </w:p>
          <w:p w14:paraId="0759BDFF" w14:textId="7991883E" w:rsidR="00823956" w:rsidRPr="00855656" w:rsidRDefault="00823956" w:rsidP="007C16E0">
            <w:pPr>
              <w:spacing w:line="276" w:lineRule="auto"/>
              <w:ind w:left="34"/>
              <w:jc w:val="both"/>
              <w:rPr>
                <w:rFonts w:ascii="Times New Roman" w:hAnsi="Times New Roman"/>
                <w:szCs w:val="24"/>
              </w:rPr>
            </w:pPr>
            <w:r w:rsidRPr="00823956">
              <w:rPr>
                <w:rFonts w:ascii="Times New Roman" w:hAnsi="Times New Roman"/>
                <w:szCs w:val="24"/>
              </w:rPr>
              <w:t>Garantijos trukmė apskaičiuojama prie Faktoringo sutartyje nustatyto Faktoringo sandorio finansavimo laikotarpio (mėnesiais) pridedant ilgiausią Faktoringo sutartyje nustatytą Maksimalų mokėjimo atidėjimo pirkėjui terminą.</w:t>
            </w:r>
          </w:p>
        </w:tc>
      </w:tr>
      <w:tr w:rsidR="007F2A2A" w:rsidRPr="00C33AC8" w14:paraId="00C0B9ED"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621BC31E" w14:textId="77777777" w:rsidR="004842F8" w:rsidRPr="007D3D76" w:rsidRDefault="004842F8" w:rsidP="009B0EE1">
            <w:pPr>
              <w:pStyle w:val="ListParagraph"/>
              <w:numPr>
                <w:ilvl w:val="0"/>
                <w:numId w:val="13"/>
              </w:numPr>
              <w:tabs>
                <w:tab w:val="left" w:pos="176"/>
              </w:tabs>
              <w:spacing w:after="0"/>
              <w:jc w:val="center"/>
              <w:rPr>
                <w:sz w:val="24"/>
                <w:szCs w:val="24"/>
                <w:lang w:val="lt-LT"/>
              </w:rPr>
            </w:pPr>
          </w:p>
        </w:tc>
        <w:tc>
          <w:tcPr>
            <w:tcW w:w="3119" w:type="dxa"/>
          </w:tcPr>
          <w:p w14:paraId="5E194697" w14:textId="28C37115" w:rsidR="004842F8" w:rsidRPr="007D3D76" w:rsidRDefault="004842F8" w:rsidP="009B0EE1">
            <w:pPr>
              <w:tabs>
                <w:tab w:val="left" w:pos="176"/>
              </w:tabs>
              <w:spacing w:line="276" w:lineRule="auto"/>
              <w:ind w:left="34"/>
              <w:rPr>
                <w:rFonts w:ascii="Times New Roman" w:hAnsi="Times New Roman"/>
                <w:b/>
                <w:szCs w:val="24"/>
              </w:rPr>
            </w:pPr>
            <w:r w:rsidRPr="007D3D76">
              <w:rPr>
                <w:rFonts w:ascii="Times New Roman" w:hAnsi="Times New Roman"/>
                <w:b/>
                <w:szCs w:val="24"/>
              </w:rPr>
              <w:t>Vienos įmonės deklaracija</w:t>
            </w:r>
          </w:p>
        </w:tc>
        <w:tc>
          <w:tcPr>
            <w:tcW w:w="6096" w:type="dxa"/>
          </w:tcPr>
          <w:p w14:paraId="0AB5EFE4" w14:textId="6E46E501" w:rsidR="004842F8" w:rsidRPr="007D3D76" w:rsidRDefault="000A3FDA" w:rsidP="009B0EE1">
            <w:pPr>
              <w:spacing w:line="276" w:lineRule="auto"/>
              <w:ind w:left="34"/>
              <w:jc w:val="both"/>
              <w:rPr>
                <w:rFonts w:ascii="Times New Roman" w:hAnsi="Times New Roman"/>
                <w:szCs w:val="24"/>
              </w:rPr>
            </w:pPr>
            <w:r w:rsidRPr="007D3D76">
              <w:rPr>
                <w:rFonts w:ascii="Times New Roman" w:hAnsi="Times New Roman"/>
                <w:szCs w:val="24"/>
              </w:rPr>
              <w:t>D</w:t>
            </w:r>
            <w:r w:rsidR="004842F8" w:rsidRPr="007D3D76">
              <w:rPr>
                <w:rFonts w:ascii="Times New Roman" w:hAnsi="Times New Roman"/>
                <w:szCs w:val="24"/>
              </w:rPr>
              <w:t xml:space="preserve">eklaracija, </w:t>
            </w:r>
            <w:r w:rsidR="00C4578B" w:rsidRPr="007D3D76">
              <w:rPr>
                <w:rFonts w:ascii="Times New Roman" w:hAnsi="Times New Roman"/>
                <w:szCs w:val="24"/>
              </w:rPr>
              <w:t xml:space="preserve">pagal kurią yra patikrinama </w:t>
            </w:r>
            <w:r w:rsidR="00F21757" w:rsidRPr="007D3D76">
              <w:rPr>
                <w:rFonts w:ascii="Times New Roman" w:hAnsi="Times New Roman"/>
                <w:szCs w:val="24"/>
              </w:rPr>
              <w:t>Faktoringo sandorio</w:t>
            </w:r>
            <w:r w:rsidR="00C4578B" w:rsidRPr="007D3D76">
              <w:rPr>
                <w:rFonts w:ascii="Times New Roman" w:hAnsi="Times New Roman"/>
                <w:szCs w:val="24"/>
              </w:rPr>
              <w:t xml:space="preserve"> gavėjo teisė gauti bendrą vienai įmonei suteikiamą </w:t>
            </w:r>
            <w:r w:rsidR="00C4578B" w:rsidRPr="007D3D76">
              <w:rPr>
                <w:rFonts w:ascii="Times New Roman" w:hAnsi="Times New Roman"/>
                <w:i/>
                <w:szCs w:val="24"/>
              </w:rPr>
              <w:t>de minimis</w:t>
            </w:r>
            <w:r w:rsidR="00C4578B" w:rsidRPr="007D3D76">
              <w:rPr>
                <w:rFonts w:ascii="Times New Roman" w:hAnsi="Times New Roman"/>
                <w:szCs w:val="24"/>
              </w:rPr>
              <w:t xml:space="preserve"> pagalb</w:t>
            </w:r>
            <w:r w:rsidR="001B05EA" w:rsidRPr="007D3D76">
              <w:rPr>
                <w:rFonts w:ascii="Times New Roman" w:hAnsi="Times New Roman"/>
                <w:szCs w:val="24"/>
              </w:rPr>
              <w:t>ą</w:t>
            </w:r>
            <w:r w:rsidR="00C4578B" w:rsidRPr="007D3D76">
              <w:rPr>
                <w:rFonts w:ascii="Times New Roman" w:hAnsi="Times New Roman"/>
                <w:szCs w:val="24"/>
              </w:rPr>
              <w:t xml:space="preserve">, </w:t>
            </w:r>
            <w:r w:rsidR="004842F8" w:rsidRPr="007D3D76">
              <w:rPr>
                <w:rFonts w:ascii="Times New Roman" w:hAnsi="Times New Roman"/>
                <w:szCs w:val="24"/>
              </w:rPr>
              <w:t xml:space="preserve">užpildoma pagal Lietuvos Respublikos </w:t>
            </w:r>
            <w:r w:rsidR="00F134C4">
              <w:rPr>
                <w:rFonts w:ascii="Times New Roman" w:hAnsi="Times New Roman"/>
                <w:szCs w:val="24"/>
              </w:rPr>
              <w:t>ekonomis ir inovacijų</w:t>
            </w:r>
            <w:r w:rsidR="004842F8" w:rsidRPr="007D3D76">
              <w:rPr>
                <w:rFonts w:ascii="Times New Roman" w:hAnsi="Times New Roman"/>
                <w:szCs w:val="24"/>
              </w:rPr>
              <w:t xml:space="preserve"> ministerijos parengtą ir interneto svetainėje http://www.esinvesticijos.lt/lt/dokumentai/vienos-imones-deklaracijos-pagal-komisijos-reglamenta-es-nr-1407-2013 paskelbtą rekomenduojamą formą</w:t>
            </w:r>
            <w:r w:rsidR="00C4578B" w:rsidRPr="007D3D76">
              <w:rPr>
                <w:rFonts w:ascii="Times New Roman" w:hAnsi="Times New Roman"/>
                <w:szCs w:val="24"/>
              </w:rPr>
              <w:t xml:space="preserve"> (aktuali redakcija)</w:t>
            </w:r>
            <w:r w:rsidR="00EE79E2" w:rsidRPr="007D3D76">
              <w:rPr>
                <w:rFonts w:ascii="Times New Roman" w:hAnsi="Times New Roman"/>
                <w:szCs w:val="24"/>
              </w:rPr>
              <w:t>.</w:t>
            </w:r>
          </w:p>
        </w:tc>
      </w:tr>
      <w:tr w:rsidR="007F2A2A" w:rsidRPr="00C33AC8" w14:paraId="5C20D4C0" w14:textId="77777777" w:rsidTr="00B91A59">
        <w:trPr>
          <w:trHeight w:val="316"/>
        </w:trPr>
        <w:tc>
          <w:tcPr>
            <w:tcW w:w="709" w:type="dxa"/>
            <w:tcBorders>
              <w:top w:val="single" w:sz="4" w:space="0" w:color="auto"/>
              <w:left w:val="single" w:sz="4" w:space="0" w:color="auto"/>
              <w:bottom w:val="single" w:sz="4" w:space="0" w:color="auto"/>
              <w:right w:val="single" w:sz="4" w:space="0" w:color="auto"/>
            </w:tcBorders>
          </w:tcPr>
          <w:p w14:paraId="27FD19E6" w14:textId="77777777" w:rsidR="00EE605D" w:rsidRPr="00C23760" w:rsidRDefault="00EE605D" w:rsidP="009B0EE1">
            <w:pPr>
              <w:pStyle w:val="ListParagraph"/>
              <w:numPr>
                <w:ilvl w:val="0"/>
                <w:numId w:val="13"/>
              </w:numPr>
              <w:tabs>
                <w:tab w:val="left" w:pos="176"/>
              </w:tabs>
              <w:spacing w:after="0"/>
              <w:jc w:val="center"/>
              <w:rPr>
                <w:sz w:val="24"/>
                <w:szCs w:val="24"/>
                <w:lang w:val="lt-LT"/>
              </w:rPr>
            </w:pPr>
          </w:p>
        </w:tc>
        <w:tc>
          <w:tcPr>
            <w:tcW w:w="3119" w:type="dxa"/>
          </w:tcPr>
          <w:p w14:paraId="33D741AE" w14:textId="6B711150" w:rsidR="00EE605D" w:rsidRPr="00C23760" w:rsidRDefault="00EE605D" w:rsidP="009B0EE1">
            <w:pPr>
              <w:tabs>
                <w:tab w:val="left" w:pos="176"/>
              </w:tabs>
              <w:spacing w:line="276" w:lineRule="auto"/>
              <w:ind w:left="34"/>
              <w:rPr>
                <w:rFonts w:ascii="Times New Roman" w:hAnsi="Times New Roman"/>
                <w:b/>
                <w:szCs w:val="24"/>
              </w:rPr>
            </w:pPr>
            <w:r w:rsidRPr="00C23760">
              <w:rPr>
                <w:rFonts w:ascii="Times New Roman" w:hAnsi="Times New Roman"/>
                <w:b/>
                <w:szCs w:val="24"/>
              </w:rPr>
              <w:t>Viršutinė ribos norma</w:t>
            </w:r>
            <w:r w:rsidR="00D46D28" w:rsidRPr="00C23760">
              <w:rPr>
                <w:rFonts w:ascii="Times New Roman" w:hAnsi="Times New Roman"/>
                <w:b/>
                <w:szCs w:val="24"/>
              </w:rPr>
              <w:t xml:space="preserve"> </w:t>
            </w:r>
            <w:r w:rsidR="00D46D28" w:rsidRPr="00C23760">
              <w:rPr>
                <w:rFonts w:ascii="Times New Roman" w:hAnsi="Times New Roman"/>
                <w:b/>
                <w:i/>
                <w:szCs w:val="24"/>
              </w:rPr>
              <w:t>(angl. Cap rate)</w:t>
            </w:r>
          </w:p>
        </w:tc>
        <w:tc>
          <w:tcPr>
            <w:tcW w:w="6096" w:type="dxa"/>
          </w:tcPr>
          <w:p w14:paraId="63FF81BB" w14:textId="2165AEA7" w:rsidR="00EE605D" w:rsidRPr="00C23760" w:rsidRDefault="007C4CE8" w:rsidP="009B0EE1">
            <w:pPr>
              <w:spacing w:line="276" w:lineRule="auto"/>
              <w:ind w:left="34"/>
              <w:jc w:val="both"/>
              <w:rPr>
                <w:rFonts w:ascii="Times New Roman" w:hAnsi="Times New Roman"/>
                <w:szCs w:val="24"/>
              </w:rPr>
            </w:pPr>
            <w:r w:rsidRPr="00C23760">
              <w:rPr>
                <w:rFonts w:ascii="Times New Roman" w:hAnsi="Times New Roman"/>
                <w:szCs w:val="24"/>
              </w:rPr>
              <w:t>D</w:t>
            </w:r>
            <w:r w:rsidR="001C4843" w:rsidRPr="00C23760">
              <w:rPr>
                <w:rFonts w:ascii="Times New Roman" w:hAnsi="Times New Roman"/>
                <w:szCs w:val="24"/>
              </w:rPr>
              <w:t xml:space="preserve">idžiausias </w:t>
            </w:r>
            <w:r w:rsidR="0090256C">
              <w:rPr>
                <w:rFonts w:ascii="Times New Roman" w:hAnsi="Times New Roman"/>
                <w:szCs w:val="24"/>
              </w:rPr>
              <w:t>i</w:t>
            </w:r>
            <w:r w:rsidR="001C4843" w:rsidRPr="00C23760">
              <w:rPr>
                <w:rFonts w:ascii="Times New Roman" w:hAnsi="Times New Roman"/>
                <w:szCs w:val="24"/>
              </w:rPr>
              <w:t>šmok</w:t>
            </w:r>
            <w:r w:rsidR="001C4843" w:rsidRPr="00C23760">
              <w:rPr>
                <w:rFonts w:ascii="Times New Roman" w:hAnsi="Times New Roman" w:hint="eastAsia"/>
                <w:szCs w:val="24"/>
              </w:rPr>
              <w:t>ų</w:t>
            </w:r>
            <w:r w:rsidR="001C4843" w:rsidRPr="00C23760">
              <w:rPr>
                <w:rFonts w:ascii="Times New Roman" w:hAnsi="Times New Roman"/>
                <w:szCs w:val="24"/>
              </w:rPr>
              <w:t>, kurias „Invega“ kaip INVEGOS fondo valdytoja gali išmokėti PGF</w:t>
            </w:r>
            <w:r w:rsidR="00C23760" w:rsidRPr="00C23760">
              <w:rPr>
                <w:rFonts w:ascii="Times New Roman" w:hAnsi="Times New Roman"/>
                <w:szCs w:val="24"/>
              </w:rPr>
              <w:t>2</w:t>
            </w:r>
            <w:r w:rsidR="001C4843" w:rsidRPr="00C23760">
              <w:rPr>
                <w:rFonts w:ascii="Times New Roman" w:hAnsi="Times New Roman"/>
                <w:szCs w:val="24"/>
              </w:rPr>
              <w:t xml:space="preserve"> priemonės valdytojui,</w:t>
            </w:r>
            <w:r w:rsidR="000612B8" w:rsidRPr="00C23760">
              <w:rPr>
                <w:rFonts w:ascii="Times New Roman" w:hAnsi="Times New Roman"/>
                <w:szCs w:val="24"/>
              </w:rPr>
              <w:t xml:space="preserve"> dydis</w:t>
            </w:r>
            <w:r w:rsidR="00CF5C56" w:rsidRPr="00C23760">
              <w:rPr>
                <w:rFonts w:ascii="Times New Roman" w:hAnsi="Times New Roman"/>
                <w:szCs w:val="24"/>
              </w:rPr>
              <w:t>,</w:t>
            </w:r>
            <w:r w:rsidR="000612B8" w:rsidRPr="00C23760">
              <w:rPr>
                <w:rFonts w:ascii="Times New Roman" w:hAnsi="Times New Roman"/>
                <w:szCs w:val="24"/>
              </w:rPr>
              <w:t xml:space="preserve"> t. y.</w:t>
            </w:r>
            <w:r w:rsidR="001C4843" w:rsidRPr="00C23760">
              <w:rPr>
                <w:rFonts w:ascii="Times New Roman" w:hAnsi="Times New Roman"/>
                <w:szCs w:val="24"/>
              </w:rPr>
              <w:t xml:space="preserve"> </w:t>
            </w:r>
            <w:r w:rsidR="000612B8" w:rsidRPr="00C23760">
              <w:rPr>
                <w:rFonts w:ascii="Times New Roman" w:hAnsi="Times New Roman"/>
                <w:szCs w:val="24"/>
              </w:rPr>
              <w:t>20 (dvidešimt) proc.</w:t>
            </w:r>
            <w:r w:rsidR="00CF5C56" w:rsidRPr="00C23760">
              <w:rPr>
                <w:rFonts w:ascii="Times New Roman" w:hAnsi="Times New Roman"/>
                <w:szCs w:val="24"/>
              </w:rPr>
              <w:t xml:space="preserve"> nuo garantuotos Portfelio sumos</w:t>
            </w:r>
            <w:r w:rsidR="0090256C">
              <w:rPr>
                <w:rFonts w:ascii="Times New Roman" w:hAnsi="Times New Roman"/>
                <w:szCs w:val="24"/>
              </w:rPr>
              <w:t>.</w:t>
            </w:r>
          </w:p>
        </w:tc>
      </w:tr>
    </w:tbl>
    <w:p w14:paraId="63B504E2" w14:textId="29C75884" w:rsidR="00B8295C" w:rsidRPr="00F104A7" w:rsidRDefault="00B8295C" w:rsidP="009B0EE1">
      <w:pPr>
        <w:numPr>
          <w:ilvl w:val="1"/>
          <w:numId w:val="3"/>
        </w:numPr>
        <w:tabs>
          <w:tab w:val="left" w:pos="567"/>
        </w:tabs>
        <w:spacing w:line="276" w:lineRule="auto"/>
        <w:ind w:left="-851" w:firstLine="851"/>
        <w:jc w:val="both"/>
        <w:rPr>
          <w:rFonts w:ascii="Times New Roman" w:hAnsi="Times New Roman"/>
          <w:szCs w:val="24"/>
        </w:rPr>
      </w:pPr>
      <w:r w:rsidRPr="00F104A7">
        <w:rPr>
          <w:rFonts w:ascii="Times New Roman" w:hAnsi="Times New Roman"/>
          <w:szCs w:val="24"/>
        </w:rPr>
        <w:t>Kitos Sutartyje vartojamos sąvokos suprantam</w:t>
      </w:r>
      <w:r w:rsidR="00777925" w:rsidRPr="00F104A7">
        <w:rPr>
          <w:rFonts w:ascii="Times New Roman" w:hAnsi="Times New Roman"/>
          <w:szCs w:val="24"/>
        </w:rPr>
        <w:t>o</w:t>
      </w:r>
      <w:r w:rsidRPr="00F104A7">
        <w:rPr>
          <w:rFonts w:ascii="Times New Roman" w:hAnsi="Times New Roman"/>
          <w:szCs w:val="24"/>
        </w:rPr>
        <w:t>s taip, kaip jos apibrėžtos Sutarties preambulėje nuro</w:t>
      </w:r>
      <w:r w:rsidR="00266FD6" w:rsidRPr="00F104A7">
        <w:rPr>
          <w:rFonts w:ascii="Times New Roman" w:hAnsi="Times New Roman"/>
          <w:szCs w:val="24"/>
        </w:rPr>
        <w:t>dytuose teisės aktuose.</w:t>
      </w:r>
    </w:p>
    <w:p w14:paraId="0A27271A" w14:textId="446D8696" w:rsidR="00EB7A7B" w:rsidRPr="00BD58C3" w:rsidRDefault="00266FD6" w:rsidP="009B0EE1">
      <w:pPr>
        <w:numPr>
          <w:ilvl w:val="1"/>
          <w:numId w:val="3"/>
        </w:numPr>
        <w:tabs>
          <w:tab w:val="left" w:pos="567"/>
        </w:tabs>
        <w:spacing w:line="276" w:lineRule="auto"/>
        <w:ind w:left="-851" w:firstLine="851"/>
        <w:jc w:val="both"/>
        <w:rPr>
          <w:rFonts w:ascii="Times New Roman" w:hAnsi="Times New Roman"/>
          <w:szCs w:val="24"/>
        </w:rPr>
      </w:pPr>
      <w:r w:rsidRPr="00F104A7">
        <w:rPr>
          <w:rFonts w:ascii="Times New Roman" w:hAnsi="Times New Roman"/>
          <w:szCs w:val="24"/>
        </w:rPr>
        <w:t>Priklausomai nuo konteksto</w:t>
      </w:r>
      <w:r w:rsidR="00F5033C" w:rsidRPr="00F104A7">
        <w:rPr>
          <w:rFonts w:ascii="Times New Roman" w:hAnsi="Times New Roman"/>
          <w:szCs w:val="24"/>
        </w:rPr>
        <w:t>,</w:t>
      </w:r>
      <w:r w:rsidRPr="00F104A7">
        <w:rPr>
          <w:rFonts w:ascii="Times New Roman" w:hAnsi="Times New Roman"/>
          <w:szCs w:val="24"/>
        </w:rPr>
        <w:t xml:space="preserve"> žodžiai, vartojami vienaskaita, gali reikšti ir daugiskaitą</w:t>
      </w:r>
      <w:r w:rsidR="00626644" w:rsidRPr="00F104A7">
        <w:rPr>
          <w:rFonts w:ascii="Times New Roman" w:hAnsi="Times New Roman"/>
          <w:szCs w:val="24"/>
        </w:rPr>
        <w:t>,</w:t>
      </w:r>
      <w:r w:rsidRPr="00F104A7">
        <w:rPr>
          <w:rFonts w:ascii="Times New Roman" w:hAnsi="Times New Roman"/>
          <w:szCs w:val="24"/>
        </w:rPr>
        <w:t xml:space="preserve"> ir </w:t>
      </w:r>
      <w:r w:rsidRPr="00BD58C3">
        <w:rPr>
          <w:rFonts w:ascii="Times New Roman" w:hAnsi="Times New Roman"/>
          <w:szCs w:val="24"/>
        </w:rPr>
        <w:t>atvirkščiai</w:t>
      </w:r>
      <w:r w:rsidR="008D4954" w:rsidRPr="00BD58C3">
        <w:rPr>
          <w:rFonts w:ascii="Times New Roman" w:hAnsi="Times New Roman"/>
          <w:szCs w:val="24"/>
        </w:rPr>
        <w:t>.</w:t>
      </w:r>
    </w:p>
    <w:p w14:paraId="54E826CC" w14:textId="76EA1392" w:rsidR="00EB7A7B" w:rsidRDefault="00777BE6" w:rsidP="000D1781">
      <w:pPr>
        <w:numPr>
          <w:ilvl w:val="1"/>
          <w:numId w:val="3"/>
        </w:numPr>
        <w:tabs>
          <w:tab w:val="left" w:pos="567"/>
          <w:tab w:val="left" w:pos="709"/>
          <w:tab w:val="left" w:pos="851"/>
        </w:tabs>
        <w:spacing w:line="276" w:lineRule="auto"/>
        <w:ind w:left="-851" w:firstLine="851"/>
        <w:jc w:val="both"/>
        <w:rPr>
          <w:rFonts w:ascii="Times New Roman" w:hAnsi="Times New Roman"/>
          <w:szCs w:val="24"/>
        </w:rPr>
      </w:pPr>
      <w:r>
        <w:rPr>
          <w:rFonts w:ascii="Times New Roman" w:hAnsi="Times New Roman"/>
          <w:szCs w:val="24"/>
        </w:rPr>
        <w:t>Aprašo</w:t>
      </w:r>
      <w:r w:rsidR="003F35AC" w:rsidRPr="00BD58C3">
        <w:rPr>
          <w:rFonts w:ascii="Times New Roman" w:hAnsi="Times New Roman"/>
          <w:szCs w:val="24"/>
        </w:rPr>
        <w:t xml:space="preserve"> sąlygos </w:t>
      </w:r>
      <w:r w:rsidR="00266FD6" w:rsidRPr="00BD58C3">
        <w:rPr>
          <w:rFonts w:ascii="Times New Roman" w:hAnsi="Times New Roman"/>
          <w:szCs w:val="24"/>
        </w:rPr>
        <w:t>ir P</w:t>
      </w:r>
      <w:r w:rsidR="00EF7FAF" w:rsidRPr="00BD58C3">
        <w:rPr>
          <w:rFonts w:ascii="Times New Roman" w:hAnsi="Times New Roman"/>
          <w:szCs w:val="24"/>
        </w:rPr>
        <w:t>r</w:t>
      </w:r>
      <w:r w:rsidR="00266FD6" w:rsidRPr="00BD58C3">
        <w:rPr>
          <w:rFonts w:ascii="Times New Roman" w:hAnsi="Times New Roman"/>
          <w:szCs w:val="24"/>
        </w:rPr>
        <w:t>a</w:t>
      </w:r>
      <w:r w:rsidR="00EF7FAF" w:rsidRPr="00BD58C3">
        <w:rPr>
          <w:rFonts w:ascii="Times New Roman" w:hAnsi="Times New Roman"/>
          <w:szCs w:val="24"/>
        </w:rPr>
        <w:t>š</w:t>
      </w:r>
      <w:r w:rsidR="00266FD6" w:rsidRPr="00BD58C3">
        <w:rPr>
          <w:rFonts w:ascii="Times New Roman" w:hAnsi="Times New Roman"/>
          <w:szCs w:val="24"/>
        </w:rPr>
        <w:t xml:space="preserve">ymas </w:t>
      </w:r>
      <w:r w:rsidR="003F35AC" w:rsidRPr="00BD58C3">
        <w:rPr>
          <w:rFonts w:ascii="Times New Roman" w:hAnsi="Times New Roman"/>
          <w:szCs w:val="24"/>
        </w:rPr>
        <w:t>yra laikom</w:t>
      </w:r>
      <w:r w:rsidR="00266FD6" w:rsidRPr="00BD58C3">
        <w:rPr>
          <w:rFonts w:ascii="Times New Roman" w:hAnsi="Times New Roman"/>
          <w:szCs w:val="24"/>
        </w:rPr>
        <w:t>i</w:t>
      </w:r>
      <w:r w:rsidR="003F35AC" w:rsidRPr="00BD58C3">
        <w:rPr>
          <w:rFonts w:ascii="Times New Roman" w:hAnsi="Times New Roman"/>
          <w:szCs w:val="24"/>
        </w:rPr>
        <w:t xml:space="preserve"> neatsiejama Sutarties dalimi. </w:t>
      </w:r>
      <w:r w:rsidR="00EB591A">
        <w:rPr>
          <w:rFonts w:ascii="Times New Roman" w:hAnsi="Times New Roman"/>
          <w:szCs w:val="24"/>
        </w:rPr>
        <w:t>Aprašo</w:t>
      </w:r>
      <w:r w:rsidR="00443E65" w:rsidRPr="00BD58C3">
        <w:rPr>
          <w:rFonts w:ascii="Times New Roman" w:hAnsi="Times New Roman"/>
          <w:szCs w:val="24"/>
        </w:rPr>
        <w:t xml:space="preserve"> sąlygos ir </w:t>
      </w:r>
      <w:r w:rsidR="004310AD" w:rsidRPr="00BD58C3">
        <w:rPr>
          <w:rFonts w:ascii="Times New Roman" w:hAnsi="Times New Roman"/>
          <w:szCs w:val="24"/>
        </w:rPr>
        <w:t>(</w:t>
      </w:r>
      <w:r w:rsidR="00443E65" w:rsidRPr="00BD58C3">
        <w:rPr>
          <w:rFonts w:ascii="Times New Roman" w:hAnsi="Times New Roman"/>
          <w:szCs w:val="24"/>
        </w:rPr>
        <w:t>ar</w:t>
      </w:r>
      <w:r w:rsidR="004310AD" w:rsidRPr="00BD58C3">
        <w:rPr>
          <w:rFonts w:ascii="Times New Roman" w:hAnsi="Times New Roman"/>
          <w:szCs w:val="24"/>
        </w:rPr>
        <w:t>)</w:t>
      </w:r>
      <w:r w:rsidR="00443E65" w:rsidRPr="00BD58C3">
        <w:rPr>
          <w:rFonts w:ascii="Times New Roman" w:hAnsi="Times New Roman"/>
          <w:szCs w:val="24"/>
        </w:rPr>
        <w:t xml:space="preserve"> </w:t>
      </w:r>
      <w:r w:rsidR="006B0996" w:rsidRPr="00BD58C3">
        <w:rPr>
          <w:rFonts w:ascii="Times New Roman" w:hAnsi="Times New Roman"/>
          <w:szCs w:val="24"/>
        </w:rPr>
        <w:t>P</w:t>
      </w:r>
      <w:r w:rsidR="00EF7FAF" w:rsidRPr="00BD58C3">
        <w:rPr>
          <w:rFonts w:ascii="Times New Roman" w:hAnsi="Times New Roman"/>
          <w:szCs w:val="24"/>
        </w:rPr>
        <w:t>r</w:t>
      </w:r>
      <w:r w:rsidR="006B0996" w:rsidRPr="00BD58C3">
        <w:rPr>
          <w:rFonts w:ascii="Times New Roman" w:hAnsi="Times New Roman"/>
          <w:szCs w:val="24"/>
        </w:rPr>
        <w:t>a</w:t>
      </w:r>
      <w:r w:rsidR="00EF7FAF" w:rsidRPr="00BD58C3">
        <w:rPr>
          <w:rFonts w:ascii="Times New Roman" w:hAnsi="Times New Roman"/>
          <w:szCs w:val="24"/>
        </w:rPr>
        <w:t>š</w:t>
      </w:r>
      <w:r w:rsidR="006B0996" w:rsidRPr="00BD58C3">
        <w:rPr>
          <w:rFonts w:ascii="Times New Roman" w:hAnsi="Times New Roman"/>
          <w:szCs w:val="24"/>
        </w:rPr>
        <w:t>ymo</w:t>
      </w:r>
      <w:r w:rsidR="00443E65" w:rsidRPr="00BD58C3">
        <w:rPr>
          <w:rFonts w:ascii="Times New Roman" w:hAnsi="Times New Roman"/>
          <w:szCs w:val="24"/>
        </w:rPr>
        <w:t xml:space="preserve"> nuostatos taikomos tiek, kiek atitinkamų </w:t>
      </w:r>
      <w:r w:rsidR="00443E65" w:rsidRPr="00C2062A">
        <w:rPr>
          <w:rFonts w:ascii="Times New Roman" w:hAnsi="Times New Roman"/>
          <w:szCs w:val="24"/>
        </w:rPr>
        <w:t xml:space="preserve">klausimų nereglamentuoja </w:t>
      </w:r>
      <w:r w:rsidR="004310AD" w:rsidRPr="00C2062A">
        <w:rPr>
          <w:rFonts w:ascii="Times New Roman" w:hAnsi="Times New Roman"/>
          <w:szCs w:val="24"/>
        </w:rPr>
        <w:t>Sutartis</w:t>
      </w:r>
      <w:r w:rsidR="00443E65" w:rsidRPr="00C2062A">
        <w:rPr>
          <w:rFonts w:ascii="Times New Roman" w:hAnsi="Times New Roman"/>
          <w:szCs w:val="24"/>
        </w:rPr>
        <w:t>.</w:t>
      </w:r>
    </w:p>
    <w:p w14:paraId="588AA8D2" w14:textId="4479B237" w:rsidR="00445576" w:rsidRPr="00445576" w:rsidRDefault="00445576" w:rsidP="003F68FC">
      <w:pPr>
        <w:numPr>
          <w:ilvl w:val="1"/>
          <w:numId w:val="3"/>
        </w:numPr>
        <w:tabs>
          <w:tab w:val="left" w:pos="567"/>
          <w:tab w:val="left" w:pos="709"/>
          <w:tab w:val="left" w:pos="851"/>
          <w:tab w:val="left" w:pos="1560"/>
        </w:tabs>
        <w:spacing w:line="276" w:lineRule="auto"/>
        <w:ind w:left="-851" w:firstLine="851"/>
        <w:jc w:val="both"/>
        <w:rPr>
          <w:rFonts w:ascii="Times New Roman" w:hAnsi="Times New Roman"/>
          <w:szCs w:val="24"/>
        </w:rPr>
      </w:pPr>
      <w:r w:rsidRPr="00445576">
        <w:rPr>
          <w:rFonts w:ascii="Times New Roman" w:hAnsi="Times New Roman"/>
          <w:szCs w:val="24"/>
        </w:rPr>
        <w:t>Esant neatitikimams tarp Sutarties nuostatų ir Aprašo</w:t>
      </w:r>
      <w:r w:rsidR="00C94344" w:rsidRPr="00C94344">
        <w:rPr>
          <w:rFonts w:ascii="Times New Roman" w:hAnsi="Times New Roman"/>
          <w:szCs w:val="24"/>
        </w:rPr>
        <w:t xml:space="preserve"> </w:t>
      </w:r>
      <w:r w:rsidRPr="00445576">
        <w:rPr>
          <w:rFonts w:ascii="Times New Roman" w:hAnsi="Times New Roman"/>
          <w:szCs w:val="24"/>
        </w:rPr>
        <w:t xml:space="preserve">sąlygų, vadovaujamasi Sutarties sudarymo metu galiojusiomis Aprašo sąlygomis.  </w:t>
      </w:r>
    </w:p>
    <w:p w14:paraId="56AC0896" w14:textId="329D79B8" w:rsidR="00073C7F" w:rsidRPr="00C2062A" w:rsidRDefault="00073C7F" w:rsidP="000D1781">
      <w:pPr>
        <w:numPr>
          <w:ilvl w:val="1"/>
          <w:numId w:val="3"/>
        </w:numPr>
        <w:tabs>
          <w:tab w:val="left" w:pos="567"/>
          <w:tab w:val="left" w:pos="709"/>
          <w:tab w:val="left" w:pos="851"/>
        </w:tabs>
        <w:spacing w:line="276" w:lineRule="auto"/>
        <w:ind w:left="-851" w:firstLine="851"/>
        <w:jc w:val="both"/>
        <w:rPr>
          <w:rFonts w:ascii="Times New Roman" w:hAnsi="Times New Roman"/>
          <w:szCs w:val="24"/>
        </w:rPr>
      </w:pPr>
      <w:bookmarkStart w:id="3" w:name="_Hlk37742081"/>
      <w:r w:rsidRPr="00C2062A">
        <w:rPr>
          <w:rFonts w:ascii="Times New Roman" w:hAnsi="Times New Roman"/>
          <w:bCs/>
          <w:szCs w:val="24"/>
        </w:rPr>
        <w:t>Visos Sutarties spragos turi būti užpildomos ir (ar) visi neaiškum</w:t>
      </w:r>
      <w:r w:rsidR="00F55BDC" w:rsidRPr="00C2062A">
        <w:rPr>
          <w:rFonts w:ascii="Times New Roman" w:hAnsi="Times New Roman"/>
          <w:bCs/>
          <w:szCs w:val="24"/>
        </w:rPr>
        <w:t>a</w:t>
      </w:r>
      <w:r w:rsidRPr="00C2062A">
        <w:rPr>
          <w:rFonts w:ascii="Times New Roman" w:hAnsi="Times New Roman"/>
          <w:bCs/>
          <w:szCs w:val="24"/>
        </w:rPr>
        <w:t>i turi būti aiškinami vadovaujantis</w:t>
      </w:r>
      <w:r w:rsidRPr="00C2062A">
        <w:rPr>
          <w:rFonts w:ascii="Times New Roman" w:hAnsi="Times New Roman"/>
          <w:szCs w:val="24"/>
        </w:rPr>
        <w:t xml:space="preserve"> Sutarties preambulėje </w:t>
      </w:r>
      <w:r w:rsidR="00F5033C" w:rsidRPr="00C2062A">
        <w:rPr>
          <w:rFonts w:ascii="Times New Roman" w:hAnsi="Times New Roman"/>
          <w:szCs w:val="24"/>
        </w:rPr>
        <w:t>bei</w:t>
      </w:r>
      <w:r w:rsidRPr="00C2062A">
        <w:rPr>
          <w:rFonts w:ascii="Times New Roman" w:hAnsi="Times New Roman"/>
          <w:szCs w:val="24"/>
        </w:rPr>
        <w:t xml:space="preserve"> </w:t>
      </w:r>
      <w:r w:rsidR="00677CEC">
        <w:rPr>
          <w:rFonts w:ascii="Times New Roman" w:hAnsi="Times New Roman"/>
          <w:szCs w:val="24"/>
        </w:rPr>
        <w:t>Aprašo</w:t>
      </w:r>
      <w:r w:rsidRPr="00C2062A">
        <w:rPr>
          <w:rFonts w:ascii="Times New Roman" w:hAnsi="Times New Roman"/>
          <w:szCs w:val="24"/>
        </w:rPr>
        <w:t xml:space="preserve"> sąlyg</w:t>
      </w:r>
      <w:r w:rsidR="00805F55">
        <w:rPr>
          <w:rFonts w:ascii="Times New Roman" w:hAnsi="Times New Roman"/>
          <w:szCs w:val="24"/>
        </w:rPr>
        <w:t>ose</w:t>
      </w:r>
      <w:r w:rsidRPr="00C2062A">
        <w:rPr>
          <w:rFonts w:ascii="Times New Roman" w:hAnsi="Times New Roman"/>
          <w:szCs w:val="24"/>
        </w:rPr>
        <w:t xml:space="preserve"> nurodytų teisės aktų nuostat</w:t>
      </w:r>
      <w:r w:rsidR="00CC0AC5" w:rsidRPr="00C2062A">
        <w:rPr>
          <w:rFonts w:ascii="Times New Roman" w:hAnsi="Times New Roman"/>
          <w:szCs w:val="24"/>
        </w:rPr>
        <w:t>omi</w:t>
      </w:r>
      <w:r w:rsidRPr="00C2062A">
        <w:rPr>
          <w:rFonts w:ascii="Times New Roman" w:hAnsi="Times New Roman"/>
          <w:szCs w:val="24"/>
        </w:rPr>
        <w:t>s.</w:t>
      </w:r>
    </w:p>
    <w:bookmarkEnd w:id="3"/>
    <w:p w14:paraId="20D25848" w14:textId="77777777" w:rsidR="006317EB" w:rsidRPr="00EF1C4C" w:rsidRDefault="006317EB" w:rsidP="009B0EE1">
      <w:pPr>
        <w:spacing w:line="276" w:lineRule="auto"/>
        <w:ind w:left="-851" w:firstLine="851"/>
        <w:jc w:val="both"/>
        <w:rPr>
          <w:rFonts w:ascii="Times New Roman" w:hAnsi="Times New Roman"/>
          <w:szCs w:val="24"/>
        </w:rPr>
      </w:pPr>
    </w:p>
    <w:p w14:paraId="40918A50" w14:textId="72022CDC" w:rsidR="00856580" w:rsidRPr="00EF1C4C" w:rsidRDefault="006317EB" w:rsidP="009B0EE1">
      <w:pPr>
        <w:spacing w:line="276" w:lineRule="auto"/>
        <w:ind w:left="-851" w:firstLine="851"/>
        <w:jc w:val="center"/>
        <w:rPr>
          <w:rFonts w:ascii="Times New Roman" w:hAnsi="Times New Roman"/>
          <w:b/>
          <w:szCs w:val="24"/>
        </w:rPr>
      </w:pPr>
      <w:r w:rsidRPr="00EF1C4C">
        <w:rPr>
          <w:rFonts w:ascii="Times New Roman" w:hAnsi="Times New Roman"/>
          <w:b/>
          <w:szCs w:val="24"/>
        </w:rPr>
        <w:t>II SKYRIUS. SUTARTIES OBJEKTAS (TAIKYMO SRITIS IR TIKSLAS)</w:t>
      </w:r>
    </w:p>
    <w:p w14:paraId="2A73F5D5" w14:textId="77777777" w:rsidR="006317EB" w:rsidRPr="009228B9" w:rsidRDefault="006317EB" w:rsidP="009B0EE1">
      <w:pPr>
        <w:spacing w:line="276" w:lineRule="auto"/>
        <w:ind w:left="-851" w:firstLine="851"/>
        <w:jc w:val="both"/>
        <w:rPr>
          <w:rFonts w:ascii="Times New Roman" w:hAnsi="Times New Roman"/>
          <w:szCs w:val="24"/>
        </w:rPr>
      </w:pPr>
    </w:p>
    <w:p w14:paraId="3BD17B89" w14:textId="24490FC4" w:rsidR="00EB7A7B" w:rsidRPr="009228B9" w:rsidRDefault="009C1562" w:rsidP="009B0EE1">
      <w:pPr>
        <w:numPr>
          <w:ilvl w:val="1"/>
          <w:numId w:val="4"/>
        </w:numPr>
        <w:tabs>
          <w:tab w:val="left" w:pos="567"/>
        </w:tabs>
        <w:spacing w:line="276" w:lineRule="auto"/>
        <w:ind w:left="-851" w:firstLine="851"/>
        <w:jc w:val="both"/>
        <w:rPr>
          <w:rFonts w:ascii="Times New Roman" w:hAnsi="Times New Roman"/>
          <w:szCs w:val="24"/>
        </w:rPr>
      </w:pPr>
      <w:r w:rsidRPr="009228B9">
        <w:rPr>
          <w:rFonts w:ascii="Times New Roman" w:hAnsi="Times New Roman"/>
          <w:szCs w:val="24"/>
        </w:rPr>
        <w:lastRenderedPageBreak/>
        <w:t xml:space="preserve">Sutartimi </w:t>
      </w:r>
      <w:r w:rsidR="006317EB" w:rsidRPr="009228B9">
        <w:rPr>
          <w:rFonts w:ascii="Times New Roman" w:hAnsi="Times New Roman"/>
          <w:szCs w:val="24"/>
        </w:rPr>
        <w:t xml:space="preserve">„Invega“ ir </w:t>
      </w:r>
      <w:r w:rsidR="00C51F33" w:rsidRPr="009228B9">
        <w:rPr>
          <w:rFonts w:ascii="Times New Roman" w:hAnsi="Times New Roman"/>
          <w:szCs w:val="24"/>
        </w:rPr>
        <w:t>PGF</w:t>
      </w:r>
      <w:r w:rsidR="009228B9" w:rsidRPr="009228B9">
        <w:rPr>
          <w:rFonts w:ascii="Times New Roman" w:hAnsi="Times New Roman"/>
          <w:szCs w:val="24"/>
        </w:rPr>
        <w:t>2</w:t>
      </w:r>
      <w:r w:rsidR="0011673E" w:rsidRPr="009228B9">
        <w:rPr>
          <w:rFonts w:ascii="Times New Roman" w:hAnsi="Times New Roman"/>
          <w:szCs w:val="24"/>
        </w:rPr>
        <w:t xml:space="preserve"> </w:t>
      </w:r>
      <w:r w:rsidR="009C0181" w:rsidRPr="009228B9">
        <w:rPr>
          <w:rFonts w:ascii="Times New Roman" w:hAnsi="Times New Roman"/>
          <w:szCs w:val="24"/>
        </w:rPr>
        <w:t>priemonės valdytojas</w:t>
      </w:r>
      <w:r w:rsidR="0069410C" w:rsidRPr="009228B9">
        <w:rPr>
          <w:rFonts w:ascii="Times New Roman" w:hAnsi="Times New Roman"/>
          <w:szCs w:val="24"/>
        </w:rPr>
        <w:t xml:space="preserve"> </w:t>
      </w:r>
      <w:r w:rsidR="006317EB" w:rsidRPr="009228B9">
        <w:rPr>
          <w:rFonts w:ascii="Times New Roman" w:hAnsi="Times New Roman"/>
          <w:szCs w:val="24"/>
        </w:rPr>
        <w:t xml:space="preserve">susitaria dėl </w:t>
      </w:r>
      <w:r w:rsidR="00C51F33" w:rsidRPr="009228B9">
        <w:rPr>
          <w:rFonts w:ascii="Times New Roman" w:hAnsi="Times New Roman"/>
          <w:szCs w:val="24"/>
        </w:rPr>
        <w:t>PGF</w:t>
      </w:r>
      <w:r w:rsidR="009228B9" w:rsidRPr="009228B9">
        <w:rPr>
          <w:rFonts w:ascii="Times New Roman" w:hAnsi="Times New Roman"/>
          <w:szCs w:val="24"/>
        </w:rPr>
        <w:t>2</w:t>
      </w:r>
      <w:r w:rsidR="00F03074" w:rsidRPr="009228B9">
        <w:rPr>
          <w:rFonts w:ascii="Times New Roman" w:hAnsi="Times New Roman"/>
          <w:szCs w:val="24"/>
        </w:rPr>
        <w:t xml:space="preserve"> priemonės įgyvendinimo</w:t>
      </w:r>
      <w:r w:rsidR="006317EB" w:rsidRPr="009228B9">
        <w:rPr>
          <w:rFonts w:ascii="Times New Roman" w:hAnsi="Times New Roman"/>
          <w:szCs w:val="24"/>
        </w:rPr>
        <w:t xml:space="preserve"> </w:t>
      </w:r>
      <w:r w:rsidR="006A684E" w:rsidRPr="009228B9">
        <w:rPr>
          <w:rFonts w:ascii="Times New Roman" w:hAnsi="Times New Roman"/>
          <w:szCs w:val="24"/>
        </w:rPr>
        <w:t>Sutartyje nustatytomis</w:t>
      </w:r>
      <w:r w:rsidR="00D8097A" w:rsidRPr="009228B9">
        <w:rPr>
          <w:rFonts w:ascii="Times New Roman" w:hAnsi="Times New Roman"/>
          <w:szCs w:val="24"/>
        </w:rPr>
        <w:t xml:space="preserve"> sąlygomis ir tvarka.</w:t>
      </w:r>
    </w:p>
    <w:p w14:paraId="521590B9" w14:textId="77777777" w:rsidR="000D1781" w:rsidRDefault="00262225" w:rsidP="000D1781">
      <w:pPr>
        <w:numPr>
          <w:ilvl w:val="1"/>
          <w:numId w:val="4"/>
        </w:numPr>
        <w:tabs>
          <w:tab w:val="left" w:pos="567"/>
        </w:tabs>
        <w:spacing w:line="276" w:lineRule="auto"/>
        <w:ind w:left="-851" w:firstLine="851"/>
        <w:jc w:val="both"/>
        <w:rPr>
          <w:rFonts w:ascii="Times New Roman" w:hAnsi="Times New Roman"/>
          <w:bCs/>
          <w:szCs w:val="24"/>
        </w:rPr>
      </w:pPr>
      <w:r w:rsidRPr="000D1781">
        <w:rPr>
          <w:rFonts w:ascii="Times New Roman" w:hAnsi="Times New Roman"/>
          <w:bCs/>
          <w:szCs w:val="24"/>
        </w:rPr>
        <w:t xml:space="preserve">Pagal Sutartį </w:t>
      </w:r>
      <w:r w:rsidR="00C51F33" w:rsidRPr="000D1781">
        <w:rPr>
          <w:rFonts w:ascii="Times New Roman" w:hAnsi="Times New Roman"/>
          <w:bCs/>
          <w:szCs w:val="24"/>
        </w:rPr>
        <w:t>PGF</w:t>
      </w:r>
      <w:r w:rsidR="009228B9" w:rsidRPr="000D1781">
        <w:rPr>
          <w:rFonts w:ascii="Times New Roman" w:hAnsi="Times New Roman"/>
          <w:bCs/>
          <w:szCs w:val="24"/>
        </w:rPr>
        <w:t>2</w:t>
      </w:r>
      <w:r w:rsidRPr="000D1781">
        <w:rPr>
          <w:rFonts w:ascii="Times New Roman" w:hAnsi="Times New Roman"/>
          <w:bCs/>
          <w:szCs w:val="24"/>
        </w:rPr>
        <w:t xml:space="preserve"> priemonės valdytojo suformuotam </w:t>
      </w:r>
      <w:r w:rsidR="0075341F" w:rsidRPr="000D1781">
        <w:rPr>
          <w:rFonts w:ascii="Times New Roman" w:hAnsi="Times New Roman"/>
          <w:bCs/>
          <w:szCs w:val="24"/>
        </w:rPr>
        <w:t>P</w:t>
      </w:r>
      <w:r w:rsidRPr="000D1781">
        <w:rPr>
          <w:rFonts w:ascii="Times New Roman" w:hAnsi="Times New Roman"/>
          <w:bCs/>
          <w:szCs w:val="24"/>
        </w:rPr>
        <w:t xml:space="preserve">ortfeliui suteikiama Portfelinė garantija, kuri mažina </w:t>
      </w:r>
      <w:r w:rsidR="00DC09E8" w:rsidRPr="000D1781">
        <w:rPr>
          <w:rFonts w:ascii="Times New Roman" w:hAnsi="Times New Roman"/>
          <w:bCs/>
          <w:szCs w:val="24"/>
        </w:rPr>
        <w:t xml:space="preserve">finansavimo </w:t>
      </w:r>
      <w:r w:rsidRPr="000D1781">
        <w:rPr>
          <w:rFonts w:ascii="Times New Roman" w:hAnsi="Times New Roman"/>
          <w:bCs/>
          <w:szCs w:val="24"/>
        </w:rPr>
        <w:t>rizik</w:t>
      </w:r>
      <w:r w:rsidR="00B968CE" w:rsidRPr="000D1781">
        <w:rPr>
          <w:rFonts w:ascii="Times New Roman" w:hAnsi="Times New Roman"/>
          <w:bCs/>
          <w:szCs w:val="24"/>
        </w:rPr>
        <w:t xml:space="preserve">ą. </w:t>
      </w:r>
      <w:r w:rsidR="00F21757" w:rsidRPr="000D1781">
        <w:rPr>
          <w:rFonts w:ascii="Times New Roman" w:hAnsi="Times New Roman"/>
          <w:bCs/>
          <w:szCs w:val="24"/>
        </w:rPr>
        <w:t>Faktoringo sandori</w:t>
      </w:r>
      <w:r w:rsidR="00BE1664" w:rsidRPr="000D1781">
        <w:rPr>
          <w:rFonts w:ascii="Times New Roman" w:hAnsi="Times New Roman"/>
          <w:bCs/>
          <w:szCs w:val="24"/>
        </w:rPr>
        <w:t>ai</w:t>
      </w:r>
      <w:r w:rsidR="00B968CE" w:rsidRPr="000D1781">
        <w:rPr>
          <w:rFonts w:ascii="Times New Roman" w:hAnsi="Times New Roman"/>
          <w:bCs/>
          <w:szCs w:val="24"/>
        </w:rPr>
        <w:t>, kuri</w:t>
      </w:r>
      <w:r w:rsidR="00BE1664" w:rsidRPr="000D1781">
        <w:rPr>
          <w:rFonts w:ascii="Times New Roman" w:hAnsi="Times New Roman"/>
          <w:bCs/>
          <w:szCs w:val="24"/>
        </w:rPr>
        <w:t>e</w:t>
      </w:r>
      <w:r w:rsidR="00B968CE" w:rsidRPr="000D1781">
        <w:rPr>
          <w:rFonts w:ascii="Times New Roman" w:hAnsi="Times New Roman"/>
          <w:bCs/>
          <w:szCs w:val="24"/>
        </w:rPr>
        <w:t xml:space="preserve"> </w:t>
      </w:r>
      <w:r w:rsidR="00163D19" w:rsidRPr="000D1781">
        <w:rPr>
          <w:rFonts w:ascii="Times New Roman" w:hAnsi="Times New Roman"/>
          <w:bCs/>
          <w:szCs w:val="24"/>
        </w:rPr>
        <w:t>į</w:t>
      </w:r>
      <w:r w:rsidR="00B968CE" w:rsidRPr="000D1781">
        <w:rPr>
          <w:rFonts w:ascii="Times New Roman" w:hAnsi="Times New Roman"/>
          <w:bCs/>
          <w:szCs w:val="24"/>
        </w:rPr>
        <w:t>traukiam</w:t>
      </w:r>
      <w:r w:rsidR="00BE1664" w:rsidRPr="000D1781">
        <w:rPr>
          <w:rFonts w:ascii="Times New Roman" w:hAnsi="Times New Roman"/>
          <w:bCs/>
          <w:szCs w:val="24"/>
        </w:rPr>
        <w:t>i</w:t>
      </w:r>
      <w:r w:rsidR="00B968CE" w:rsidRPr="000D1781">
        <w:rPr>
          <w:rFonts w:ascii="Times New Roman" w:hAnsi="Times New Roman"/>
          <w:bCs/>
          <w:szCs w:val="24"/>
        </w:rPr>
        <w:t xml:space="preserve"> į Portfelį, </w:t>
      </w:r>
      <w:r w:rsidR="00BE1664" w:rsidRPr="000D1781">
        <w:rPr>
          <w:rFonts w:ascii="Times New Roman" w:hAnsi="Times New Roman"/>
          <w:bCs/>
          <w:szCs w:val="24"/>
        </w:rPr>
        <w:t xml:space="preserve">finansuojami </w:t>
      </w:r>
      <w:r w:rsidR="00B968CE" w:rsidRPr="000D1781">
        <w:rPr>
          <w:rFonts w:ascii="Times New Roman" w:hAnsi="Times New Roman"/>
          <w:bCs/>
          <w:szCs w:val="24"/>
        </w:rPr>
        <w:t xml:space="preserve">iš </w:t>
      </w:r>
      <w:r w:rsidR="00C51F33" w:rsidRPr="000D1781">
        <w:rPr>
          <w:rFonts w:ascii="Times New Roman" w:hAnsi="Times New Roman"/>
          <w:bCs/>
          <w:szCs w:val="24"/>
        </w:rPr>
        <w:t>PGF</w:t>
      </w:r>
      <w:r w:rsidR="009228B9" w:rsidRPr="000D1781">
        <w:rPr>
          <w:rFonts w:ascii="Times New Roman" w:hAnsi="Times New Roman"/>
          <w:bCs/>
          <w:szCs w:val="24"/>
        </w:rPr>
        <w:t>2</w:t>
      </w:r>
      <w:r w:rsidR="00B968CE" w:rsidRPr="000D1781">
        <w:rPr>
          <w:rFonts w:ascii="Times New Roman" w:hAnsi="Times New Roman"/>
          <w:bCs/>
          <w:szCs w:val="24"/>
        </w:rPr>
        <w:t xml:space="preserve"> priemonės valdytoj</w:t>
      </w:r>
      <w:r w:rsidR="00F34EA4" w:rsidRPr="000D1781">
        <w:rPr>
          <w:rFonts w:ascii="Times New Roman" w:hAnsi="Times New Roman"/>
          <w:bCs/>
          <w:szCs w:val="24"/>
        </w:rPr>
        <w:t>o</w:t>
      </w:r>
      <w:r w:rsidR="00B968CE" w:rsidRPr="000D1781">
        <w:rPr>
          <w:rFonts w:ascii="Times New Roman" w:hAnsi="Times New Roman"/>
          <w:bCs/>
          <w:szCs w:val="24"/>
        </w:rPr>
        <w:t xml:space="preserve"> </w:t>
      </w:r>
      <w:r w:rsidR="009F168A" w:rsidRPr="000D1781">
        <w:rPr>
          <w:rFonts w:ascii="Times New Roman" w:hAnsi="Times New Roman"/>
          <w:bCs/>
          <w:szCs w:val="24"/>
        </w:rPr>
        <w:t>lėšų</w:t>
      </w:r>
      <w:r w:rsidR="00B968CE" w:rsidRPr="000D1781">
        <w:rPr>
          <w:rFonts w:ascii="Times New Roman" w:hAnsi="Times New Roman"/>
          <w:bCs/>
          <w:szCs w:val="24"/>
        </w:rPr>
        <w:t>.</w:t>
      </w:r>
    </w:p>
    <w:p w14:paraId="61590A03" w14:textId="6A8A2E0D" w:rsidR="00783167" w:rsidRPr="000D1781" w:rsidRDefault="00783167" w:rsidP="000D1781">
      <w:pPr>
        <w:numPr>
          <w:ilvl w:val="1"/>
          <w:numId w:val="4"/>
        </w:numPr>
        <w:tabs>
          <w:tab w:val="left" w:pos="567"/>
        </w:tabs>
        <w:spacing w:line="276" w:lineRule="auto"/>
        <w:ind w:left="-851" w:firstLine="851"/>
        <w:jc w:val="both"/>
        <w:rPr>
          <w:rFonts w:ascii="Times New Roman" w:hAnsi="Times New Roman"/>
          <w:bCs/>
          <w:szCs w:val="24"/>
        </w:rPr>
      </w:pPr>
      <w:r w:rsidRPr="000D1781">
        <w:rPr>
          <w:rFonts w:ascii="Times New Roman" w:hAnsi="Times New Roman"/>
          <w:bCs/>
          <w:szCs w:val="24"/>
        </w:rPr>
        <w:t xml:space="preserve"> PGF2 priemonės valdytojai turi įgyvendinti PGF2 priemonę taip, kad būtų užtikrintas</w:t>
      </w:r>
      <w:r w:rsidR="008D6B43" w:rsidRPr="000D1781">
        <w:rPr>
          <w:rFonts w:ascii="Times New Roman" w:hAnsi="Times New Roman"/>
          <w:bCs/>
          <w:szCs w:val="24"/>
        </w:rPr>
        <w:t xml:space="preserve"> </w:t>
      </w:r>
      <w:r w:rsidRPr="000D1781">
        <w:rPr>
          <w:rFonts w:ascii="Times New Roman" w:hAnsi="Times New Roman"/>
          <w:bCs/>
          <w:szCs w:val="24"/>
        </w:rPr>
        <w:t xml:space="preserve">aktyvus </w:t>
      </w:r>
      <w:r w:rsidR="007A7684" w:rsidRPr="000D1781">
        <w:rPr>
          <w:rFonts w:ascii="Times New Roman" w:hAnsi="Times New Roman"/>
          <w:bCs/>
          <w:szCs w:val="24"/>
        </w:rPr>
        <w:t>F</w:t>
      </w:r>
      <w:r w:rsidRPr="000D1781">
        <w:rPr>
          <w:rFonts w:ascii="Times New Roman" w:hAnsi="Times New Roman"/>
          <w:bCs/>
          <w:szCs w:val="24"/>
        </w:rPr>
        <w:t>aktoringo sandorių, lengvinančių atsiskaitymus su prekybos partneriais, teikimas</w:t>
      </w:r>
      <w:r w:rsidR="008D6B43" w:rsidRPr="000D1781">
        <w:rPr>
          <w:rFonts w:ascii="Times New Roman" w:hAnsi="Times New Roman"/>
          <w:bCs/>
          <w:szCs w:val="24"/>
        </w:rPr>
        <w:t xml:space="preserve"> bei </w:t>
      </w:r>
      <w:r w:rsidRPr="000D1781">
        <w:rPr>
          <w:rFonts w:ascii="Times New Roman" w:hAnsi="Times New Roman"/>
          <w:bCs/>
          <w:szCs w:val="24"/>
        </w:rPr>
        <w:t>kuo palankesnės finansavimo sąlygos pradedančiosioms ir (ar) jau vykdančioms verslą MVĮ.</w:t>
      </w:r>
    </w:p>
    <w:p w14:paraId="527BF377" w14:textId="1D0B9B7F" w:rsidR="00550312" w:rsidRPr="005D0CBA" w:rsidRDefault="004D002B" w:rsidP="009B0EE1">
      <w:pPr>
        <w:numPr>
          <w:ilvl w:val="1"/>
          <w:numId w:val="4"/>
        </w:numPr>
        <w:tabs>
          <w:tab w:val="left" w:pos="567"/>
        </w:tabs>
        <w:spacing w:line="276" w:lineRule="auto"/>
        <w:ind w:left="-851" w:firstLine="851"/>
        <w:jc w:val="both"/>
        <w:rPr>
          <w:rFonts w:ascii="Times New Roman" w:hAnsi="Times New Roman"/>
          <w:szCs w:val="24"/>
        </w:rPr>
      </w:pPr>
      <w:r w:rsidRPr="005C2F90">
        <w:rPr>
          <w:rFonts w:ascii="Times New Roman" w:hAnsi="Times New Roman"/>
          <w:szCs w:val="24"/>
        </w:rPr>
        <w:t xml:space="preserve">Už </w:t>
      </w:r>
      <w:r w:rsidR="00C51F33" w:rsidRPr="005C2F90">
        <w:rPr>
          <w:rFonts w:ascii="Times New Roman" w:hAnsi="Times New Roman"/>
          <w:szCs w:val="24"/>
        </w:rPr>
        <w:t>PGF</w:t>
      </w:r>
      <w:r w:rsidR="00C45A0C" w:rsidRPr="005C2F90">
        <w:rPr>
          <w:rFonts w:ascii="Times New Roman" w:hAnsi="Times New Roman"/>
          <w:szCs w:val="24"/>
        </w:rPr>
        <w:t>2</w:t>
      </w:r>
      <w:r w:rsidRPr="005C2F90">
        <w:rPr>
          <w:rFonts w:ascii="Times New Roman" w:hAnsi="Times New Roman"/>
          <w:szCs w:val="24"/>
        </w:rPr>
        <w:t xml:space="preserve"> priemonės įgyvendinimą </w:t>
      </w:r>
      <w:r w:rsidR="00C51F33" w:rsidRPr="005C2F90">
        <w:rPr>
          <w:rFonts w:ascii="Times New Roman" w:hAnsi="Times New Roman"/>
          <w:szCs w:val="24"/>
        </w:rPr>
        <w:t>PGF</w:t>
      </w:r>
      <w:r w:rsidR="00C45A0C" w:rsidRPr="005C2F90">
        <w:rPr>
          <w:rFonts w:ascii="Times New Roman" w:hAnsi="Times New Roman"/>
          <w:szCs w:val="24"/>
        </w:rPr>
        <w:t>2</w:t>
      </w:r>
      <w:r w:rsidRPr="005C2F90">
        <w:rPr>
          <w:rFonts w:ascii="Times New Roman" w:hAnsi="Times New Roman"/>
          <w:szCs w:val="24"/>
        </w:rPr>
        <w:t xml:space="preserve"> priemonės valdytojui valdymo mokestis </w:t>
      </w:r>
      <w:r w:rsidRPr="005D0CBA">
        <w:rPr>
          <w:rFonts w:ascii="Times New Roman" w:hAnsi="Times New Roman"/>
          <w:szCs w:val="24"/>
        </w:rPr>
        <w:t>nėra mokamas.</w:t>
      </w:r>
    </w:p>
    <w:p w14:paraId="00A45D8F" w14:textId="50968C15" w:rsidR="00550312" w:rsidRPr="005D0CBA" w:rsidRDefault="00BE1664" w:rsidP="009B0EE1">
      <w:pPr>
        <w:numPr>
          <w:ilvl w:val="1"/>
          <w:numId w:val="4"/>
        </w:numPr>
        <w:tabs>
          <w:tab w:val="left" w:pos="567"/>
        </w:tabs>
        <w:spacing w:line="276" w:lineRule="auto"/>
        <w:ind w:left="-851" w:firstLine="851"/>
        <w:jc w:val="both"/>
        <w:rPr>
          <w:rFonts w:ascii="Times New Roman" w:hAnsi="Times New Roman"/>
          <w:szCs w:val="24"/>
        </w:rPr>
      </w:pPr>
      <w:r w:rsidRPr="005D0CBA">
        <w:rPr>
          <w:rFonts w:ascii="Times New Roman" w:hAnsi="Times New Roman"/>
          <w:szCs w:val="24"/>
        </w:rPr>
        <w:t>Faktoringo sandoriai</w:t>
      </w:r>
      <w:r w:rsidR="008D11AF" w:rsidRPr="005D0CBA">
        <w:rPr>
          <w:rFonts w:ascii="Times New Roman" w:hAnsi="Times New Roman"/>
          <w:szCs w:val="24"/>
        </w:rPr>
        <w:t xml:space="preserve"> </w:t>
      </w:r>
      <w:r w:rsidRPr="005D0CBA">
        <w:rPr>
          <w:rFonts w:ascii="Times New Roman" w:hAnsi="Times New Roman"/>
          <w:szCs w:val="24"/>
        </w:rPr>
        <w:t xml:space="preserve">teikiami </w:t>
      </w:r>
      <w:r w:rsidR="006B24C3" w:rsidRPr="005D0CBA">
        <w:rPr>
          <w:rFonts w:ascii="Times New Roman" w:hAnsi="Times New Roman"/>
          <w:szCs w:val="24"/>
        </w:rPr>
        <w:t xml:space="preserve">vadovaujantis </w:t>
      </w:r>
      <w:r w:rsidR="00777925" w:rsidRPr="005D0CBA">
        <w:rPr>
          <w:rFonts w:ascii="Times New Roman" w:hAnsi="Times New Roman"/>
          <w:szCs w:val="24"/>
        </w:rPr>
        <w:t xml:space="preserve">patvirtinta </w:t>
      </w:r>
      <w:r w:rsidR="00AB05CE">
        <w:rPr>
          <w:rFonts w:ascii="Times New Roman" w:hAnsi="Times New Roman"/>
          <w:szCs w:val="24"/>
        </w:rPr>
        <w:t>PGF2</w:t>
      </w:r>
      <w:r w:rsidR="00AB05CE" w:rsidRPr="000D2819">
        <w:rPr>
          <w:rFonts w:ascii="Times New Roman" w:hAnsi="Times New Roman"/>
          <w:szCs w:val="24"/>
        </w:rPr>
        <w:t xml:space="preserve"> priemonės schema</w:t>
      </w:r>
      <w:r w:rsidR="00777925" w:rsidRPr="005D0CBA">
        <w:rPr>
          <w:rFonts w:ascii="Times New Roman" w:hAnsi="Times New Roman"/>
          <w:szCs w:val="24"/>
        </w:rPr>
        <w:t xml:space="preserve">, </w:t>
      </w:r>
      <w:r w:rsidR="00A22451">
        <w:rPr>
          <w:rFonts w:ascii="Times New Roman" w:hAnsi="Times New Roman"/>
          <w:szCs w:val="24"/>
        </w:rPr>
        <w:t>Aprašo</w:t>
      </w:r>
      <w:r w:rsidR="00777925" w:rsidRPr="005D0CBA">
        <w:rPr>
          <w:rFonts w:ascii="Times New Roman" w:hAnsi="Times New Roman"/>
          <w:szCs w:val="24"/>
        </w:rPr>
        <w:t xml:space="preserve"> sąlygose ir Sutartyje nustatytais kriterijais, laikantis taikytinų teisės aktų reikalavimų.</w:t>
      </w:r>
    </w:p>
    <w:p w14:paraId="446607EF" w14:textId="77777777" w:rsidR="005A0394" w:rsidRPr="00E9534D" w:rsidRDefault="004D002B" w:rsidP="009B0EE1">
      <w:pPr>
        <w:numPr>
          <w:ilvl w:val="1"/>
          <w:numId w:val="4"/>
        </w:numPr>
        <w:tabs>
          <w:tab w:val="left" w:pos="567"/>
        </w:tabs>
        <w:spacing w:line="276" w:lineRule="auto"/>
        <w:ind w:left="-851" w:firstLine="851"/>
        <w:jc w:val="both"/>
        <w:rPr>
          <w:rFonts w:ascii="Times New Roman" w:hAnsi="Times New Roman"/>
          <w:szCs w:val="24"/>
        </w:rPr>
      </w:pPr>
      <w:r w:rsidRPr="00E9534D">
        <w:rPr>
          <w:rFonts w:ascii="Times New Roman" w:hAnsi="Times New Roman"/>
          <w:szCs w:val="24"/>
        </w:rPr>
        <w:t>Garantuojama</w:t>
      </w:r>
      <w:r w:rsidR="003F376D" w:rsidRPr="00E9534D">
        <w:rPr>
          <w:rFonts w:ascii="Times New Roman" w:hAnsi="Times New Roman"/>
          <w:szCs w:val="24"/>
        </w:rPr>
        <w:t>s</w:t>
      </w:r>
      <w:r w:rsidRPr="00E9534D">
        <w:rPr>
          <w:rFonts w:ascii="Times New Roman" w:hAnsi="Times New Roman"/>
          <w:szCs w:val="24"/>
        </w:rPr>
        <w:t xml:space="preserve"> kiekviena</w:t>
      </w:r>
      <w:r w:rsidR="003F376D" w:rsidRPr="00E9534D">
        <w:rPr>
          <w:rFonts w:ascii="Times New Roman" w:hAnsi="Times New Roman"/>
          <w:szCs w:val="24"/>
        </w:rPr>
        <w:t>s</w:t>
      </w:r>
      <w:r w:rsidRPr="00E9534D">
        <w:rPr>
          <w:rFonts w:ascii="Times New Roman" w:hAnsi="Times New Roman"/>
          <w:szCs w:val="24"/>
        </w:rPr>
        <w:t xml:space="preserve"> į Portfelį įtraukta</w:t>
      </w:r>
      <w:r w:rsidR="003F376D" w:rsidRPr="00E9534D">
        <w:rPr>
          <w:rFonts w:ascii="Times New Roman" w:hAnsi="Times New Roman"/>
          <w:szCs w:val="24"/>
        </w:rPr>
        <w:t>s</w:t>
      </w:r>
      <w:r w:rsidRPr="00E9534D">
        <w:rPr>
          <w:rFonts w:ascii="Times New Roman" w:hAnsi="Times New Roman"/>
          <w:szCs w:val="24"/>
        </w:rPr>
        <w:t xml:space="preserve"> </w:t>
      </w:r>
      <w:r w:rsidR="00BE1664" w:rsidRPr="00E9534D">
        <w:rPr>
          <w:rFonts w:ascii="Times New Roman" w:hAnsi="Times New Roman"/>
          <w:szCs w:val="24"/>
        </w:rPr>
        <w:t>Faktoringo sandoris</w:t>
      </w:r>
      <w:r w:rsidRPr="00E9534D">
        <w:rPr>
          <w:rFonts w:ascii="Times New Roman" w:hAnsi="Times New Roman"/>
          <w:szCs w:val="24"/>
        </w:rPr>
        <w:t xml:space="preserve">. </w:t>
      </w:r>
    </w:p>
    <w:p w14:paraId="040B53DA" w14:textId="6AEE97DC" w:rsidR="00550312" w:rsidRPr="00F16250" w:rsidRDefault="00C51F33" w:rsidP="009B0EE1">
      <w:pPr>
        <w:numPr>
          <w:ilvl w:val="1"/>
          <w:numId w:val="4"/>
        </w:numPr>
        <w:tabs>
          <w:tab w:val="left" w:pos="567"/>
        </w:tabs>
        <w:spacing w:line="276" w:lineRule="auto"/>
        <w:ind w:left="-851" w:firstLine="851"/>
        <w:jc w:val="both"/>
        <w:rPr>
          <w:rFonts w:ascii="Times New Roman" w:hAnsi="Times New Roman"/>
          <w:szCs w:val="24"/>
        </w:rPr>
      </w:pPr>
      <w:r w:rsidRPr="00BB65CB">
        <w:rPr>
          <w:rFonts w:ascii="Times New Roman" w:hAnsi="Times New Roman"/>
          <w:szCs w:val="24"/>
        </w:rPr>
        <w:t>PGF</w:t>
      </w:r>
      <w:r w:rsidR="00E9534D" w:rsidRPr="00BB65CB">
        <w:rPr>
          <w:rFonts w:ascii="Times New Roman" w:hAnsi="Times New Roman"/>
          <w:szCs w:val="24"/>
        </w:rPr>
        <w:t>2</w:t>
      </w:r>
      <w:r w:rsidR="004D002B" w:rsidRPr="00BB65CB">
        <w:rPr>
          <w:rFonts w:ascii="Times New Roman" w:hAnsi="Times New Roman"/>
          <w:szCs w:val="24"/>
        </w:rPr>
        <w:t xml:space="preserve"> priemonės </w:t>
      </w:r>
      <w:r w:rsidR="009B5446" w:rsidRPr="00BB65CB">
        <w:rPr>
          <w:rFonts w:ascii="Times New Roman" w:hAnsi="Times New Roman"/>
          <w:szCs w:val="24"/>
        </w:rPr>
        <w:t>valdytojui</w:t>
      </w:r>
      <w:r w:rsidR="004D002B" w:rsidRPr="00BB65CB">
        <w:rPr>
          <w:rFonts w:ascii="Times New Roman" w:hAnsi="Times New Roman"/>
          <w:szCs w:val="24"/>
        </w:rPr>
        <w:t xml:space="preserve"> kompensuojamas Nuostolis </w:t>
      </w:r>
      <w:r w:rsidR="00465558" w:rsidRPr="00BB65CB">
        <w:rPr>
          <w:rFonts w:ascii="Times New Roman" w:hAnsi="Times New Roman"/>
          <w:szCs w:val="24"/>
        </w:rPr>
        <w:t xml:space="preserve">neviršijant </w:t>
      </w:r>
      <w:r w:rsidR="004D002B" w:rsidRPr="00BB65CB">
        <w:rPr>
          <w:rFonts w:ascii="Times New Roman" w:hAnsi="Times New Roman"/>
          <w:szCs w:val="24"/>
        </w:rPr>
        <w:t>Didžiausi</w:t>
      </w:r>
      <w:r w:rsidR="004D002B" w:rsidRPr="00401404">
        <w:rPr>
          <w:rFonts w:ascii="Times New Roman" w:hAnsi="Times New Roman"/>
          <w:szCs w:val="24"/>
        </w:rPr>
        <w:t>os išmokų sumos.</w:t>
      </w:r>
    </w:p>
    <w:p w14:paraId="34412AEF" w14:textId="5BF2F715" w:rsidR="00550312" w:rsidRDefault="00D0347A" w:rsidP="009B0EE1">
      <w:pPr>
        <w:numPr>
          <w:ilvl w:val="1"/>
          <w:numId w:val="4"/>
        </w:numPr>
        <w:tabs>
          <w:tab w:val="left" w:pos="567"/>
        </w:tabs>
        <w:spacing w:line="276" w:lineRule="auto"/>
        <w:ind w:left="-851" w:firstLine="851"/>
        <w:jc w:val="both"/>
        <w:rPr>
          <w:rFonts w:ascii="Times New Roman" w:hAnsi="Times New Roman"/>
          <w:szCs w:val="24"/>
        </w:rPr>
      </w:pPr>
      <w:r w:rsidRPr="00BB65CB">
        <w:rPr>
          <w:rFonts w:ascii="Times New Roman" w:hAnsi="Times New Roman"/>
          <w:szCs w:val="24"/>
        </w:rPr>
        <w:t xml:space="preserve">Visos sumos pagal Sutartį </w:t>
      </w:r>
      <w:r w:rsidR="00064EE9" w:rsidRPr="00BB65CB">
        <w:rPr>
          <w:rFonts w:ascii="Times New Roman" w:hAnsi="Times New Roman"/>
          <w:szCs w:val="24"/>
        </w:rPr>
        <w:t>išreiškiamos</w:t>
      </w:r>
      <w:r w:rsidRPr="00BB65CB">
        <w:rPr>
          <w:rFonts w:ascii="Times New Roman" w:hAnsi="Times New Roman"/>
          <w:szCs w:val="24"/>
        </w:rPr>
        <w:t xml:space="preserve"> eurais</w:t>
      </w:r>
      <w:r w:rsidR="00064EE9" w:rsidRPr="00BB65CB">
        <w:rPr>
          <w:rFonts w:ascii="Times New Roman" w:hAnsi="Times New Roman"/>
          <w:szCs w:val="24"/>
        </w:rPr>
        <w:t>, v</w:t>
      </w:r>
      <w:r w:rsidRPr="00BB65CB">
        <w:rPr>
          <w:rFonts w:ascii="Times New Roman" w:hAnsi="Times New Roman"/>
          <w:szCs w:val="24"/>
        </w:rPr>
        <w:t xml:space="preserve">isi mokėjimai </w:t>
      </w:r>
      <w:r w:rsidR="009B5582" w:rsidRPr="00BB65CB">
        <w:rPr>
          <w:rFonts w:ascii="Times New Roman" w:hAnsi="Times New Roman"/>
          <w:szCs w:val="24"/>
        </w:rPr>
        <w:t xml:space="preserve">pagal </w:t>
      </w:r>
      <w:r w:rsidR="00064EE9" w:rsidRPr="00BB65CB">
        <w:rPr>
          <w:rFonts w:ascii="Times New Roman" w:hAnsi="Times New Roman"/>
          <w:szCs w:val="24"/>
        </w:rPr>
        <w:t>S</w:t>
      </w:r>
      <w:r w:rsidRPr="00BB65CB">
        <w:rPr>
          <w:rFonts w:ascii="Times New Roman" w:hAnsi="Times New Roman"/>
          <w:szCs w:val="24"/>
        </w:rPr>
        <w:t>utartį atliekami eurais</w:t>
      </w:r>
      <w:r w:rsidR="00BB03EF" w:rsidRPr="00F16250">
        <w:rPr>
          <w:rFonts w:ascii="Times New Roman" w:hAnsi="Times New Roman"/>
          <w:szCs w:val="24"/>
        </w:rPr>
        <w:t>, p</w:t>
      </w:r>
      <w:r w:rsidRPr="00F16250">
        <w:rPr>
          <w:rFonts w:ascii="Times New Roman" w:hAnsi="Times New Roman"/>
          <w:szCs w:val="24"/>
        </w:rPr>
        <w:t>asikeitus valiutai – nauja nacionaline valiuta</w:t>
      </w:r>
      <w:r w:rsidR="00D02BB2" w:rsidRPr="00F16250">
        <w:rPr>
          <w:rFonts w:ascii="Times New Roman" w:hAnsi="Times New Roman"/>
          <w:szCs w:val="24"/>
        </w:rPr>
        <w:t xml:space="preserve"> ir (ar) eurais</w:t>
      </w:r>
      <w:r w:rsidR="008D7ADD" w:rsidRPr="00F16250">
        <w:rPr>
          <w:rFonts w:ascii="Times New Roman" w:hAnsi="Times New Roman"/>
          <w:szCs w:val="24"/>
        </w:rPr>
        <w:t>.</w:t>
      </w:r>
    </w:p>
    <w:p w14:paraId="3611EBDF" w14:textId="205DE78B" w:rsidR="00683AE0" w:rsidRPr="00F31A6E" w:rsidRDefault="00683AE0" w:rsidP="00F31A6E">
      <w:pPr>
        <w:numPr>
          <w:ilvl w:val="1"/>
          <w:numId w:val="4"/>
        </w:numPr>
        <w:tabs>
          <w:tab w:val="left" w:pos="567"/>
        </w:tabs>
        <w:spacing w:line="276" w:lineRule="auto"/>
        <w:ind w:left="-851" w:firstLine="851"/>
        <w:jc w:val="both"/>
        <w:rPr>
          <w:rFonts w:ascii="Times New Roman" w:hAnsi="Times New Roman"/>
          <w:szCs w:val="24"/>
        </w:rPr>
      </w:pPr>
      <w:r w:rsidRPr="00F31A6E">
        <w:rPr>
          <w:rFonts w:ascii="Times New Roman" w:hAnsi="Times New Roman"/>
          <w:szCs w:val="24"/>
        </w:rPr>
        <w:t>Visi MVĮ PGF2 priemonės valdytojui mokami Faktoringo sandorio mokesčiai, palūkanos negali būti didesni nei įprastai taikomi pagal PGF2 priemonės valdytojo rinkos praktiką ir įprast</w:t>
      </w:r>
      <w:r w:rsidR="008A716B">
        <w:rPr>
          <w:rFonts w:ascii="Times New Roman" w:hAnsi="Times New Roman"/>
          <w:szCs w:val="24"/>
        </w:rPr>
        <w:t>ą</w:t>
      </w:r>
      <w:r w:rsidRPr="00F31A6E">
        <w:rPr>
          <w:rFonts w:ascii="Times New Roman" w:hAnsi="Times New Roman"/>
          <w:szCs w:val="24"/>
        </w:rPr>
        <w:t xml:space="preserve"> veiklą.</w:t>
      </w:r>
    </w:p>
    <w:p w14:paraId="57B9112C" w14:textId="77777777" w:rsidR="00EB7A7B" w:rsidRPr="008069D7" w:rsidRDefault="00EB7A7B" w:rsidP="009B0EE1">
      <w:pPr>
        <w:pStyle w:val="ListParagraph"/>
        <w:spacing w:after="0"/>
        <w:ind w:left="-851" w:firstLine="851"/>
        <w:jc w:val="both"/>
        <w:rPr>
          <w:sz w:val="24"/>
          <w:szCs w:val="24"/>
          <w:lang w:val="lt-LT"/>
        </w:rPr>
      </w:pPr>
    </w:p>
    <w:p w14:paraId="548145FA" w14:textId="77777777" w:rsidR="00856580" w:rsidRPr="008069D7" w:rsidRDefault="00856580" w:rsidP="009B0EE1">
      <w:pPr>
        <w:spacing w:line="276" w:lineRule="auto"/>
        <w:ind w:left="-851" w:firstLine="851"/>
        <w:jc w:val="center"/>
        <w:rPr>
          <w:rFonts w:ascii="Times New Roman" w:hAnsi="Times New Roman"/>
          <w:b/>
          <w:caps/>
          <w:szCs w:val="24"/>
        </w:rPr>
      </w:pPr>
      <w:r w:rsidRPr="008069D7">
        <w:rPr>
          <w:rFonts w:ascii="Times New Roman" w:hAnsi="Times New Roman"/>
          <w:b/>
          <w:caps/>
          <w:szCs w:val="24"/>
        </w:rPr>
        <w:t>III</w:t>
      </w:r>
      <w:r w:rsidR="00754F08" w:rsidRPr="008069D7">
        <w:rPr>
          <w:rFonts w:ascii="Times New Roman" w:hAnsi="Times New Roman"/>
          <w:b/>
          <w:caps/>
          <w:szCs w:val="24"/>
        </w:rPr>
        <w:t xml:space="preserve"> skyrius</w:t>
      </w:r>
      <w:r w:rsidRPr="008069D7">
        <w:rPr>
          <w:rFonts w:ascii="Times New Roman" w:hAnsi="Times New Roman"/>
          <w:b/>
          <w:caps/>
          <w:szCs w:val="24"/>
        </w:rPr>
        <w:t>.</w:t>
      </w:r>
      <w:r w:rsidR="00754F08" w:rsidRPr="008069D7">
        <w:rPr>
          <w:rFonts w:ascii="Times New Roman" w:hAnsi="Times New Roman"/>
          <w:b/>
          <w:caps/>
          <w:szCs w:val="24"/>
        </w:rPr>
        <w:t xml:space="preserve"> TEISĖS IR ĮSIPAREIGOJIMAI</w:t>
      </w:r>
    </w:p>
    <w:p w14:paraId="7E666554" w14:textId="77777777" w:rsidR="00754F08" w:rsidRPr="00C33AC8" w:rsidRDefault="00754F08" w:rsidP="009B0EE1">
      <w:pPr>
        <w:spacing w:line="276" w:lineRule="auto"/>
        <w:ind w:left="-851" w:firstLine="851"/>
        <w:jc w:val="both"/>
        <w:rPr>
          <w:rFonts w:ascii="Times New Roman" w:hAnsi="Times New Roman"/>
          <w:caps/>
          <w:szCs w:val="24"/>
          <w:highlight w:val="yellow"/>
        </w:rPr>
      </w:pPr>
    </w:p>
    <w:p w14:paraId="394A3BBB" w14:textId="77777777" w:rsidR="00754F08" w:rsidRPr="00CC3844" w:rsidRDefault="00754F08" w:rsidP="009B0EE1">
      <w:pPr>
        <w:numPr>
          <w:ilvl w:val="1"/>
          <w:numId w:val="5"/>
        </w:numPr>
        <w:tabs>
          <w:tab w:val="left" w:pos="567"/>
        </w:tabs>
        <w:spacing w:line="276" w:lineRule="auto"/>
        <w:ind w:left="-851" w:firstLine="851"/>
        <w:jc w:val="both"/>
        <w:rPr>
          <w:rFonts w:ascii="Times New Roman" w:hAnsi="Times New Roman"/>
          <w:caps/>
          <w:szCs w:val="24"/>
        </w:rPr>
      </w:pPr>
      <w:r w:rsidRPr="00CC3844">
        <w:rPr>
          <w:rFonts w:ascii="Times New Roman" w:hAnsi="Times New Roman"/>
          <w:caps/>
          <w:szCs w:val="24"/>
        </w:rPr>
        <w:t>„</w:t>
      </w:r>
      <w:r w:rsidRPr="00CC3844">
        <w:rPr>
          <w:rFonts w:ascii="Times New Roman" w:hAnsi="Times New Roman"/>
          <w:szCs w:val="24"/>
        </w:rPr>
        <w:t>Invega“ įsipareigoja:</w:t>
      </w:r>
    </w:p>
    <w:p w14:paraId="5E183322" w14:textId="7F4AD23D" w:rsidR="00EB7A7B" w:rsidRPr="00516935" w:rsidRDefault="00E7193E" w:rsidP="009B0EE1">
      <w:pPr>
        <w:numPr>
          <w:ilvl w:val="2"/>
          <w:numId w:val="5"/>
        </w:numPr>
        <w:tabs>
          <w:tab w:val="left" w:pos="851"/>
        </w:tabs>
        <w:spacing w:line="276" w:lineRule="auto"/>
        <w:ind w:left="-851" w:firstLine="851"/>
        <w:jc w:val="both"/>
        <w:rPr>
          <w:rFonts w:ascii="Times New Roman" w:hAnsi="Times New Roman"/>
          <w:caps/>
          <w:szCs w:val="24"/>
        </w:rPr>
      </w:pPr>
      <w:r w:rsidRPr="00CC3844">
        <w:rPr>
          <w:rFonts w:ascii="Times New Roman" w:hAnsi="Times New Roman"/>
          <w:szCs w:val="24"/>
        </w:rPr>
        <w:t xml:space="preserve">Sutartyje nustatyta tvarka </w:t>
      </w:r>
      <w:r w:rsidR="00055185" w:rsidRPr="00CC3844">
        <w:rPr>
          <w:rFonts w:ascii="Times New Roman" w:hAnsi="Times New Roman"/>
          <w:szCs w:val="24"/>
        </w:rPr>
        <w:t>s</w:t>
      </w:r>
      <w:r w:rsidR="000F3724" w:rsidRPr="00CC3844">
        <w:rPr>
          <w:rFonts w:ascii="Times New Roman" w:hAnsi="Times New Roman"/>
          <w:szCs w:val="24"/>
        </w:rPr>
        <w:t xml:space="preserve">uteikti </w:t>
      </w:r>
      <w:r w:rsidR="00C51F33" w:rsidRPr="00CC3844">
        <w:rPr>
          <w:rFonts w:ascii="Times New Roman" w:hAnsi="Times New Roman"/>
          <w:szCs w:val="24"/>
        </w:rPr>
        <w:t>PGF</w:t>
      </w:r>
      <w:r w:rsidR="00CC3844" w:rsidRPr="00CC3844">
        <w:rPr>
          <w:rFonts w:ascii="Times New Roman" w:hAnsi="Times New Roman"/>
          <w:szCs w:val="24"/>
        </w:rPr>
        <w:t>2</w:t>
      </w:r>
      <w:r w:rsidR="0011673E" w:rsidRPr="00CC3844">
        <w:rPr>
          <w:rFonts w:ascii="Times New Roman" w:hAnsi="Times New Roman"/>
          <w:szCs w:val="24"/>
        </w:rPr>
        <w:t xml:space="preserve"> priemonės valdytojui</w:t>
      </w:r>
      <w:r w:rsidR="00424D3C" w:rsidRPr="00CC3844">
        <w:rPr>
          <w:rFonts w:ascii="Times New Roman" w:hAnsi="Times New Roman"/>
          <w:szCs w:val="24"/>
        </w:rPr>
        <w:t xml:space="preserve"> </w:t>
      </w:r>
      <w:r w:rsidR="00BB4167" w:rsidRPr="00CC3844">
        <w:rPr>
          <w:rFonts w:ascii="Times New Roman" w:hAnsi="Times New Roman"/>
          <w:szCs w:val="24"/>
        </w:rPr>
        <w:t>P</w:t>
      </w:r>
      <w:r w:rsidR="000F3724" w:rsidRPr="00CC3844">
        <w:rPr>
          <w:rFonts w:ascii="Times New Roman" w:hAnsi="Times New Roman"/>
          <w:szCs w:val="24"/>
        </w:rPr>
        <w:t>ortfelinę garantiją</w:t>
      </w:r>
      <w:r w:rsidR="00465558" w:rsidRPr="00CC3844">
        <w:rPr>
          <w:rFonts w:ascii="Times New Roman" w:hAnsi="Times New Roman"/>
          <w:szCs w:val="24"/>
        </w:rPr>
        <w:t xml:space="preserve"> už</w:t>
      </w:r>
      <w:r w:rsidR="000F3724" w:rsidRPr="00CC3844">
        <w:rPr>
          <w:rFonts w:ascii="Times New Roman" w:hAnsi="Times New Roman"/>
          <w:szCs w:val="24"/>
        </w:rPr>
        <w:t xml:space="preserve"> </w:t>
      </w:r>
      <w:r w:rsidR="009A3835" w:rsidRPr="00CC3844">
        <w:rPr>
          <w:rFonts w:ascii="Times New Roman" w:hAnsi="Times New Roman"/>
          <w:szCs w:val="24"/>
        </w:rPr>
        <w:t xml:space="preserve">į Portfelį </w:t>
      </w:r>
      <w:r w:rsidR="009A3835" w:rsidRPr="00516935">
        <w:rPr>
          <w:rFonts w:ascii="Times New Roman" w:hAnsi="Times New Roman"/>
          <w:szCs w:val="24"/>
        </w:rPr>
        <w:t>įtraukt</w:t>
      </w:r>
      <w:r w:rsidR="00465558" w:rsidRPr="00516935">
        <w:rPr>
          <w:rFonts w:ascii="Times New Roman" w:hAnsi="Times New Roman"/>
          <w:szCs w:val="24"/>
        </w:rPr>
        <w:t>us</w:t>
      </w:r>
      <w:r w:rsidR="009A3835" w:rsidRPr="00516935">
        <w:rPr>
          <w:rFonts w:ascii="Times New Roman" w:hAnsi="Times New Roman"/>
          <w:szCs w:val="24"/>
        </w:rPr>
        <w:t xml:space="preserve"> </w:t>
      </w:r>
      <w:r w:rsidR="00DB0D69" w:rsidRPr="00516935">
        <w:rPr>
          <w:rFonts w:ascii="Times New Roman" w:hAnsi="Times New Roman"/>
          <w:szCs w:val="24"/>
        </w:rPr>
        <w:t xml:space="preserve">Faktoringo </w:t>
      </w:r>
      <w:r w:rsidR="00465558" w:rsidRPr="00516935">
        <w:rPr>
          <w:rFonts w:ascii="Times New Roman" w:hAnsi="Times New Roman"/>
          <w:szCs w:val="24"/>
        </w:rPr>
        <w:t>sandorius</w:t>
      </w:r>
      <w:r w:rsidR="00754F08" w:rsidRPr="00516935">
        <w:rPr>
          <w:rFonts w:ascii="Times New Roman" w:hAnsi="Times New Roman"/>
          <w:szCs w:val="24"/>
        </w:rPr>
        <w:t>;</w:t>
      </w:r>
    </w:p>
    <w:p w14:paraId="76F104D0" w14:textId="684A6684" w:rsidR="00EB7A7B" w:rsidRPr="00516935" w:rsidRDefault="00E7193E" w:rsidP="009B0EE1">
      <w:pPr>
        <w:numPr>
          <w:ilvl w:val="2"/>
          <w:numId w:val="5"/>
        </w:numPr>
        <w:tabs>
          <w:tab w:val="left" w:pos="851"/>
        </w:tabs>
        <w:spacing w:line="276" w:lineRule="auto"/>
        <w:ind w:left="-851" w:firstLine="851"/>
        <w:jc w:val="both"/>
        <w:rPr>
          <w:rFonts w:ascii="Times New Roman" w:hAnsi="Times New Roman"/>
          <w:caps/>
          <w:szCs w:val="24"/>
        </w:rPr>
      </w:pPr>
      <w:r w:rsidRPr="00516935">
        <w:rPr>
          <w:rFonts w:ascii="Times New Roman" w:hAnsi="Times New Roman"/>
          <w:szCs w:val="24"/>
        </w:rPr>
        <w:t>S</w:t>
      </w:r>
      <w:r w:rsidR="00754F08" w:rsidRPr="00516935">
        <w:rPr>
          <w:rFonts w:ascii="Times New Roman" w:hAnsi="Times New Roman"/>
          <w:szCs w:val="24"/>
        </w:rPr>
        <w:t>utart</w:t>
      </w:r>
      <w:r w:rsidRPr="00516935">
        <w:rPr>
          <w:rFonts w:ascii="Times New Roman" w:hAnsi="Times New Roman"/>
          <w:szCs w:val="24"/>
        </w:rPr>
        <w:t>yje</w:t>
      </w:r>
      <w:r w:rsidR="00754F08" w:rsidRPr="00516935">
        <w:rPr>
          <w:rFonts w:ascii="Times New Roman" w:hAnsi="Times New Roman"/>
          <w:szCs w:val="24"/>
        </w:rPr>
        <w:t xml:space="preserve"> nustatyta</w:t>
      </w:r>
      <w:r w:rsidR="00365832" w:rsidRPr="00516935">
        <w:rPr>
          <w:rFonts w:ascii="Times New Roman" w:hAnsi="Times New Roman"/>
          <w:szCs w:val="24"/>
        </w:rPr>
        <w:t>is atvejais ir</w:t>
      </w:r>
      <w:r w:rsidR="00754F08" w:rsidRPr="00516935">
        <w:rPr>
          <w:rFonts w:ascii="Times New Roman" w:hAnsi="Times New Roman"/>
          <w:szCs w:val="24"/>
        </w:rPr>
        <w:t xml:space="preserve"> tvarka mokėti </w:t>
      </w:r>
      <w:r w:rsidR="00C51F33" w:rsidRPr="00516935">
        <w:rPr>
          <w:rFonts w:ascii="Times New Roman" w:hAnsi="Times New Roman"/>
          <w:szCs w:val="24"/>
        </w:rPr>
        <w:t>PGF</w:t>
      </w:r>
      <w:r w:rsidR="00516935" w:rsidRPr="00516935">
        <w:rPr>
          <w:rFonts w:ascii="Times New Roman" w:hAnsi="Times New Roman"/>
          <w:szCs w:val="24"/>
        </w:rPr>
        <w:t>2</w:t>
      </w:r>
      <w:r w:rsidR="009C0181" w:rsidRPr="00516935">
        <w:rPr>
          <w:rFonts w:ascii="Times New Roman" w:hAnsi="Times New Roman"/>
          <w:szCs w:val="24"/>
        </w:rPr>
        <w:t xml:space="preserve"> priemonės valdytojui </w:t>
      </w:r>
      <w:r w:rsidR="00365832" w:rsidRPr="00516935">
        <w:rPr>
          <w:rFonts w:ascii="Times New Roman" w:hAnsi="Times New Roman"/>
          <w:szCs w:val="24"/>
        </w:rPr>
        <w:t>Garantijos išmokas</w:t>
      </w:r>
      <w:r w:rsidR="009B5582" w:rsidRPr="00516935">
        <w:rPr>
          <w:rFonts w:ascii="Times New Roman" w:hAnsi="Times New Roman"/>
          <w:szCs w:val="24"/>
        </w:rPr>
        <w:t>,</w:t>
      </w:r>
      <w:r w:rsidR="000F3724" w:rsidRPr="00516935">
        <w:rPr>
          <w:rFonts w:ascii="Times New Roman" w:hAnsi="Times New Roman"/>
          <w:szCs w:val="24"/>
        </w:rPr>
        <w:t xml:space="preserve"> </w:t>
      </w:r>
      <w:r w:rsidR="009B5582" w:rsidRPr="00516935">
        <w:rPr>
          <w:rFonts w:ascii="Times New Roman" w:hAnsi="Times New Roman"/>
          <w:szCs w:val="24"/>
        </w:rPr>
        <w:t xml:space="preserve">neviršijant </w:t>
      </w:r>
      <w:r w:rsidR="005042D6" w:rsidRPr="00516935">
        <w:rPr>
          <w:rFonts w:ascii="Times New Roman" w:hAnsi="Times New Roman"/>
          <w:szCs w:val="24"/>
        </w:rPr>
        <w:t>Didžiausios išmokų sumos</w:t>
      </w:r>
      <w:r w:rsidR="00754F08" w:rsidRPr="00516935">
        <w:rPr>
          <w:rFonts w:ascii="Times New Roman" w:hAnsi="Times New Roman"/>
          <w:szCs w:val="24"/>
        </w:rPr>
        <w:t>;</w:t>
      </w:r>
    </w:p>
    <w:p w14:paraId="17332167" w14:textId="060AB6A7" w:rsidR="00EB7A7B" w:rsidRPr="009F09F5" w:rsidRDefault="00E7193E" w:rsidP="009B0EE1">
      <w:pPr>
        <w:numPr>
          <w:ilvl w:val="2"/>
          <w:numId w:val="5"/>
        </w:numPr>
        <w:tabs>
          <w:tab w:val="left" w:pos="851"/>
        </w:tabs>
        <w:spacing w:line="276" w:lineRule="auto"/>
        <w:ind w:left="-851" w:firstLine="851"/>
        <w:jc w:val="both"/>
        <w:rPr>
          <w:rFonts w:ascii="Times New Roman" w:hAnsi="Times New Roman"/>
          <w:caps/>
          <w:szCs w:val="24"/>
        </w:rPr>
      </w:pPr>
      <w:r w:rsidRPr="009F09F5">
        <w:rPr>
          <w:rFonts w:ascii="Times New Roman" w:hAnsi="Times New Roman"/>
          <w:szCs w:val="24"/>
        </w:rPr>
        <w:t xml:space="preserve">Sutartyje nustatyta tvarka </w:t>
      </w:r>
      <w:r w:rsidR="00365832" w:rsidRPr="009F09F5">
        <w:rPr>
          <w:rFonts w:ascii="Times New Roman" w:hAnsi="Times New Roman"/>
          <w:szCs w:val="24"/>
        </w:rPr>
        <w:t xml:space="preserve">priimti </w:t>
      </w:r>
      <w:r w:rsidR="000F3724" w:rsidRPr="009F09F5">
        <w:rPr>
          <w:rFonts w:ascii="Times New Roman" w:hAnsi="Times New Roman"/>
          <w:szCs w:val="24"/>
        </w:rPr>
        <w:t xml:space="preserve">iš </w:t>
      </w:r>
      <w:r w:rsidR="00C51F33" w:rsidRPr="009F09F5">
        <w:rPr>
          <w:rFonts w:ascii="Times New Roman" w:hAnsi="Times New Roman"/>
          <w:szCs w:val="24"/>
        </w:rPr>
        <w:t>PGF</w:t>
      </w:r>
      <w:r w:rsidR="00516935" w:rsidRPr="009F09F5">
        <w:rPr>
          <w:rFonts w:ascii="Times New Roman" w:hAnsi="Times New Roman"/>
          <w:szCs w:val="24"/>
        </w:rPr>
        <w:t>2</w:t>
      </w:r>
      <w:r w:rsidR="00365832" w:rsidRPr="009F09F5">
        <w:rPr>
          <w:rFonts w:ascii="Times New Roman" w:hAnsi="Times New Roman"/>
          <w:szCs w:val="24"/>
        </w:rPr>
        <w:t xml:space="preserve"> priemonės valdytojo </w:t>
      </w:r>
      <w:r w:rsidR="009A3835" w:rsidRPr="009F09F5">
        <w:rPr>
          <w:rFonts w:ascii="Times New Roman" w:hAnsi="Times New Roman"/>
          <w:szCs w:val="24"/>
        </w:rPr>
        <w:t>išieškotas sumas pagal Problemin</w:t>
      </w:r>
      <w:r w:rsidR="006A0742" w:rsidRPr="009F09F5">
        <w:rPr>
          <w:rFonts w:ascii="Times New Roman" w:hAnsi="Times New Roman"/>
          <w:szCs w:val="24"/>
        </w:rPr>
        <w:t>i</w:t>
      </w:r>
      <w:r w:rsidR="003225B6" w:rsidRPr="009F09F5">
        <w:rPr>
          <w:rFonts w:ascii="Times New Roman" w:hAnsi="Times New Roman"/>
          <w:szCs w:val="24"/>
        </w:rPr>
        <w:t>us</w:t>
      </w:r>
      <w:r w:rsidR="009A3835" w:rsidRPr="009F09F5">
        <w:rPr>
          <w:rFonts w:ascii="Times New Roman" w:hAnsi="Times New Roman"/>
          <w:szCs w:val="24"/>
        </w:rPr>
        <w:t xml:space="preserve"> </w:t>
      </w:r>
      <w:r w:rsidR="00BE1664" w:rsidRPr="009F09F5">
        <w:rPr>
          <w:rFonts w:ascii="Times New Roman" w:hAnsi="Times New Roman"/>
          <w:szCs w:val="24"/>
        </w:rPr>
        <w:t xml:space="preserve">Faktoringo </w:t>
      </w:r>
      <w:r w:rsidR="003225B6" w:rsidRPr="009F09F5">
        <w:rPr>
          <w:rFonts w:ascii="Times New Roman" w:hAnsi="Times New Roman"/>
          <w:szCs w:val="24"/>
        </w:rPr>
        <w:t>sandorius</w:t>
      </w:r>
      <w:r w:rsidR="009B5582" w:rsidRPr="009F09F5">
        <w:rPr>
          <w:rFonts w:ascii="Times New Roman" w:hAnsi="Times New Roman"/>
          <w:szCs w:val="24"/>
        </w:rPr>
        <w:t>,</w:t>
      </w:r>
      <w:r w:rsidR="009A3835" w:rsidRPr="009F09F5">
        <w:rPr>
          <w:rFonts w:ascii="Times New Roman" w:hAnsi="Times New Roman"/>
          <w:szCs w:val="24"/>
        </w:rPr>
        <w:t xml:space="preserve"> už kuri</w:t>
      </w:r>
      <w:r w:rsidR="003225B6" w:rsidRPr="009F09F5">
        <w:rPr>
          <w:rFonts w:ascii="Times New Roman" w:hAnsi="Times New Roman"/>
          <w:szCs w:val="24"/>
        </w:rPr>
        <w:t>uo</w:t>
      </w:r>
      <w:r w:rsidR="009A3835" w:rsidRPr="009F09F5">
        <w:rPr>
          <w:rFonts w:ascii="Times New Roman" w:hAnsi="Times New Roman"/>
          <w:szCs w:val="24"/>
        </w:rPr>
        <w:t xml:space="preserve">s buvo </w:t>
      </w:r>
      <w:r w:rsidR="00465558" w:rsidRPr="009F09F5">
        <w:rPr>
          <w:rFonts w:ascii="Times New Roman" w:hAnsi="Times New Roman"/>
          <w:szCs w:val="24"/>
        </w:rPr>
        <w:t xml:space="preserve">sumokėta </w:t>
      </w:r>
      <w:r w:rsidR="002A14D9" w:rsidRPr="009F09F5">
        <w:rPr>
          <w:rFonts w:ascii="Times New Roman" w:hAnsi="Times New Roman"/>
          <w:szCs w:val="24"/>
        </w:rPr>
        <w:t xml:space="preserve">Garantijos </w:t>
      </w:r>
      <w:r w:rsidR="00940ABC" w:rsidRPr="009F09F5">
        <w:rPr>
          <w:rFonts w:ascii="Times New Roman" w:hAnsi="Times New Roman"/>
          <w:szCs w:val="24"/>
        </w:rPr>
        <w:t>išmoka</w:t>
      </w:r>
      <w:r w:rsidR="00365832" w:rsidRPr="009F09F5">
        <w:rPr>
          <w:rFonts w:ascii="Times New Roman" w:hAnsi="Times New Roman"/>
          <w:szCs w:val="24"/>
        </w:rPr>
        <w:t>;</w:t>
      </w:r>
    </w:p>
    <w:p w14:paraId="71D01CD6" w14:textId="62A621B2" w:rsidR="00EB7A7B" w:rsidRPr="009F09F5" w:rsidRDefault="00465558" w:rsidP="009B0EE1">
      <w:pPr>
        <w:numPr>
          <w:ilvl w:val="2"/>
          <w:numId w:val="5"/>
        </w:numPr>
        <w:tabs>
          <w:tab w:val="left" w:pos="851"/>
        </w:tabs>
        <w:spacing w:line="276" w:lineRule="auto"/>
        <w:ind w:left="-851" w:firstLine="851"/>
        <w:jc w:val="both"/>
        <w:rPr>
          <w:rFonts w:ascii="Times New Roman" w:hAnsi="Times New Roman"/>
          <w:caps/>
          <w:szCs w:val="24"/>
        </w:rPr>
      </w:pPr>
      <w:r w:rsidRPr="009F09F5">
        <w:rPr>
          <w:rFonts w:ascii="Times New Roman" w:hAnsi="Times New Roman"/>
          <w:szCs w:val="24"/>
        </w:rPr>
        <w:t xml:space="preserve">Konsultuoti </w:t>
      </w:r>
      <w:r w:rsidR="00C51F33" w:rsidRPr="009F09F5">
        <w:rPr>
          <w:rFonts w:ascii="Times New Roman" w:hAnsi="Times New Roman"/>
          <w:szCs w:val="24"/>
        </w:rPr>
        <w:t>PGF</w:t>
      </w:r>
      <w:r w:rsidR="009F09F5" w:rsidRPr="009F09F5">
        <w:rPr>
          <w:rFonts w:ascii="Times New Roman" w:hAnsi="Times New Roman"/>
          <w:szCs w:val="24"/>
        </w:rPr>
        <w:t>2</w:t>
      </w:r>
      <w:r w:rsidR="009C0181" w:rsidRPr="009F09F5">
        <w:rPr>
          <w:rFonts w:ascii="Times New Roman" w:hAnsi="Times New Roman"/>
          <w:szCs w:val="24"/>
        </w:rPr>
        <w:t xml:space="preserve"> priemonės valdytoją </w:t>
      </w:r>
      <w:r w:rsidR="00754F08" w:rsidRPr="009F09F5">
        <w:rPr>
          <w:rFonts w:ascii="Times New Roman" w:hAnsi="Times New Roman"/>
          <w:szCs w:val="24"/>
        </w:rPr>
        <w:t xml:space="preserve">Sutarties </w:t>
      </w:r>
      <w:r w:rsidR="007D2413" w:rsidRPr="009F09F5">
        <w:rPr>
          <w:rFonts w:ascii="Times New Roman" w:hAnsi="Times New Roman"/>
          <w:szCs w:val="24"/>
        </w:rPr>
        <w:t>VIII s</w:t>
      </w:r>
      <w:r w:rsidR="00754F08" w:rsidRPr="009F09F5">
        <w:rPr>
          <w:rFonts w:ascii="Times New Roman" w:hAnsi="Times New Roman"/>
          <w:szCs w:val="24"/>
        </w:rPr>
        <w:t>kyriuje numatytų ataskaitų teikimo</w:t>
      </w:r>
      <w:r w:rsidR="00722BF2" w:rsidRPr="009F09F5">
        <w:rPr>
          <w:rFonts w:ascii="Times New Roman" w:hAnsi="Times New Roman"/>
          <w:szCs w:val="24"/>
        </w:rPr>
        <w:t xml:space="preserve"> ir Sutarties nuostatų aiškinimo</w:t>
      </w:r>
      <w:r w:rsidR="00754F08" w:rsidRPr="009F09F5">
        <w:rPr>
          <w:rFonts w:ascii="Times New Roman" w:hAnsi="Times New Roman"/>
          <w:szCs w:val="24"/>
        </w:rPr>
        <w:t xml:space="preserve"> klausimais</w:t>
      </w:r>
      <w:r w:rsidR="008E5B4B" w:rsidRPr="009F09F5">
        <w:rPr>
          <w:rFonts w:ascii="Times New Roman" w:hAnsi="Times New Roman"/>
          <w:szCs w:val="24"/>
        </w:rPr>
        <w:t>. „Inveg</w:t>
      </w:r>
      <w:r w:rsidR="00E9018C" w:rsidRPr="009F09F5">
        <w:rPr>
          <w:rFonts w:ascii="Times New Roman" w:hAnsi="Times New Roman"/>
          <w:szCs w:val="24"/>
        </w:rPr>
        <w:t>os</w:t>
      </w:r>
      <w:r w:rsidR="008E5B4B" w:rsidRPr="009F09F5">
        <w:rPr>
          <w:rFonts w:ascii="Times New Roman" w:hAnsi="Times New Roman"/>
          <w:szCs w:val="24"/>
        </w:rPr>
        <w:t>“ teikiami išaiškinimai Sutartyje nurodytu el</w:t>
      </w:r>
      <w:r w:rsidR="00E9018C" w:rsidRPr="009F09F5">
        <w:rPr>
          <w:rFonts w:ascii="Times New Roman" w:hAnsi="Times New Roman"/>
          <w:szCs w:val="24"/>
        </w:rPr>
        <w:t>ektroninio pašto adresu</w:t>
      </w:r>
      <w:r w:rsidR="008E5B4B" w:rsidRPr="009F09F5">
        <w:rPr>
          <w:rFonts w:ascii="Times New Roman" w:hAnsi="Times New Roman"/>
          <w:szCs w:val="24"/>
        </w:rPr>
        <w:t xml:space="preserve"> yra laikomi oficialia „Invega“ nuomone</w:t>
      </w:r>
      <w:r w:rsidR="00AE15FE" w:rsidRPr="009F09F5">
        <w:rPr>
          <w:rFonts w:ascii="Times New Roman" w:hAnsi="Times New Roman"/>
          <w:szCs w:val="24"/>
        </w:rPr>
        <w:t xml:space="preserve">. </w:t>
      </w:r>
      <w:r w:rsidR="00C1257A" w:rsidRPr="009F09F5">
        <w:rPr>
          <w:rFonts w:ascii="Times New Roman" w:hAnsi="Times New Roman"/>
          <w:szCs w:val="24"/>
        </w:rPr>
        <w:t>„Invega“ nėra įgaliota ir neturi teisės aiškinti ES ar nacionalinių tesės aktų nuostatų</w:t>
      </w:r>
      <w:r w:rsidR="00754F08" w:rsidRPr="009F09F5">
        <w:rPr>
          <w:rFonts w:ascii="Times New Roman" w:hAnsi="Times New Roman"/>
          <w:szCs w:val="24"/>
        </w:rPr>
        <w:t>;</w:t>
      </w:r>
    </w:p>
    <w:p w14:paraId="0E1F5479" w14:textId="1E64C525" w:rsidR="00754F08" w:rsidRPr="00467019" w:rsidRDefault="00465558" w:rsidP="009B0EE1">
      <w:pPr>
        <w:numPr>
          <w:ilvl w:val="2"/>
          <w:numId w:val="5"/>
        </w:numPr>
        <w:tabs>
          <w:tab w:val="left" w:pos="851"/>
        </w:tabs>
        <w:spacing w:line="276" w:lineRule="auto"/>
        <w:ind w:left="-851" w:firstLine="851"/>
        <w:jc w:val="both"/>
        <w:rPr>
          <w:rFonts w:ascii="Times New Roman" w:hAnsi="Times New Roman"/>
          <w:caps/>
          <w:szCs w:val="24"/>
        </w:rPr>
      </w:pPr>
      <w:r w:rsidRPr="009F09F5">
        <w:rPr>
          <w:rFonts w:ascii="Times New Roman" w:hAnsi="Times New Roman"/>
          <w:szCs w:val="24"/>
        </w:rPr>
        <w:t xml:space="preserve">Kilus </w:t>
      </w:r>
      <w:r w:rsidR="00754F08" w:rsidRPr="009F09F5">
        <w:rPr>
          <w:rFonts w:ascii="Times New Roman" w:hAnsi="Times New Roman"/>
          <w:szCs w:val="24"/>
        </w:rPr>
        <w:t xml:space="preserve">nesutarimams ar sunkumams dėl Sutarties vykdymo, </w:t>
      </w:r>
      <w:r w:rsidRPr="009F09F5">
        <w:rPr>
          <w:rFonts w:ascii="Times New Roman" w:hAnsi="Times New Roman"/>
          <w:szCs w:val="24"/>
        </w:rPr>
        <w:t xml:space="preserve">apie tai </w:t>
      </w:r>
      <w:r w:rsidR="00754F08" w:rsidRPr="009F09F5">
        <w:rPr>
          <w:rFonts w:ascii="Times New Roman" w:hAnsi="Times New Roman"/>
          <w:szCs w:val="24"/>
        </w:rPr>
        <w:t xml:space="preserve">informuoti </w:t>
      </w:r>
      <w:r w:rsidR="00E80AA0" w:rsidRPr="009F09F5">
        <w:rPr>
          <w:rFonts w:ascii="Times New Roman" w:hAnsi="Times New Roman"/>
          <w:szCs w:val="24"/>
        </w:rPr>
        <w:t>PGF2</w:t>
      </w:r>
      <w:r w:rsidR="00E80AA0">
        <w:rPr>
          <w:rFonts w:ascii="Times New Roman" w:hAnsi="Times New Roman"/>
          <w:szCs w:val="24"/>
        </w:rPr>
        <w:t> </w:t>
      </w:r>
      <w:r w:rsidR="009C0181" w:rsidRPr="009F09F5">
        <w:rPr>
          <w:rFonts w:ascii="Times New Roman" w:hAnsi="Times New Roman"/>
          <w:szCs w:val="24"/>
        </w:rPr>
        <w:t xml:space="preserve">priemonės </w:t>
      </w:r>
      <w:r w:rsidR="009C0181" w:rsidRPr="00467019">
        <w:rPr>
          <w:rFonts w:ascii="Times New Roman" w:hAnsi="Times New Roman"/>
          <w:szCs w:val="24"/>
        </w:rPr>
        <w:t xml:space="preserve">valdytoją </w:t>
      </w:r>
      <w:r w:rsidR="00E80AA0">
        <w:rPr>
          <w:rFonts w:ascii="Times New Roman" w:hAnsi="Times New Roman"/>
          <w:szCs w:val="24"/>
        </w:rPr>
        <w:t>ir</w:t>
      </w:r>
      <w:r w:rsidR="00E80AA0" w:rsidRPr="00467019">
        <w:rPr>
          <w:rFonts w:ascii="Times New Roman" w:hAnsi="Times New Roman"/>
          <w:szCs w:val="24"/>
        </w:rPr>
        <w:t xml:space="preserve"> </w:t>
      </w:r>
      <w:r w:rsidR="00754F08" w:rsidRPr="00467019">
        <w:rPr>
          <w:rFonts w:ascii="Times New Roman" w:hAnsi="Times New Roman"/>
          <w:szCs w:val="24"/>
        </w:rPr>
        <w:t>parengti siūlymus dėl šių nesutarimų ar sunkumų pašalinimo.</w:t>
      </w:r>
    </w:p>
    <w:p w14:paraId="08A37F91" w14:textId="692F7E27" w:rsidR="003452FA" w:rsidRPr="00467019" w:rsidRDefault="0063790B" w:rsidP="009B0EE1">
      <w:pPr>
        <w:numPr>
          <w:ilvl w:val="1"/>
          <w:numId w:val="5"/>
        </w:numPr>
        <w:tabs>
          <w:tab w:val="left" w:pos="567"/>
        </w:tabs>
        <w:spacing w:line="276" w:lineRule="auto"/>
        <w:ind w:left="-851" w:firstLine="851"/>
        <w:jc w:val="both"/>
        <w:rPr>
          <w:rFonts w:ascii="Times New Roman" w:hAnsi="Times New Roman"/>
          <w:caps/>
          <w:szCs w:val="24"/>
        </w:rPr>
      </w:pPr>
      <w:r w:rsidRPr="00467019">
        <w:rPr>
          <w:rFonts w:ascii="Times New Roman" w:hAnsi="Times New Roman"/>
          <w:szCs w:val="24"/>
        </w:rPr>
        <w:t>„Invega“ turi teisę:</w:t>
      </w:r>
    </w:p>
    <w:p w14:paraId="5E0799F3" w14:textId="5211EEB8" w:rsidR="003452FA" w:rsidRPr="00467019" w:rsidRDefault="00465558" w:rsidP="009B0EE1">
      <w:pPr>
        <w:numPr>
          <w:ilvl w:val="2"/>
          <w:numId w:val="5"/>
        </w:numPr>
        <w:tabs>
          <w:tab w:val="left" w:pos="851"/>
        </w:tabs>
        <w:spacing w:line="276" w:lineRule="auto"/>
        <w:ind w:left="-851" w:firstLine="851"/>
        <w:jc w:val="both"/>
        <w:rPr>
          <w:rFonts w:ascii="Times New Roman" w:hAnsi="Times New Roman"/>
          <w:caps/>
          <w:szCs w:val="24"/>
        </w:rPr>
      </w:pPr>
      <w:r w:rsidRPr="00467019">
        <w:rPr>
          <w:rFonts w:eastAsia="Calibri"/>
        </w:rPr>
        <w:t xml:space="preserve">Bet </w:t>
      </w:r>
      <w:r w:rsidR="003452FA" w:rsidRPr="00467019">
        <w:rPr>
          <w:rFonts w:eastAsia="Calibri"/>
        </w:rPr>
        <w:t>kuriuo metu gali (tačiau neprivalo) patikrinti, ar į Portfelį įtrauktas Faktoringo sandoris atitinka Tinkamumo sąlygas;</w:t>
      </w:r>
    </w:p>
    <w:p w14:paraId="3B7B2F87" w14:textId="22523EB3" w:rsidR="00EB7A7B" w:rsidRPr="005239C7" w:rsidRDefault="00465558" w:rsidP="009B0EE1">
      <w:pPr>
        <w:numPr>
          <w:ilvl w:val="2"/>
          <w:numId w:val="5"/>
        </w:numPr>
        <w:tabs>
          <w:tab w:val="left" w:pos="851"/>
        </w:tabs>
        <w:spacing w:line="276" w:lineRule="auto"/>
        <w:ind w:left="-851" w:firstLine="851"/>
        <w:jc w:val="both"/>
        <w:rPr>
          <w:rFonts w:ascii="Times New Roman" w:hAnsi="Times New Roman"/>
          <w:caps/>
          <w:szCs w:val="24"/>
        </w:rPr>
      </w:pPr>
      <w:r w:rsidRPr="005239C7">
        <w:rPr>
          <w:rFonts w:ascii="Times New Roman" w:hAnsi="Times New Roman"/>
          <w:szCs w:val="24"/>
        </w:rPr>
        <w:t xml:space="preserve">Išieškoti </w:t>
      </w:r>
      <w:r w:rsidR="0063790B" w:rsidRPr="005239C7">
        <w:rPr>
          <w:rFonts w:ascii="Times New Roman" w:hAnsi="Times New Roman"/>
          <w:szCs w:val="24"/>
        </w:rPr>
        <w:t xml:space="preserve">iš </w:t>
      </w:r>
      <w:r w:rsidR="00C51F33" w:rsidRPr="005239C7">
        <w:rPr>
          <w:rFonts w:ascii="Times New Roman" w:hAnsi="Times New Roman"/>
          <w:szCs w:val="24"/>
        </w:rPr>
        <w:t>PGF</w:t>
      </w:r>
      <w:r w:rsidR="00467019" w:rsidRPr="005239C7">
        <w:rPr>
          <w:rFonts w:ascii="Times New Roman" w:hAnsi="Times New Roman"/>
          <w:szCs w:val="24"/>
        </w:rPr>
        <w:t>2</w:t>
      </w:r>
      <w:r w:rsidR="009C0181" w:rsidRPr="005239C7">
        <w:rPr>
          <w:rFonts w:ascii="Times New Roman" w:hAnsi="Times New Roman"/>
          <w:szCs w:val="24"/>
        </w:rPr>
        <w:t xml:space="preserve"> priemonės valdytojo</w:t>
      </w:r>
      <w:r w:rsidR="0063790B" w:rsidRPr="005239C7">
        <w:rPr>
          <w:rFonts w:ascii="Times New Roman" w:hAnsi="Times New Roman"/>
          <w:szCs w:val="24"/>
        </w:rPr>
        <w:t xml:space="preserve"> nuostolius, kilusius dėl netinkamų Sutartyje nustatytų įsipareigojimų vykdymo</w:t>
      </w:r>
      <w:r w:rsidR="00434F00" w:rsidRPr="005239C7">
        <w:rPr>
          <w:rFonts w:ascii="Times New Roman" w:hAnsi="Times New Roman"/>
          <w:szCs w:val="24"/>
        </w:rPr>
        <w:t>, o</w:t>
      </w:r>
      <w:r w:rsidR="00B71EBF" w:rsidRPr="005239C7">
        <w:rPr>
          <w:rFonts w:ascii="Times New Roman" w:hAnsi="Times New Roman"/>
          <w:szCs w:val="24"/>
        </w:rPr>
        <w:t xml:space="preserve"> </w:t>
      </w:r>
      <w:r w:rsidR="00434F00" w:rsidRPr="005239C7">
        <w:rPr>
          <w:rFonts w:ascii="Times New Roman" w:hAnsi="Times New Roman"/>
          <w:szCs w:val="24"/>
        </w:rPr>
        <w:t>n</w:t>
      </w:r>
      <w:r w:rsidR="00B71EBF" w:rsidRPr="005239C7">
        <w:rPr>
          <w:rFonts w:ascii="Times New Roman" w:hAnsi="Times New Roman"/>
          <w:szCs w:val="24"/>
        </w:rPr>
        <w:t xml:space="preserve">ustačiusi </w:t>
      </w:r>
      <w:r w:rsidR="00013C53" w:rsidRPr="005239C7">
        <w:rPr>
          <w:rFonts w:ascii="Times New Roman" w:hAnsi="Times New Roman"/>
          <w:szCs w:val="24"/>
        </w:rPr>
        <w:t>Neatitikim</w:t>
      </w:r>
      <w:r w:rsidR="00B71EBF" w:rsidRPr="005239C7">
        <w:rPr>
          <w:rFonts w:ascii="Times New Roman" w:hAnsi="Times New Roman"/>
          <w:szCs w:val="24"/>
        </w:rPr>
        <w:t xml:space="preserve">ą, </w:t>
      </w:r>
      <w:r w:rsidR="00A04CC7" w:rsidRPr="005239C7">
        <w:rPr>
          <w:rFonts w:ascii="Times New Roman" w:hAnsi="Times New Roman"/>
          <w:szCs w:val="24"/>
        </w:rPr>
        <w:t xml:space="preserve">susigrąžinti </w:t>
      </w:r>
      <w:r w:rsidR="00916FE6" w:rsidRPr="005239C7">
        <w:rPr>
          <w:rFonts w:ascii="Times New Roman" w:hAnsi="Times New Roman"/>
          <w:szCs w:val="24"/>
        </w:rPr>
        <w:t>išmokėtas Garantijos išmokas</w:t>
      </w:r>
      <w:r w:rsidR="003225B6" w:rsidRPr="005239C7">
        <w:rPr>
          <w:rFonts w:ascii="Times New Roman" w:hAnsi="Times New Roman"/>
          <w:szCs w:val="24"/>
        </w:rPr>
        <w:t>;</w:t>
      </w:r>
      <w:r w:rsidR="00B71EBF" w:rsidRPr="005239C7">
        <w:rPr>
          <w:rFonts w:ascii="Times New Roman" w:hAnsi="Times New Roman"/>
          <w:szCs w:val="24"/>
        </w:rPr>
        <w:t xml:space="preserve"> </w:t>
      </w:r>
    </w:p>
    <w:p w14:paraId="61E5C598" w14:textId="77CBED17" w:rsidR="00EB7A7B" w:rsidRPr="005239C7" w:rsidRDefault="00465558" w:rsidP="009B0EE1">
      <w:pPr>
        <w:numPr>
          <w:ilvl w:val="2"/>
          <w:numId w:val="5"/>
        </w:numPr>
        <w:tabs>
          <w:tab w:val="left" w:pos="851"/>
        </w:tabs>
        <w:spacing w:line="276" w:lineRule="auto"/>
        <w:ind w:left="-851" w:firstLine="851"/>
        <w:jc w:val="both"/>
        <w:rPr>
          <w:rFonts w:ascii="Times New Roman" w:hAnsi="Times New Roman"/>
          <w:caps/>
          <w:szCs w:val="24"/>
        </w:rPr>
      </w:pPr>
      <w:r w:rsidRPr="005239C7">
        <w:rPr>
          <w:rFonts w:ascii="Times New Roman" w:hAnsi="Times New Roman"/>
          <w:szCs w:val="24"/>
        </w:rPr>
        <w:t xml:space="preserve">Įtarusi </w:t>
      </w:r>
      <w:r w:rsidR="00013C53" w:rsidRPr="005239C7">
        <w:rPr>
          <w:rFonts w:ascii="Times New Roman" w:hAnsi="Times New Roman"/>
          <w:szCs w:val="24"/>
        </w:rPr>
        <w:t>Neatitikim</w:t>
      </w:r>
      <w:r w:rsidR="00E23D57" w:rsidRPr="005239C7">
        <w:rPr>
          <w:rFonts w:ascii="Times New Roman" w:hAnsi="Times New Roman"/>
          <w:szCs w:val="24"/>
        </w:rPr>
        <w:t>ą</w:t>
      </w:r>
      <w:r w:rsidR="005A0394" w:rsidRPr="005239C7">
        <w:rPr>
          <w:rFonts w:ascii="Times New Roman" w:hAnsi="Times New Roman"/>
          <w:szCs w:val="24"/>
        </w:rPr>
        <w:t>,</w:t>
      </w:r>
      <w:r w:rsidR="00B07932" w:rsidRPr="005239C7">
        <w:rPr>
          <w:rFonts w:ascii="Times New Roman" w:hAnsi="Times New Roman"/>
          <w:szCs w:val="24"/>
        </w:rPr>
        <w:t xml:space="preserve"> atlikti jo tyrimą</w:t>
      </w:r>
      <w:r w:rsidR="00B233CD" w:rsidRPr="005239C7">
        <w:rPr>
          <w:rFonts w:ascii="Times New Roman" w:hAnsi="Times New Roman"/>
          <w:szCs w:val="24"/>
        </w:rPr>
        <w:t>,</w:t>
      </w:r>
      <w:r w:rsidR="00B07932" w:rsidRPr="005239C7">
        <w:rPr>
          <w:rFonts w:ascii="Times New Roman" w:hAnsi="Times New Roman"/>
          <w:szCs w:val="24"/>
        </w:rPr>
        <w:t xml:space="preserve"> t</w:t>
      </w:r>
      <w:r w:rsidR="003F11B9" w:rsidRPr="005239C7">
        <w:rPr>
          <w:rFonts w:ascii="Times New Roman" w:hAnsi="Times New Roman"/>
          <w:szCs w:val="24"/>
        </w:rPr>
        <w:t>.</w:t>
      </w:r>
      <w:r w:rsidR="00B07932" w:rsidRPr="005239C7">
        <w:rPr>
          <w:rFonts w:ascii="Times New Roman" w:hAnsi="Times New Roman"/>
          <w:szCs w:val="24"/>
        </w:rPr>
        <w:t xml:space="preserve"> y</w:t>
      </w:r>
      <w:r w:rsidR="003F11B9" w:rsidRPr="005239C7">
        <w:rPr>
          <w:rFonts w:ascii="Times New Roman" w:hAnsi="Times New Roman"/>
          <w:szCs w:val="24"/>
        </w:rPr>
        <w:t>.</w:t>
      </w:r>
      <w:r w:rsidR="00EC3CCB" w:rsidRPr="005239C7">
        <w:rPr>
          <w:rFonts w:ascii="Times New Roman" w:hAnsi="Times New Roman"/>
          <w:szCs w:val="24"/>
        </w:rPr>
        <w:t xml:space="preserve"> iš </w:t>
      </w:r>
      <w:r w:rsidR="00C51F33" w:rsidRPr="005239C7">
        <w:rPr>
          <w:rFonts w:ascii="Times New Roman" w:hAnsi="Times New Roman"/>
          <w:szCs w:val="24"/>
        </w:rPr>
        <w:t>PGF</w:t>
      </w:r>
      <w:r w:rsidR="005239C7" w:rsidRPr="005239C7">
        <w:rPr>
          <w:rFonts w:ascii="Times New Roman" w:hAnsi="Times New Roman"/>
          <w:szCs w:val="24"/>
        </w:rPr>
        <w:t>2</w:t>
      </w:r>
      <w:r w:rsidR="00EC3CCB" w:rsidRPr="005239C7">
        <w:rPr>
          <w:rFonts w:ascii="Times New Roman" w:hAnsi="Times New Roman"/>
          <w:szCs w:val="24"/>
        </w:rPr>
        <w:t xml:space="preserve"> priemonės valdytojo</w:t>
      </w:r>
      <w:r w:rsidR="00E12736" w:rsidRPr="005239C7">
        <w:rPr>
          <w:rFonts w:ascii="Times New Roman" w:hAnsi="Times New Roman"/>
          <w:szCs w:val="24"/>
        </w:rPr>
        <w:t xml:space="preserve"> gauti visą su įtariamu </w:t>
      </w:r>
      <w:r w:rsidR="00013C53" w:rsidRPr="005239C7">
        <w:rPr>
          <w:rFonts w:ascii="Times New Roman" w:hAnsi="Times New Roman"/>
          <w:szCs w:val="24"/>
        </w:rPr>
        <w:t>Neatitikim</w:t>
      </w:r>
      <w:r w:rsidR="00E12736" w:rsidRPr="005239C7">
        <w:rPr>
          <w:rFonts w:ascii="Times New Roman" w:hAnsi="Times New Roman"/>
          <w:szCs w:val="24"/>
        </w:rPr>
        <w:t xml:space="preserve">u susijusią informaciją, fiksuoti jį atitinkamuose registruose </w:t>
      </w:r>
      <w:r w:rsidR="00E874B1">
        <w:rPr>
          <w:rFonts w:ascii="Times New Roman" w:hAnsi="Times New Roman"/>
          <w:szCs w:val="24"/>
        </w:rPr>
        <w:t>ir</w:t>
      </w:r>
      <w:r w:rsidR="00E874B1" w:rsidRPr="005239C7">
        <w:rPr>
          <w:rFonts w:ascii="Times New Roman" w:hAnsi="Times New Roman"/>
          <w:szCs w:val="24"/>
        </w:rPr>
        <w:t xml:space="preserve"> </w:t>
      </w:r>
      <w:r w:rsidR="00E12736" w:rsidRPr="005239C7">
        <w:rPr>
          <w:rFonts w:ascii="Times New Roman" w:hAnsi="Times New Roman"/>
          <w:szCs w:val="24"/>
        </w:rPr>
        <w:t>imtis</w:t>
      </w:r>
      <w:r w:rsidR="00535B05" w:rsidRPr="005239C7">
        <w:rPr>
          <w:rFonts w:ascii="Times New Roman" w:hAnsi="Times New Roman"/>
          <w:szCs w:val="24"/>
        </w:rPr>
        <w:t xml:space="preserve"> kitų</w:t>
      </w:r>
      <w:r w:rsidR="00E12736" w:rsidRPr="005239C7">
        <w:rPr>
          <w:rFonts w:ascii="Times New Roman" w:hAnsi="Times New Roman"/>
          <w:szCs w:val="24"/>
        </w:rPr>
        <w:t xml:space="preserve"> </w:t>
      </w:r>
      <w:r w:rsidR="00455BE7" w:rsidRPr="005239C7">
        <w:rPr>
          <w:rFonts w:ascii="Times New Roman" w:hAnsi="Times New Roman"/>
          <w:szCs w:val="24"/>
        </w:rPr>
        <w:t xml:space="preserve">reikiamų </w:t>
      </w:r>
      <w:r w:rsidR="00E12736" w:rsidRPr="005239C7">
        <w:rPr>
          <w:rFonts w:ascii="Times New Roman" w:hAnsi="Times New Roman"/>
          <w:szCs w:val="24"/>
        </w:rPr>
        <w:t xml:space="preserve">veiksmų, susijusių su </w:t>
      </w:r>
      <w:r w:rsidR="00013C53" w:rsidRPr="005239C7">
        <w:rPr>
          <w:rFonts w:ascii="Times New Roman" w:hAnsi="Times New Roman"/>
          <w:szCs w:val="24"/>
        </w:rPr>
        <w:t>Neatitikim</w:t>
      </w:r>
      <w:r w:rsidR="00E12736" w:rsidRPr="005239C7">
        <w:rPr>
          <w:rFonts w:ascii="Times New Roman" w:hAnsi="Times New Roman"/>
          <w:szCs w:val="24"/>
        </w:rPr>
        <w:t xml:space="preserve">o </w:t>
      </w:r>
      <w:r w:rsidR="00535B05" w:rsidRPr="005239C7">
        <w:rPr>
          <w:rFonts w:ascii="Times New Roman" w:hAnsi="Times New Roman"/>
          <w:szCs w:val="24"/>
        </w:rPr>
        <w:t xml:space="preserve">ištaisymo kontrole </w:t>
      </w:r>
      <w:r w:rsidR="00E874B1">
        <w:rPr>
          <w:rFonts w:ascii="Times New Roman" w:hAnsi="Times New Roman"/>
          <w:szCs w:val="24"/>
        </w:rPr>
        <w:t>bei</w:t>
      </w:r>
      <w:r w:rsidR="00E874B1" w:rsidRPr="005239C7">
        <w:rPr>
          <w:rFonts w:ascii="Times New Roman" w:hAnsi="Times New Roman"/>
          <w:szCs w:val="24"/>
        </w:rPr>
        <w:t xml:space="preserve"> </w:t>
      </w:r>
      <w:r w:rsidR="00535B05" w:rsidRPr="005239C7">
        <w:rPr>
          <w:rFonts w:ascii="Times New Roman" w:hAnsi="Times New Roman"/>
          <w:szCs w:val="24"/>
        </w:rPr>
        <w:t>prevencija</w:t>
      </w:r>
      <w:r w:rsidR="00013C53" w:rsidRPr="005239C7">
        <w:rPr>
          <w:rFonts w:ascii="Times New Roman" w:hAnsi="Times New Roman"/>
          <w:szCs w:val="24"/>
        </w:rPr>
        <w:t>;</w:t>
      </w:r>
    </w:p>
    <w:p w14:paraId="75FB318C" w14:textId="42CD4EA6" w:rsidR="00550312" w:rsidRPr="005239C7" w:rsidRDefault="00C51F33" w:rsidP="009B0EE1">
      <w:pPr>
        <w:numPr>
          <w:ilvl w:val="2"/>
          <w:numId w:val="5"/>
        </w:numPr>
        <w:tabs>
          <w:tab w:val="left" w:pos="851"/>
        </w:tabs>
        <w:spacing w:line="276" w:lineRule="auto"/>
        <w:ind w:left="-851" w:firstLine="851"/>
        <w:jc w:val="both"/>
        <w:rPr>
          <w:rFonts w:ascii="Times New Roman" w:hAnsi="Times New Roman"/>
          <w:caps/>
          <w:szCs w:val="24"/>
        </w:rPr>
      </w:pPr>
      <w:r w:rsidRPr="005239C7">
        <w:rPr>
          <w:rFonts w:ascii="Times New Roman" w:hAnsi="Times New Roman"/>
          <w:szCs w:val="24"/>
        </w:rPr>
        <w:t>PGF</w:t>
      </w:r>
      <w:r w:rsidR="005239C7" w:rsidRPr="005239C7">
        <w:rPr>
          <w:rFonts w:ascii="Times New Roman" w:hAnsi="Times New Roman"/>
          <w:szCs w:val="24"/>
        </w:rPr>
        <w:t>2</w:t>
      </w:r>
      <w:r w:rsidR="00EC3CCB" w:rsidRPr="005239C7">
        <w:rPr>
          <w:rFonts w:ascii="Times New Roman" w:hAnsi="Times New Roman"/>
          <w:szCs w:val="24"/>
        </w:rPr>
        <w:t xml:space="preserve"> priemonės valdytojui </w:t>
      </w:r>
      <w:r w:rsidR="0063790B" w:rsidRPr="005239C7">
        <w:rPr>
          <w:rFonts w:ascii="Times New Roman" w:hAnsi="Times New Roman"/>
          <w:szCs w:val="24"/>
        </w:rPr>
        <w:t>nevykdant</w:t>
      </w:r>
      <w:r w:rsidR="00916FE6" w:rsidRPr="005239C7">
        <w:rPr>
          <w:rFonts w:ascii="Times New Roman" w:hAnsi="Times New Roman"/>
          <w:szCs w:val="24"/>
        </w:rPr>
        <w:t xml:space="preserve"> esminių </w:t>
      </w:r>
      <w:r w:rsidR="0063790B" w:rsidRPr="005239C7">
        <w:rPr>
          <w:rFonts w:ascii="Times New Roman" w:hAnsi="Times New Roman"/>
          <w:szCs w:val="24"/>
        </w:rPr>
        <w:t>įsipareigojimų</w:t>
      </w:r>
      <w:r w:rsidR="003F11B9" w:rsidRPr="005239C7">
        <w:rPr>
          <w:rFonts w:ascii="Times New Roman" w:hAnsi="Times New Roman"/>
          <w:szCs w:val="24"/>
        </w:rPr>
        <w:t xml:space="preserve"> pagal Sutartį</w:t>
      </w:r>
      <w:r w:rsidR="0063790B" w:rsidRPr="005239C7">
        <w:rPr>
          <w:rFonts w:ascii="Times New Roman" w:hAnsi="Times New Roman"/>
          <w:szCs w:val="24"/>
        </w:rPr>
        <w:t>, stabdyti</w:t>
      </w:r>
      <w:r w:rsidR="00396366" w:rsidRPr="005239C7">
        <w:rPr>
          <w:rFonts w:ascii="Times New Roman" w:hAnsi="Times New Roman"/>
          <w:szCs w:val="24"/>
        </w:rPr>
        <w:t xml:space="preserve"> Faktoringo sandorių įtraukimą į Portfelį ir</w:t>
      </w:r>
      <w:r w:rsidR="0063790B" w:rsidRPr="005239C7">
        <w:rPr>
          <w:rFonts w:ascii="Times New Roman" w:hAnsi="Times New Roman"/>
          <w:szCs w:val="24"/>
        </w:rPr>
        <w:t xml:space="preserve"> </w:t>
      </w:r>
      <w:r w:rsidR="002B3839" w:rsidRPr="005239C7">
        <w:rPr>
          <w:rFonts w:ascii="Times New Roman" w:hAnsi="Times New Roman"/>
          <w:szCs w:val="24"/>
        </w:rPr>
        <w:t>Garantijos išmokų mokėjimą</w:t>
      </w:r>
      <w:r w:rsidR="0063790B" w:rsidRPr="005239C7">
        <w:rPr>
          <w:rFonts w:ascii="Times New Roman" w:hAnsi="Times New Roman"/>
          <w:szCs w:val="24"/>
        </w:rPr>
        <w:t>;</w:t>
      </w:r>
    </w:p>
    <w:p w14:paraId="2DACDA3D" w14:textId="4F65679C" w:rsidR="00550312" w:rsidRPr="00A63A45" w:rsidRDefault="00465558" w:rsidP="009B0EE1">
      <w:pPr>
        <w:numPr>
          <w:ilvl w:val="2"/>
          <w:numId w:val="5"/>
        </w:numPr>
        <w:tabs>
          <w:tab w:val="left" w:pos="851"/>
        </w:tabs>
        <w:spacing w:line="276" w:lineRule="auto"/>
        <w:ind w:left="-851" w:firstLine="851"/>
        <w:jc w:val="both"/>
        <w:rPr>
          <w:rFonts w:ascii="Times New Roman" w:hAnsi="Times New Roman"/>
          <w:caps/>
          <w:szCs w:val="24"/>
        </w:rPr>
      </w:pPr>
      <w:r w:rsidRPr="00A63A45">
        <w:rPr>
          <w:rFonts w:ascii="Times New Roman" w:hAnsi="Times New Roman"/>
          <w:szCs w:val="24"/>
        </w:rPr>
        <w:lastRenderedPageBreak/>
        <w:t xml:space="preserve">Įvykus </w:t>
      </w:r>
      <w:r w:rsidR="005D1D70" w:rsidRPr="00A63A45">
        <w:rPr>
          <w:rFonts w:ascii="Times New Roman" w:hAnsi="Times New Roman"/>
          <w:szCs w:val="24"/>
        </w:rPr>
        <w:t xml:space="preserve">Kontroliniam įvykiui, </w:t>
      </w:r>
      <w:r w:rsidR="00E93215" w:rsidRPr="00A63A45">
        <w:rPr>
          <w:rFonts w:ascii="Times New Roman" w:hAnsi="Times New Roman"/>
          <w:szCs w:val="24"/>
        </w:rPr>
        <w:t>stabdyti Tinkamumo laikotarpį</w:t>
      </w:r>
      <w:r w:rsidR="00A745F0" w:rsidRPr="00A63A45">
        <w:rPr>
          <w:rFonts w:ascii="Times New Roman" w:hAnsi="Times New Roman"/>
          <w:szCs w:val="24"/>
        </w:rPr>
        <w:t xml:space="preserve"> </w:t>
      </w:r>
      <w:r w:rsidR="005A0394" w:rsidRPr="00A63A45">
        <w:rPr>
          <w:rFonts w:ascii="Times New Roman" w:hAnsi="Times New Roman"/>
          <w:szCs w:val="24"/>
        </w:rPr>
        <w:t>ir</w:t>
      </w:r>
      <w:r w:rsidR="00A745F0" w:rsidRPr="00A63A45">
        <w:rPr>
          <w:rFonts w:ascii="Times New Roman" w:hAnsi="Times New Roman"/>
          <w:szCs w:val="24"/>
        </w:rPr>
        <w:t xml:space="preserve"> atšaukti </w:t>
      </w:r>
      <w:r w:rsidR="005A0394" w:rsidRPr="00A63A45">
        <w:rPr>
          <w:rFonts w:ascii="Times New Roman" w:hAnsi="Times New Roman"/>
          <w:szCs w:val="24"/>
        </w:rPr>
        <w:t xml:space="preserve">likusią </w:t>
      </w:r>
      <w:r w:rsidR="00D10A54" w:rsidRPr="00A63A45">
        <w:rPr>
          <w:rFonts w:ascii="Times New Roman" w:hAnsi="Times New Roman"/>
          <w:szCs w:val="24"/>
        </w:rPr>
        <w:t xml:space="preserve">nepanaudotą </w:t>
      </w:r>
      <w:r w:rsidR="005239C7" w:rsidRPr="00A63A45">
        <w:rPr>
          <w:rFonts w:ascii="Times New Roman" w:hAnsi="Times New Roman"/>
          <w:szCs w:val="24"/>
        </w:rPr>
        <w:t>s</w:t>
      </w:r>
      <w:r w:rsidR="00D10A54" w:rsidRPr="00A63A45">
        <w:rPr>
          <w:rFonts w:ascii="Times New Roman" w:hAnsi="Times New Roman"/>
          <w:szCs w:val="24"/>
        </w:rPr>
        <w:t xml:space="preserve">kirtą </w:t>
      </w:r>
      <w:r w:rsidR="00C51F33" w:rsidRPr="00A63A45">
        <w:rPr>
          <w:rFonts w:ascii="Times New Roman" w:hAnsi="Times New Roman"/>
          <w:szCs w:val="24"/>
        </w:rPr>
        <w:t>PGF</w:t>
      </w:r>
      <w:r w:rsidR="005239C7" w:rsidRPr="00A63A45">
        <w:rPr>
          <w:rFonts w:ascii="Times New Roman" w:hAnsi="Times New Roman"/>
          <w:szCs w:val="24"/>
        </w:rPr>
        <w:t>2</w:t>
      </w:r>
      <w:r w:rsidR="00D10A54" w:rsidRPr="00A63A45">
        <w:rPr>
          <w:rFonts w:ascii="Times New Roman" w:hAnsi="Times New Roman"/>
          <w:szCs w:val="24"/>
        </w:rPr>
        <w:t xml:space="preserve"> priemonės lėšų sumą</w:t>
      </w:r>
      <w:r w:rsidR="00293802" w:rsidRPr="00A63A45">
        <w:rPr>
          <w:rFonts w:ascii="Times New Roman" w:hAnsi="Times New Roman"/>
          <w:szCs w:val="24"/>
        </w:rPr>
        <w:t>;</w:t>
      </w:r>
    </w:p>
    <w:p w14:paraId="19874950" w14:textId="1A67A4B3" w:rsidR="00550312" w:rsidRPr="00A63A45" w:rsidRDefault="00C51F33" w:rsidP="009B0EE1">
      <w:pPr>
        <w:numPr>
          <w:ilvl w:val="2"/>
          <w:numId w:val="5"/>
        </w:numPr>
        <w:tabs>
          <w:tab w:val="left" w:pos="851"/>
        </w:tabs>
        <w:spacing w:line="276" w:lineRule="auto"/>
        <w:ind w:left="-851" w:firstLine="851"/>
        <w:jc w:val="both"/>
        <w:rPr>
          <w:rFonts w:ascii="Times New Roman" w:hAnsi="Times New Roman"/>
          <w:caps/>
          <w:szCs w:val="24"/>
        </w:rPr>
      </w:pPr>
      <w:r w:rsidRPr="00A63A45">
        <w:rPr>
          <w:rFonts w:ascii="Times New Roman" w:hAnsi="Times New Roman"/>
          <w:szCs w:val="24"/>
        </w:rPr>
        <w:t>PGF</w:t>
      </w:r>
      <w:r w:rsidR="00136928" w:rsidRPr="00A63A45">
        <w:rPr>
          <w:rFonts w:ascii="Times New Roman" w:hAnsi="Times New Roman"/>
          <w:szCs w:val="24"/>
        </w:rPr>
        <w:t>2</w:t>
      </w:r>
      <w:r w:rsidR="00B62013" w:rsidRPr="00A63A45">
        <w:rPr>
          <w:rFonts w:ascii="Times New Roman" w:hAnsi="Times New Roman"/>
          <w:szCs w:val="24"/>
        </w:rPr>
        <w:t xml:space="preserve"> priemonės valdytojui</w:t>
      </w:r>
      <w:r w:rsidR="0063790B" w:rsidRPr="00A63A45">
        <w:rPr>
          <w:rFonts w:ascii="Times New Roman" w:hAnsi="Times New Roman"/>
          <w:szCs w:val="24"/>
        </w:rPr>
        <w:t xml:space="preserve"> dėl savo kaltės </w:t>
      </w:r>
      <w:r w:rsidR="003F11B9" w:rsidRPr="00A63A45">
        <w:rPr>
          <w:rFonts w:ascii="Times New Roman" w:hAnsi="Times New Roman"/>
          <w:szCs w:val="24"/>
        </w:rPr>
        <w:t xml:space="preserve">laiku </w:t>
      </w:r>
      <w:r w:rsidR="0063790B" w:rsidRPr="00A63A45">
        <w:rPr>
          <w:rFonts w:ascii="Times New Roman" w:hAnsi="Times New Roman"/>
          <w:szCs w:val="24"/>
        </w:rPr>
        <w:t xml:space="preserve">neįvykdžius ar netinkamai įvykdžius </w:t>
      </w:r>
      <w:r w:rsidR="00FF4E3F" w:rsidRPr="00A63A45">
        <w:rPr>
          <w:rFonts w:ascii="Times New Roman" w:hAnsi="Times New Roman"/>
          <w:szCs w:val="24"/>
        </w:rPr>
        <w:t xml:space="preserve">Sutartyje nustatytus </w:t>
      </w:r>
      <w:r w:rsidR="0063790B" w:rsidRPr="00A63A45">
        <w:rPr>
          <w:rFonts w:ascii="Times New Roman" w:hAnsi="Times New Roman"/>
          <w:szCs w:val="24"/>
        </w:rPr>
        <w:t xml:space="preserve">įsipareigojimus, </w:t>
      </w:r>
      <w:r w:rsidR="000A508D" w:rsidRPr="00A63A45">
        <w:rPr>
          <w:rFonts w:ascii="Times New Roman" w:hAnsi="Times New Roman"/>
          <w:szCs w:val="24"/>
        </w:rPr>
        <w:t xml:space="preserve">kurie gali turėti esminės įtakos </w:t>
      </w:r>
      <w:r w:rsidRPr="00A63A45">
        <w:rPr>
          <w:rFonts w:ascii="Times New Roman" w:hAnsi="Times New Roman"/>
          <w:szCs w:val="24"/>
        </w:rPr>
        <w:t>PGF</w:t>
      </w:r>
      <w:r w:rsidR="00A63A45" w:rsidRPr="00A63A45">
        <w:rPr>
          <w:rFonts w:ascii="Times New Roman" w:hAnsi="Times New Roman"/>
          <w:szCs w:val="24"/>
        </w:rPr>
        <w:t>2</w:t>
      </w:r>
      <w:r w:rsidR="000A508D" w:rsidRPr="00A63A45">
        <w:rPr>
          <w:rFonts w:ascii="Times New Roman" w:hAnsi="Times New Roman"/>
          <w:szCs w:val="24"/>
        </w:rPr>
        <w:t xml:space="preserve"> priemonės įgyvendinimui</w:t>
      </w:r>
      <w:r w:rsidR="00B233CD" w:rsidRPr="00A63A45">
        <w:rPr>
          <w:rFonts w:ascii="Times New Roman" w:hAnsi="Times New Roman"/>
          <w:szCs w:val="24"/>
        </w:rPr>
        <w:t>,</w:t>
      </w:r>
      <w:r w:rsidR="000A508D" w:rsidRPr="00A63A45">
        <w:rPr>
          <w:rFonts w:ascii="Times New Roman" w:hAnsi="Times New Roman"/>
          <w:szCs w:val="24"/>
        </w:rPr>
        <w:t xml:space="preserve"> </w:t>
      </w:r>
      <w:r w:rsidR="00301196" w:rsidRPr="00A63A45">
        <w:rPr>
          <w:rFonts w:ascii="Times New Roman" w:hAnsi="Times New Roman"/>
          <w:szCs w:val="24"/>
        </w:rPr>
        <w:t xml:space="preserve">pareikalauti </w:t>
      </w:r>
      <w:r w:rsidRPr="00A63A45">
        <w:rPr>
          <w:rFonts w:ascii="Times New Roman" w:hAnsi="Times New Roman"/>
          <w:szCs w:val="24"/>
        </w:rPr>
        <w:t>PGF</w:t>
      </w:r>
      <w:r w:rsidR="00A63A45" w:rsidRPr="00A63A45">
        <w:rPr>
          <w:rFonts w:ascii="Times New Roman" w:hAnsi="Times New Roman"/>
          <w:szCs w:val="24"/>
        </w:rPr>
        <w:t>2</w:t>
      </w:r>
      <w:r w:rsidR="00B62013" w:rsidRPr="00A63A45">
        <w:rPr>
          <w:rFonts w:ascii="Times New Roman" w:hAnsi="Times New Roman"/>
          <w:szCs w:val="24"/>
        </w:rPr>
        <w:t xml:space="preserve"> priemonės valdytojo </w:t>
      </w:r>
      <w:r w:rsidR="0063790B" w:rsidRPr="00A63A45">
        <w:rPr>
          <w:rFonts w:ascii="Times New Roman" w:hAnsi="Times New Roman"/>
          <w:szCs w:val="24"/>
        </w:rPr>
        <w:t>sumokėti</w:t>
      </w:r>
      <w:r w:rsidR="00DB792C" w:rsidRPr="00A63A45">
        <w:rPr>
          <w:rFonts w:ascii="Times New Roman" w:hAnsi="Times New Roman"/>
          <w:szCs w:val="24"/>
        </w:rPr>
        <w:t xml:space="preserve"> iki</w:t>
      </w:r>
      <w:r w:rsidR="0063790B" w:rsidRPr="00A63A45">
        <w:rPr>
          <w:rFonts w:ascii="Times New Roman" w:hAnsi="Times New Roman"/>
          <w:szCs w:val="24"/>
        </w:rPr>
        <w:t xml:space="preserve"> 10 000 (dešimt</w:t>
      </w:r>
      <w:r w:rsidR="003F11B9" w:rsidRPr="00A63A45">
        <w:rPr>
          <w:rFonts w:ascii="Times New Roman" w:hAnsi="Times New Roman"/>
          <w:szCs w:val="24"/>
        </w:rPr>
        <w:t>ies</w:t>
      </w:r>
      <w:r w:rsidR="0063790B" w:rsidRPr="00A63A45">
        <w:rPr>
          <w:rFonts w:ascii="Times New Roman" w:hAnsi="Times New Roman"/>
          <w:szCs w:val="24"/>
        </w:rPr>
        <w:t xml:space="preserve"> tūkstančių</w:t>
      </w:r>
      <w:r w:rsidR="003F11B9" w:rsidRPr="00A63A45">
        <w:rPr>
          <w:rFonts w:ascii="Times New Roman" w:hAnsi="Times New Roman"/>
          <w:szCs w:val="24"/>
        </w:rPr>
        <w:t>)</w:t>
      </w:r>
      <w:r w:rsidR="006E37BC" w:rsidRPr="00A63A45">
        <w:rPr>
          <w:rFonts w:ascii="Times New Roman" w:hAnsi="Times New Roman"/>
          <w:szCs w:val="24"/>
        </w:rPr>
        <w:t xml:space="preserve"> </w:t>
      </w:r>
      <w:r w:rsidR="005A0394" w:rsidRPr="00A63A45">
        <w:rPr>
          <w:rFonts w:ascii="Times New Roman" w:hAnsi="Times New Roman"/>
          <w:szCs w:val="24"/>
        </w:rPr>
        <w:t xml:space="preserve">EUR </w:t>
      </w:r>
      <w:r w:rsidR="0063790B" w:rsidRPr="00A63A45">
        <w:rPr>
          <w:rFonts w:ascii="Times New Roman" w:hAnsi="Times New Roman"/>
          <w:szCs w:val="24"/>
        </w:rPr>
        <w:t xml:space="preserve">dydžio baudą ir </w:t>
      </w:r>
      <w:r w:rsidR="00AD6745" w:rsidRPr="00A63A45">
        <w:rPr>
          <w:rFonts w:ascii="Times New Roman" w:hAnsi="Times New Roman"/>
          <w:szCs w:val="24"/>
        </w:rPr>
        <w:t xml:space="preserve">atlyginti </w:t>
      </w:r>
      <w:r w:rsidR="0063790B" w:rsidRPr="00A63A45">
        <w:rPr>
          <w:rFonts w:ascii="Times New Roman" w:hAnsi="Times New Roman"/>
          <w:szCs w:val="24"/>
        </w:rPr>
        <w:t xml:space="preserve">„Invegos“ patirtus </w:t>
      </w:r>
      <w:r w:rsidR="00043823" w:rsidRPr="00A63A45">
        <w:rPr>
          <w:rFonts w:ascii="Times New Roman" w:hAnsi="Times New Roman"/>
          <w:szCs w:val="24"/>
        </w:rPr>
        <w:t xml:space="preserve">tiesioginius </w:t>
      </w:r>
      <w:r w:rsidR="0063790B" w:rsidRPr="00A63A45">
        <w:rPr>
          <w:rFonts w:ascii="Times New Roman" w:hAnsi="Times New Roman"/>
          <w:szCs w:val="24"/>
        </w:rPr>
        <w:t>nuostolius</w:t>
      </w:r>
      <w:r w:rsidR="005011DF" w:rsidRPr="00A63A45">
        <w:rPr>
          <w:rFonts w:ascii="Times New Roman" w:hAnsi="Times New Roman"/>
          <w:szCs w:val="24"/>
        </w:rPr>
        <w:t>, susijusius su įsipareigojimų</w:t>
      </w:r>
      <w:r w:rsidR="003F11B9" w:rsidRPr="00A63A45">
        <w:rPr>
          <w:rFonts w:ascii="Times New Roman" w:hAnsi="Times New Roman"/>
          <w:szCs w:val="24"/>
        </w:rPr>
        <w:t xml:space="preserve"> pagal Sutartį</w:t>
      </w:r>
      <w:r w:rsidR="005011DF" w:rsidRPr="00A63A45">
        <w:rPr>
          <w:rFonts w:ascii="Times New Roman" w:hAnsi="Times New Roman"/>
          <w:szCs w:val="24"/>
        </w:rPr>
        <w:t xml:space="preserve"> nevykdymu ar netinkamu vykdymu</w:t>
      </w:r>
      <w:r w:rsidR="00C25667" w:rsidRPr="00A63A45">
        <w:rPr>
          <w:rFonts w:ascii="Times New Roman" w:hAnsi="Times New Roman"/>
          <w:szCs w:val="24"/>
        </w:rPr>
        <w:t xml:space="preserve">. Sprendimas taikyti baudą </w:t>
      </w:r>
      <w:r w:rsidR="005A0394" w:rsidRPr="00A63A45">
        <w:rPr>
          <w:rFonts w:ascii="Times New Roman" w:hAnsi="Times New Roman"/>
          <w:szCs w:val="24"/>
        </w:rPr>
        <w:t>ir</w:t>
      </w:r>
      <w:r w:rsidR="00C25667" w:rsidRPr="00A63A45">
        <w:rPr>
          <w:rFonts w:ascii="Times New Roman" w:hAnsi="Times New Roman"/>
          <w:szCs w:val="24"/>
        </w:rPr>
        <w:t xml:space="preserve"> taikomos baudos dydis turi būti proporcingi padarytam </w:t>
      </w:r>
      <w:r w:rsidR="00013C53" w:rsidRPr="00A63A45">
        <w:rPr>
          <w:rFonts w:ascii="Times New Roman" w:hAnsi="Times New Roman"/>
          <w:szCs w:val="24"/>
        </w:rPr>
        <w:t>pažeidimui</w:t>
      </w:r>
      <w:r w:rsidR="00C25667" w:rsidRPr="00A63A45">
        <w:rPr>
          <w:rFonts w:ascii="Times New Roman" w:hAnsi="Times New Roman"/>
          <w:szCs w:val="24"/>
        </w:rPr>
        <w:t>, atitikti protingumo, teisingumo bei sąžiningumo principus</w:t>
      </w:r>
      <w:r w:rsidR="00293802" w:rsidRPr="00A63A45">
        <w:rPr>
          <w:rFonts w:ascii="Times New Roman" w:hAnsi="Times New Roman"/>
          <w:szCs w:val="24"/>
        </w:rPr>
        <w:t>;</w:t>
      </w:r>
    </w:p>
    <w:p w14:paraId="04B6C58E" w14:textId="232ACB42" w:rsidR="00550312" w:rsidRPr="00D94A61" w:rsidRDefault="00465558" w:rsidP="009B0EE1">
      <w:pPr>
        <w:numPr>
          <w:ilvl w:val="2"/>
          <w:numId w:val="5"/>
        </w:numPr>
        <w:tabs>
          <w:tab w:val="left" w:pos="851"/>
        </w:tabs>
        <w:spacing w:line="276" w:lineRule="auto"/>
        <w:ind w:left="-851" w:firstLine="851"/>
        <w:jc w:val="both"/>
        <w:rPr>
          <w:rFonts w:ascii="Times New Roman" w:hAnsi="Times New Roman"/>
          <w:caps/>
          <w:szCs w:val="24"/>
        </w:rPr>
      </w:pPr>
      <w:r w:rsidRPr="00A63A45">
        <w:rPr>
          <w:rFonts w:ascii="Times New Roman" w:hAnsi="Times New Roman"/>
          <w:i/>
          <w:szCs w:val="24"/>
        </w:rPr>
        <w:t>P</w:t>
      </w:r>
      <w:r w:rsidR="003F11B9" w:rsidRPr="00A63A45">
        <w:rPr>
          <w:rFonts w:ascii="Times New Roman" w:hAnsi="Times New Roman"/>
          <w:i/>
          <w:szCs w:val="24"/>
        </w:rPr>
        <w:t>ari passu</w:t>
      </w:r>
      <w:r w:rsidR="003F11B9" w:rsidRPr="00A63A45">
        <w:rPr>
          <w:rFonts w:ascii="Times New Roman" w:hAnsi="Times New Roman"/>
          <w:szCs w:val="24"/>
        </w:rPr>
        <w:t xml:space="preserve"> principu </w:t>
      </w:r>
      <w:r w:rsidR="00BB4167" w:rsidRPr="00A63A45">
        <w:rPr>
          <w:rFonts w:ascii="Times New Roman" w:hAnsi="Times New Roman"/>
          <w:szCs w:val="24"/>
        </w:rPr>
        <w:t>g</w:t>
      </w:r>
      <w:r w:rsidR="00782753" w:rsidRPr="00A63A45">
        <w:rPr>
          <w:rFonts w:ascii="Times New Roman" w:hAnsi="Times New Roman"/>
          <w:szCs w:val="24"/>
        </w:rPr>
        <w:t xml:space="preserve">auti išieškotų skolų dalį, kurią </w:t>
      </w:r>
      <w:r w:rsidR="00C51F33" w:rsidRPr="00A63A45">
        <w:rPr>
          <w:rFonts w:ascii="Times New Roman" w:hAnsi="Times New Roman"/>
          <w:szCs w:val="24"/>
        </w:rPr>
        <w:t>PGF</w:t>
      </w:r>
      <w:r w:rsidR="00A63A45" w:rsidRPr="00A63A45">
        <w:rPr>
          <w:rFonts w:ascii="Times New Roman" w:hAnsi="Times New Roman"/>
          <w:szCs w:val="24"/>
        </w:rPr>
        <w:t>2</w:t>
      </w:r>
      <w:r w:rsidR="00782753" w:rsidRPr="00A63A45">
        <w:rPr>
          <w:rFonts w:ascii="Times New Roman" w:hAnsi="Times New Roman"/>
          <w:szCs w:val="24"/>
        </w:rPr>
        <w:t xml:space="preserve"> priemonės valdytojas, </w:t>
      </w:r>
      <w:r w:rsidR="00783B65" w:rsidRPr="00A63A45">
        <w:rPr>
          <w:rFonts w:ascii="Times New Roman" w:hAnsi="Times New Roman"/>
          <w:szCs w:val="24"/>
        </w:rPr>
        <w:t xml:space="preserve">veikdamas sąžiningai kaip apdairus ir rūpestingas verslininkas pagal savo vidaus taisykles ir standartines </w:t>
      </w:r>
      <w:r w:rsidR="00783B65" w:rsidRPr="00D94A61">
        <w:rPr>
          <w:rFonts w:ascii="Times New Roman" w:hAnsi="Times New Roman"/>
          <w:szCs w:val="24"/>
        </w:rPr>
        <w:t>procedūras</w:t>
      </w:r>
      <w:r w:rsidR="003F11B9" w:rsidRPr="00D94A61">
        <w:rPr>
          <w:rFonts w:ascii="Times New Roman" w:hAnsi="Times New Roman"/>
          <w:szCs w:val="24"/>
        </w:rPr>
        <w:t>,</w:t>
      </w:r>
      <w:r w:rsidR="00783B65" w:rsidRPr="00D94A61">
        <w:rPr>
          <w:rFonts w:ascii="Times New Roman" w:hAnsi="Times New Roman"/>
          <w:szCs w:val="24"/>
        </w:rPr>
        <w:t xml:space="preserve"> išieškojo pagal </w:t>
      </w:r>
      <w:r w:rsidR="00746374" w:rsidRPr="00D94A61">
        <w:rPr>
          <w:rFonts w:ascii="Times New Roman" w:hAnsi="Times New Roman"/>
          <w:szCs w:val="24"/>
        </w:rPr>
        <w:t>Probleminius</w:t>
      </w:r>
      <w:r w:rsidR="0048673B" w:rsidRPr="00D94A61">
        <w:rPr>
          <w:rFonts w:ascii="Times New Roman" w:hAnsi="Times New Roman"/>
          <w:szCs w:val="24"/>
        </w:rPr>
        <w:t xml:space="preserve"> </w:t>
      </w:r>
      <w:r w:rsidR="00BE1664" w:rsidRPr="00D94A61">
        <w:rPr>
          <w:rFonts w:ascii="Times New Roman" w:hAnsi="Times New Roman"/>
          <w:szCs w:val="24"/>
        </w:rPr>
        <w:t xml:space="preserve">Faktoringo </w:t>
      </w:r>
      <w:r w:rsidR="003225B6" w:rsidRPr="00D94A61">
        <w:rPr>
          <w:rFonts w:ascii="Times New Roman" w:hAnsi="Times New Roman"/>
          <w:szCs w:val="24"/>
        </w:rPr>
        <w:t>sandorius</w:t>
      </w:r>
      <w:r w:rsidR="003F11B9" w:rsidRPr="00D94A61">
        <w:rPr>
          <w:rFonts w:ascii="Times New Roman" w:hAnsi="Times New Roman"/>
          <w:szCs w:val="24"/>
        </w:rPr>
        <w:t>,</w:t>
      </w:r>
      <w:r w:rsidR="00945404" w:rsidRPr="00D94A61">
        <w:rPr>
          <w:rFonts w:ascii="Times New Roman" w:hAnsi="Times New Roman"/>
          <w:szCs w:val="24"/>
        </w:rPr>
        <w:t xml:space="preserve"> už kuri</w:t>
      </w:r>
      <w:r w:rsidR="005A0394" w:rsidRPr="00D94A61">
        <w:rPr>
          <w:rFonts w:ascii="Times New Roman" w:hAnsi="Times New Roman"/>
          <w:szCs w:val="24"/>
        </w:rPr>
        <w:t>uo</w:t>
      </w:r>
      <w:r w:rsidR="00945404" w:rsidRPr="00D94A61">
        <w:rPr>
          <w:rFonts w:ascii="Times New Roman" w:hAnsi="Times New Roman"/>
          <w:szCs w:val="24"/>
        </w:rPr>
        <w:t>s sumokėta Garantijos išmoka</w:t>
      </w:r>
      <w:r w:rsidR="00293802" w:rsidRPr="00D94A61">
        <w:rPr>
          <w:rFonts w:ascii="Times New Roman" w:hAnsi="Times New Roman"/>
          <w:szCs w:val="24"/>
        </w:rPr>
        <w:t>;</w:t>
      </w:r>
    </w:p>
    <w:p w14:paraId="01756A85" w14:textId="4E61DE9C" w:rsidR="00BB4167" w:rsidRPr="00D94A61" w:rsidRDefault="00465558" w:rsidP="009B0EE1">
      <w:pPr>
        <w:numPr>
          <w:ilvl w:val="2"/>
          <w:numId w:val="5"/>
        </w:numPr>
        <w:tabs>
          <w:tab w:val="left" w:pos="851"/>
        </w:tabs>
        <w:spacing w:line="276" w:lineRule="auto"/>
        <w:ind w:left="-851" w:firstLine="851"/>
        <w:jc w:val="both"/>
        <w:rPr>
          <w:rFonts w:ascii="Times New Roman" w:hAnsi="Times New Roman"/>
          <w:caps/>
          <w:szCs w:val="24"/>
        </w:rPr>
      </w:pPr>
      <w:r w:rsidRPr="00D94A61">
        <w:rPr>
          <w:rFonts w:ascii="Times New Roman" w:hAnsi="Times New Roman"/>
          <w:szCs w:val="24"/>
        </w:rPr>
        <w:t xml:space="preserve">Gauti </w:t>
      </w:r>
      <w:r w:rsidR="00C51F33" w:rsidRPr="00D94A61">
        <w:rPr>
          <w:rFonts w:ascii="Times New Roman" w:hAnsi="Times New Roman"/>
          <w:szCs w:val="24"/>
        </w:rPr>
        <w:t>PGF</w:t>
      </w:r>
      <w:r w:rsidR="00A63A45" w:rsidRPr="00D94A61">
        <w:rPr>
          <w:rFonts w:ascii="Times New Roman" w:hAnsi="Times New Roman"/>
          <w:szCs w:val="24"/>
        </w:rPr>
        <w:t>2</w:t>
      </w:r>
      <w:r w:rsidR="00BB4167" w:rsidRPr="00D94A61">
        <w:rPr>
          <w:rFonts w:ascii="Times New Roman" w:hAnsi="Times New Roman"/>
          <w:szCs w:val="24"/>
        </w:rPr>
        <w:t xml:space="preserve"> priemonės valdytojo mokamą Garantijos mokestį</w:t>
      </w:r>
      <w:r w:rsidR="002F1F49" w:rsidRPr="00D94A61">
        <w:rPr>
          <w:rFonts w:ascii="Times New Roman" w:hAnsi="Times New Roman"/>
          <w:szCs w:val="24"/>
        </w:rPr>
        <w:t>.</w:t>
      </w:r>
    </w:p>
    <w:p w14:paraId="43F50D32" w14:textId="72AB2A94" w:rsidR="0063790B" w:rsidRPr="00D94A61" w:rsidRDefault="00C51F33" w:rsidP="009B0EE1">
      <w:pPr>
        <w:numPr>
          <w:ilvl w:val="1"/>
          <w:numId w:val="5"/>
        </w:numPr>
        <w:tabs>
          <w:tab w:val="left" w:pos="567"/>
        </w:tabs>
        <w:spacing w:line="276" w:lineRule="auto"/>
        <w:ind w:left="-851" w:firstLine="851"/>
        <w:jc w:val="both"/>
        <w:rPr>
          <w:rFonts w:ascii="Times New Roman" w:hAnsi="Times New Roman"/>
          <w:caps/>
          <w:szCs w:val="24"/>
        </w:rPr>
      </w:pPr>
      <w:r w:rsidRPr="00D94A61">
        <w:rPr>
          <w:rFonts w:ascii="Times New Roman" w:hAnsi="Times New Roman"/>
          <w:szCs w:val="24"/>
        </w:rPr>
        <w:t>PGF</w:t>
      </w:r>
      <w:r w:rsidR="007304EF">
        <w:rPr>
          <w:rFonts w:ascii="Times New Roman" w:hAnsi="Times New Roman"/>
          <w:szCs w:val="24"/>
          <w:lang w:val="en-US"/>
        </w:rPr>
        <w:t>2</w:t>
      </w:r>
      <w:r w:rsidR="009C0181" w:rsidRPr="00D94A61">
        <w:rPr>
          <w:rFonts w:ascii="Times New Roman" w:hAnsi="Times New Roman"/>
          <w:szCs w:val="24"/>
        </w:rPr>
        <w:t xml:space="preserve"> priemonės valdytojas</w:t>
      </w:r>
      <w:r w:rsidR="00752DAC" w:rsidRPr="00D94A61">
        <w:rPr>
          <w:rFonts w:ascii="Times New Roman" w:hAnsi="Times New Roman"/>
          <w:szCs w:val="24"/>
        </w:rPr>
        <w:t xml:space="preserve"> </w:t>
      </w:r>
      <w:r w:rsidR="0063790B" w:rsidRPr="00D94A61">
        <w:rPr>
          <w:rFonts w:ascii="Times New Roman" w:hAnsi="Times New Roman"/>
          <w:szCs w:val="24"/>
        </w:rPr>
        <w:t>įsipareigoja:</w:t>
      </w:r>
    </w:p>
    <w:p w14:paraId="6FEAA941" w14:textId="3063A82A" w:rsidR="00EB7A7B" w:rsidRPr="00D8188B" w:rsidRDefault="00465558" w:rsidP="009B0EE1">
      <w:pPr>
        <w:numPr>
          <w:ilvl w:val="2"/>
          <w:numId w:val="5"/>
        </w:numPr>
        <w:tabs>
          <w:tab w:val="left" w:pos="851"/>
        </w:tabs>
        <w:spacing w:line="276" w:lineRule="auto"/>
        <w:ind w:left="-851" w:firstLine="851"/>
        <w:jc w:val="both"/>
        <w:rPr>
          <w:rFonts w:ascii="Times New Roman" w:hAnsi="Times New Roman"/>
          <w:caps/>
          <w:szCs w:val="24"/>
        </w:rPr>
      </w:pPr>
      <w:r w:rsidRPr="00D94A61">
        <w:rPr>
          <w:rFonts w:ascii="Times New Roman" w:hAnsi="Times New Roman"/>
          <w:szCs w:val="24"/>
        </w:rPr>
        <w:t xml:space="preserve">Aktyviai </w:t>
      </w:r>
      <w:r w:rsidR="009F79A1" w:rsidRPr="00D94A61">
        <w:rPr>
          <w:rFonts w:ascii="Times New Roman" w:hAnsi="Times New Roman"/>
          <w:szCs w:val="24"/>
        </w:rPr>
        <w:t xml:space="preserve">įgyvendinti </w:t>
      </w:r>
      <w:r w:rsidR="00C51F33" w:rsidRPr="00D94A61">
        <w:rPr>
          <w:rFonts w:ascii="Times New Roman" w:hAnsi="Times New Roman"/>
          <w:szCs w:val="24"/>
        </w:rPr>
        <w:t>PGF</w:t>
      </w:r>
      <w:r w:rsidR="00D94A61" w:rsidRPr="00D94A61">
        <w:rPr>
          <w:rFonts w:ascii="Times New Roman" w:hAnsi="Times New Roman"/>
          <w:szCs w:val="24"/>
        </w:rPr>
        <w:t>2</w:t>
      </w:r>
      <w:r w:rsidR="009F79A1" w:rsidRPr="00D94A61">
        <w:rPr>
          <w:rFonts w:ascii="Times New Roman" w:hAnsi="Times New Roman"/>
          <w:szCs w:val="24"/>
        </w:rPr>
        <w:t xml:space="preserve"> priemonę ir </w:t>
      </w:r>
      <w:r w:rsidR="00FD083D" w:rsidRPr="00D94A61">
        <w:rPr>
          <w:rFonts w:ascii="Times New Roman" w:hAnsi="Times New Roman"/>
          <w:szCs w:val="24"/>
        </w:rPr>
        <w:t>v</w:t>
      </w:r>
      <w:r w:rsidR="002B029C" w:rsidRPr="00D94A61">
        <w:rPr>
          <w:rFonts w:ascii="Times New Roman" w:hAnsi="Times New Roman"/>
          <w:szCs w:val="24"/>
        </w:rPr>
        <w:t xml:space="preserve">ykdyti </w:t>
      </w:r>
      <w:r w:rsidR="0058580E" w:rsidRPr="00D94A61">
        <w:rPr>
          <w:rFonts w:ascii="Times New Roman" w:hAnsi="Times New Roman"/>
          <w:szCs w:val="24"/>
        </w:rPr>
        <w:t xml:space="preserve">Faktoringo sandorių </w:t>
      </w:r>
      <w:r w:rsidR="002B029C" w:rsidRPr="00D94A61">
        <w:rPr>
          <w:rFonts w:ascii="Times New Roman" w:hAnsi="Times New Roman"/>
          <w:szCs w:val="24"/>
        </w:rPr>
        <w:t>įtraukimą į Portfelį</w:t>
      </w:r>
      <w:r w:rsidR="006837EB" w:rsidRPr="00D94A61">
        <w:rPr>
          <w:rFonts w:ascii="Times New Roman" w:hAnsi="Times New Roman"/>
          <w:szCs w:val="24"/>
        </w:rPr>
        <w:t>,</w:t>
      </w:r>
      <w:r w:rsidR="002B029C" w:rsidRPr="00D94A61">
        <w:rPr>
          <w:rFonts w:ascii="Times New Roman" w:hAnsi="Times New Roman"/>
          <w:szCs w:val="24"/>
        </w:rPr>
        <w:t xml:space="preserve"> laikantis pateikto</w:t>
      </w:r>
      <w:r w:rsidR="00EC3CCB" w:rsidRPr="00D94A61">
        <w:rPr>
          <w:rFonts w:ascii="Times New Roman" w:hAnsi="Times New Roman"/>
          <w:szCs w:val="24"/>
        </w:rPr>
        <w:t xml:space="preserve"> </w:t>
      </w:r>
      <w:r w:rsidR="0058580E" w:rsidRPr="00D94A61">
        <w:rPr>
          <w:rFonts w:ascii="Times New Roman" w:hAnsi="Times New Roman"/>
          <w:szCs w:val="24"/>
        </w:rPr>
        <w:t xml:space="preserve">Faktoringo sandorių </w:t>
      </w:r>
      <w:r w:rsidR="00522BF3" w:rsidRPr="00D94A61">
        <w:rPr>
          <w:rFonts w:ascii="Times New Roman" w:hAnsi="Times New Roman"/>
          <w:szCs w:val="24"/>
        </w:rPr>
        <w:t>įtraukimo į Portfelį grafiko</w:t>
      </w:r>
      <w:r w:rsidR="00C0134D" w:rsidRPr="00D94A61">
        <w:rPr>
          <w:rFonts w:ascii="Times New Roman" w:hAnsi="Times New Roman"/>
          <w:szCs w:val="24"/>
        </w:rPr>
        <w:t xml:space="preserve"> </w:t>
      </w:r>
      <w:r w:rsidR="00D73F0A" w:rsidRPr="00D94A61">
        <w:rPr>
          <w:rFonts w:ascii="Times New Roman" w:hAnsi="Times New Roman"/>
          <w:szCs w:val="24"/>
        </w:rPr>
        <w:t xml:space="preserve">arba jį viršijant </w:t>
      </w:r>
      <w:r w:rsidR="009F79A1" w:rsidRPr="00D94A61">
        <w:rPr>
          <w:rFonts w:ascii="Times New Roman" w:hAnsi="Times New Roman"/>
          <w:szCs w:val="24"/>
        </w:rPr>
        <w:t xml:space="preserve">bei taip </w:t>
      </w:r>
      <w:r w:rsidR="0063790B" w:rsidRPr="00D94A61">
        <w:rPr>
          <w:rFonts w:ascii="Times New Roman" w:hAnsi="Times New Roman"/>
          <w:szCs w:val="24"/>
        </w:rPr>
        <w:t xml:space="preserve">siekti </w:t>
      </w:r>
      <w:r w:rsidR="00532981">
        <w:rPr>
          <w:rFonts w:ascii="Times New Roman" w:hAnsi="Times New Roman"/>
          <w:szCs w:val="24"/>
        </w:rPr>
        <w:t>Aprašo</w:t>
      </w:r>
      <w:r w:rsidR="0063790B" w:rsidRPr="00D94A61">
        <w:rPr>
          <w:rFonts w:ascii="Times New Roman" w:hAnsi="Times New Roman"/>
          <w:szCs w:val="24"/>
        </w:rPr>
        <w:t xml:space="preserve"> sąlygose nustatyt</w:t>
      </w:r>
      <w:r w:rsidR="00EC3CCB" w:rsidRPr="00D94A61">
        <w:rPr>
          <w:rFonts w:ascii="Times New Roman" w:hAnsi="Times New Roman"/>
          <w:szCs w:val="24"/>
        </w:rPr>
        <w:t>ų</w:t>
      </w:r>
      <w:r w:rsidR="0063790B" w:rsidRPr="00D94A61">
        <w:rPr>
          <w:rFonts w:ascii="Times New Roman" w:hAnsi="Times New Roman"/>
          <w:szCs w:val="24"/>
        </w:rPr>
        <w:t xml:space="preserve"> </w:t>
      </w:r>
      <w:r w:rsidR="0063790B" w:rsidRPr="00D8188B">
        <w:rPr>
          <w:rFonts w:ascii="Times New Roman" w:hAnsi="Times New Roman"/>
          <w:szCs w:val="24"/>
        </w:rPr>
        <w:t>tiksl</w:t>
      </w:r>
      <w:r w:rsidR="00EC3CCB" w:rsidRPr="00D8188B">
        <w:rPr>
          <w:rFonts w:ascii="Times New Roman" w:hAnsi="Times New Roman"/>
          <w:szCs w:val="24"/>
        </w:rPr>
        <w:t>ų</w:t>
      </w:r>
      <w:r w:rsidR="006944A1" w:rsidRPr="00D8188B">
        <w:rPr>
          <w:rFonts w:ascii="Times New Roman" w:hAnsi="Times New Roman"/>
          <w:szCs w:val="24"/>
        </w:rPr>
        <w:t>;</w:t>
      </w:r>
    </w:p>
    <w:p w14:paraId="5EC99DDC" w14:textId="51FDF49C" w:rsidR="00EB7A7B" w:rsidRPr="00703E3E" w:rsidRDefault="00BE1664" w:rsidP="009B0EE1">
      <w:pPr>
        <w:numPr>
          <w:ilvl w:val="2"/>
          <w:numId w:val="5"/>
        </w:numPr>
        <w:tabs>
          <w:tab w:val="left" w:pos="851"/>
        </w:tabs>
        <w:spacing w:line="276" w:lineRule="auto"/>
        <w:ind w:left="-851" w:firstLine="851"/>
        <w:jc w:val="both"/>
        <w:rPr>
          <w:rFonts w:ascii="Times New Roman" w:hAnsi="Times New Roman"/>
          <w:caps/>
          <w:szCs w:val="24"/>
        </w:rPr>
      </w:pPr>
      <w:r w:rsidRPr="00D8188B">
        <w:rPr>
          <w:rFonts w:ascii="Times New Roman" w:hAnsi="Times New Roman"/>
          <w:szCs w:val="24"/>
        </w:rPr>
        <w:t>Faktoringo sandori</w:t>
      </w:r>
      <w:r w:rsidR="003225B6" w:rsidRPr="00D8188B">
        <w:rPr>
          <w:rFonts w:ascii="Times New Roman" w:hAnsi="Times New Roman"/>
          <w:szCs w:val="24"/>
        </w:rPr>
        <w:t>u</w:t>
      </w:r>
      <w:r w:rsidR="00010FB1" w:rsidRPr="00D8188B">
        <w:rPr>
          <w:rFonts w:ascii="Times New Roman" w:hAnsi="Times New Roman"/>
          <w:szCs w:val="24"/>
        </w:rPr>
        <w:t>s</w:t>
      </w:r>
      <w:r w:rsidR="00783B65" w:rsidRPr="00D8188B">
        <w:rPr>
          <w:rFonts w:ascii="Times New Roman" w:hAnsi="Times New Roman"/>
          <w:szCs w:val="24"/>
        </w:rPr>
        <w:t xml:space="preserve"> teikti tik </w:t>
      </w:r>
      <w:r w:rsidR="003225B6" w:rsidRPr="00D8188B">
        <w:rPr>
          <w:rFonts w:ascii="Times New Roman" w:hAnsi="Times New Roman"/>
          <w:szCs w:val="24"/>
        </w:rPr>
        <w:t>MVĮ</w:t>
      </w:r>
      <w:r w:rsidR="00010FB1" w:rsidRPr="00D8188B">
        <w:rPr>
          <w:rFonts w:ascii="Times New Roman" w:hAnsi="Times New Roman"/>
          <w:szCs w:val="24"/>
        </w:rPr>
        <w:t xml:space="preserve">. </w:t>
      </w:r>
      <w:r w:rsidR="003225B6" w:rsidRPr="00D8188B">
        <w:rPr>
          <w:rFonts w:ascii="Times New Roman" w:hAnsi="Times New Roman"/>
          <w:szCs w:val="24"/>
        </w:rPr>
        <w:t>MVĮ</w:t>
      </w:r>
      <w:r w:rsidR="00010FB1" w:rsidRPr="00D8188B">
        <w:rPr>
          <w:rFonts w:ascii="Times New Roman" w:hAnsi="Times New Roman"/>
          <w:szCs w:val="24"/>
        </w:rPr>
        <w:t xml:space="preserve"> turi deklaruoti savo statusą, tinkamai užpildydama SVV </w:t>
      </w:r>
      <w:r w:rsidR="00BB7279" w:rsidRPr="00D8188B">
        <w:rPr>
          <w:rFonts w:ascii="Times New Roman" w:hAnsi="Times New Roman"/>
          <w:szCs w:val="24"/>
        </w:rPr>
        <w:t xml:space="preserve">subjekto statuso </w:t>
      </w:r>
      <w:r w:rsidR="00010FB1" w:rsidRPr="00D8188B">
        <w:rPr>
          <w:rFonts w:ascii="Times New Roman" w:hAnsi="Times New Roman"/>
          <w:szCs w:val="24"/>
        </w:rPr>
        <w:t>deklaraciją</w:t>
      </w:r>
      <w:r w:rsidR="000335F4" w:rsidRPr="00D8188B">
        <w:rPr>
          <w:rFonts w:ascii="Times New Roman" w:hAnsi="Times New Roman"/>
          <w:szCs w:val="24"/>
        </w:rPr>
        <w:t xml:space="preserve"> ir ją pateikdama </w:t>
      </w:r>
      <w:r w:rsidR="00C51F33" w:rsidRPr="00D8188B">
        <w:rPr>
          <w:rFonts w:ascii="Times New Roman" w:hAnsi="Times New Roman"/>
          <w:szCs w:val="24"/>
        </w:rPr>
        <w:t>PGF</w:t>
      </w:r>
      <w:r w:rsidR="00D8188B" w:rsidRPr="00D8188B">
        <w:rPr>
          <w:rFonts w:ascii="Times New Roman" w:hAnsi="Times New Roman"/>
          <w:szCs w:val="24"/>
        </w:rPr>
        <w:t>2</w:t>
      </w:r>
      <w:r w:rsidR="000335F4" w:rsidRPr="00D8188B">
        <w:rPr>
          <w:rFonts w:ascii="Times New Roman" w:hAnsi="Times New Roman"/>
          <w:szCs w:val="24"/>
        </w:rPr>
        <w:t xml:space="preserve"> priemonės valdytojui</w:t>
      </w:r>
      <w:r w:rsidR="00E93215" w:rsidRPr="00D8188B">
        <w:rPr>
          <w:rFonts w:ascii="Times New Roman" w:hAnsi="Times New Roman"/>
          <w:szCs w:val="24"/>
        </w:rPr>
        <w:t xml:space="preserve">. </w:t>
      </w:r>
      <w:r w:rsidR="006C0BEF" w:rsidRPr="00D8188B">
        <w:rPr>
          <w:rFonts w:ascii="Times New Roman" w:hAnsi="Times New Roman"/>
          <w:szCs w:val="24"/>
        </w:rPr>
        <w:t>SVV</w:t>
      </w:r>
      <w:r w:rsidR="006C0BEF">
        <w:rPr>
          <w:rFonts w:ascii="Times New Roman" w:hAnsi="Times New Roman"/>
          <w:szCs w:val="24"/>
        </w:rPr>
        <w:t> </w:t>
      </w:r>
      <w:r w:rsidR="00E93215" w:rsidRPr="00D8188B">
        <w:rPr>
          <w:rFonts w:ascii="Times New Roman" w:hAnsi="Times New Roman"/>
          <w:szCs w:val="24"/>
        </w:rPr>
        <w:t xml:space="preserve">subjekto </w:t>
      </w:r>
      <w:r w:rsidR="00E93215" w:rsidRPr="00703E3E">
        <w:rPr>
          <w:rFonts w:ascii="Times New Roman" w:hAnsi="Times New Roman"/>
          <w:szCs w:val="24"/>
        </w:rPr>
        <w:t xml:space="preserve">statusas nustatomas </w:t>
      </w:r>
      <w:r w:rsidR="00F21757" w:rsidRPr="00703E3E">
        <w:rPr>
          <w:rFonts w:ascii="Times New Roman" w:hAnsi="Times New Roman"/>
          <w:szCs w:val="24"/>
        </w:rPr>
        <w:t>Faktoringo sandorio</w:t>
      </w:r>
      <w:r w:rsidR="00E93215" w:rsidRPr="00703E3E">
        <w:rPr>
          <w:rFonts w:ascii="Times New Roman" w:hAnsi="Times New Roman"/>
          <w:szCs w:val="24"/>
        </w:rPr>
        <w:t xml:space="preserve"> </w:t>
      </w:r>
      <w:r w:rsidR="009109B9" w:rsidRPr="00703E3E">
        <w:rPr>
          <w:rFonts w:ascii="Times New Roman" w:hAnsi="Times New Roman"/>
          <w:szCs w:val="24"/>
        </w:rPr>
        <w:t xml:space="preserve">suteikimo </w:t>
      </w:r>
      <w:r w:rsidR="00E93215" w:rsidRPr="00703E3E">
        <w:rPr>
          <w:rFonts w:ascii="Times New Roman" w:hAnsi="Times New Roman"/>
          <w:szCs w:val="24"/>
        </w:rPr>
        <w:t>metu;</w:t>
      </w:r>
    </w:p>
    <w:p w14:paraId="673A0112" w14:textId="220200A9" w:rsidR="00EB7A7B" w:rsidRPr="00703E3E" w:rsidRDefault="00465558" w:rsidP="009B0EE1">
      <w:pPr>
        <w:numPr>
          <w:ilvl w:val="2"/>
          <w:numId w:val="5"/>
        </w:numPr>
        <w:tabs>
          <w:tab w:val="left" w:pos="851"/>
        </w:tabs>
        <w:spacing w:line="276" w:lineRule="auto"/>
        <w:ind w:left="-851" w:firstLine="851"/>
        <w:jc w:val="both"/>
        <w:rPr>
          <w:rFonts w:ascii="Times New Roman" w:hAnsi="Times New Roman"/>
          <w:caps/>
          <w:szCs w:val="24"/>
        </w:rPr>
      </w:pPr>
      <w:r w:rsidRPr="00703E3E">
        <w:rPr>
          <w:rFonts w:ascii="Times New Roman" w:hAnsi="Times New Roman"/>
          <w:szCs w:val="24"/>
        </w:rPr>
        <w:t xml:space="preserve">Iki </w:t>
      </w:r>
      <w:r w:rsidR="0063790B" w:rsidRPr="00703E3E">
        <w:rPr>
          <w:rFonts w:ascii="Times New Roman" w:hAnsi="Times New Roman"/>
          <w:szCs w:val="24"/>
        </w:rPr>
        <w:t>pirmo</w:t>
      </w:r>
      <w:r w:rsidR="00232430" w:rsidRPr="00703E3E">
        <w:rPr>
          <w:rFonts w:ascii="Times New Roman" w:hAnsi="Times New Roman"/>
          <w:szCs w:val="24"/>
        </w:rPr>
        <w:t>s</w:t>
      </w:r>
      <w:r w:rsidR="0063790B" w:rsidRPr="00703E3E">
        <w:rPr>
          <w:rFonts w:ascii="Times New Roman" w:hAnsi="Times New Roman"/>
          <w:szCs w:val="24"/>
        </w:rPr>
        <w:t xml:space="preserve"> </w:t>
      </w:r>
      <w:r w:rsidR="00F21757" w:rsidRPr="00703E3E">
        <w:rPr>
          <w:rFonts w:ascii="Times New Roman" w:hAnsi="Times New Roman"/>
          <w:szCs w:val="24"/>
        </w:rPr>
        <w:t xml:space="preserve">Faktoringo </w:t>
      </w:r>
      <w:r w:rsidR="009A40EB" w:rsidRPr="00703E3E">
        <w:rPr>
          <w:rFonts w:ascii="Times New Roman" w:hAnsi="Times New Roman"/>
          <w:szCs w:val="24"/>
        </w:rPr>
        <w:t>sutarties pasirašymo dienos</w:t>
      </w:r>
      <w:r w:rsidR="0063790B" w:rsidRPr="00703E3E">
        <w:rPr>
          <w:rFonts w:ascii="Times New Roman" w:hAnsi="Times New Roman"/>
          <w:szCs w:val="24"/>
        </w:rPr>
        <w:t xml:space="preserve"> </w:t>
      </w:r>
      <w:r w:rsidR="00D956B7" w:rsidRPr="00703E3E">
        <w:rPr>
          <w:rFonts w:ascii="Times New Roman" w:hAnsi="Times New Roman"/>
          <w:szCs w:val="24"/>
        </w:rPr>
        <w:t xml:space="preserve">atlikti Sutarties </w:t>
      </w:r>
      <w:r w:rsidR="0021369B" w:rsidRPr="00703E3E">
        <w:rPr>
          <w:rFonts w:ascii="Times New Roman" w:hAnsi="Times New Roman"/>
          <w:szCs w:val="24"/>
        </w:rPr>
        <w:t>9.3 ir 9.4 punktuose nurodytus veiksmus;</w:t>
      </w:r>
    </w:p>
    <w:p w14:paraId="5DA5F89A" w14:textId="6142997A" w:rsidR="00347F70" w:rsidRPr="002A5DC4" w:rsidRDefault="00465558" w:rsidP="009B0EE1">
      <w:pPr>
        <w:numPr>
          <w:ilvl w:val="2"/>
          <w:numId w:val="5"/>
        </w:numPr>
        <w:tabs>
          <w:tab w:val="left" w:pos="851"/>
        </w:tabs>
        <w:spacing w:line="276" w:lineRule="auto"/>
        <w:ind w:left="-851" w:firstLine="851"/>
        <w:jc w:val="both"/>
        <w:rPr>
          <w:rFonts w:ascii="Times New Roman" w:hAnsi="Times New Roman"/>
          <w:szCs w:val="24"/>
        </w:rPr>
      </w:pPr>
      <w:r w:rsidRPr="002A5DC4">
        <w:rPr>
          <w:rFonts w:ascii="Times New Roman" w:hAnsi="Times New Roman"/>
          <w:szCs w:val="24"/>
        </w:rPr>
        <w:t xml:space="preserve">Per </w:t>
      </w:r>
      <w:r w:rsidR="00347F70" w:rsidRPr="002A5DC4">
        <w:rPr>
          <w:rFonts w:ascii="Times New Roman" w:hAnsi="Times New Roman"/>
          <w:szCs w:val="24"/>
        </w:rPr>
        <w:t>savait</w:t>
      </w:r>
      <w:r w:rsidR="00347F70" w:rsidRPr="002A5DC4">
        <w:rPr>
          <w:rFonts w:ascii="Times New Roman" w:hAnsi="Times New Roman" w:hint="eastAsia"/>
          <w:szCs w:val="24"/>
        </w:rPr>
        <w:t>ę</w:t>
      </w:r>
      <w:r w:rsidR="00347F70" w:rsidRPr="002A5DC4">
        <w:rPr>
          <w:rFonts w:ascii="Times New Roman" w:hAnsi="Times New Roman"/>
          <w:szCs w:val="24"/>
        </w:rPr>
        <w:t xml:space="preserve"> po Sutarties pasirašymo dienos pateikti „Invegai“</w:t>
      </w:r>
      <w:r w:rsidR="001A7124" w:rsidRPr="002A5DC4">
        <w:rPr>
          <w:rFonts w:ascii="Times New Roman" w:hAnsi="Times New Roman"/>
          <w:szCs w:val="24"/>
        </w:rPr>
        <w:t xml:space="preserve"> </w:t>
      </w:r>
      <w:r w:rsidRPr="002A5DC4">
        <w:rPr>
          <w:rFonts w:ascii="Times New Roman" w:hAnsi="Times New Roman"/>
          <w:szCs w:val="24"/>
        </w:rPr>
        <w:t xml:space="preserve">pasirašytą </w:t>
      </w:r>
      <w:r w:rsidR="00347F70" w:rsidRPr="002A5DC4">
        <w:rPr>
          <w:rFonts w:ascii="Times New Roman" w:hAnsi="Times New Roman" w:hint="eastAsia"/>
          <w:szCs w:val="24"/>
        </w:rPr>
        <w:t>į</w:t>
      </w:r>
      <w:r w:rsidR="00347F70" w:rsidRPr="002A5DC4">
        <w:rPr>
          <w:rFonts w:ascii="Times New Roman" w:hAnsi="Times New Roman"/>
          <w:szCs w:val="24"/>
        </w:rPr>
        <w:t>galiot</w:t>
      </w:r>
      <w:r w:rsidR="00347F70" w:rsidRPr="002A5DC4">
        <w:rPr>
          <w:rFonts w:ascii="Times New Roman" w:hAnsi="Times New Roman" w:hint="eastAsia"/>
          <w:szCs w:val="24"/>
        </w:rPr>
        <w:t>ų</w:t>
      </w:r>
      <w:r w:rsidR="00347F70" w:rsidRPr="002A5DC4">
        <w:rPr>
          <w:rFonts w:ascii="Times New Roman" w:hAnsi="Times New Roman"/>
          <w:szCs w:val="24"/>
        </w:rPr>
        <w:t xml:space="preserve"> asmen</w:t>
      </w:r>
      <w:r w:rsidR="00347F70" w:rsidRPr="002A5DC4">
        <w:rPr>
          <w:rFonts w:ascii="Times New Roman" w:hAnsi="Times New Roman" w:hint="eastAsia"/>
          <w:szCs w:val="24"/>
        </w:rPr>
        <w:t>ų</w:t>
      </w:r>
      <w:r w:rsidRPr="002A5DC4">
        <w:rPr>
          <w:rFonts w:ascii="Times New Roman" w:hAnsi="Times New Roman"/>
          <w:szCs w:val="24"/>
        </w:rPr>
        <w:t>, kurie teiks „Invegai“ ataskaitas, nurodytas Sutarties 8.1 punkte, Prašymus Garantijos išmokoms ir kitus dokumentus ir (ar) informaciją,</w:t>
      </w:r>
      <w:r w:rsidR="00347F70" w:rsidRPr="002A5DC4">
        <w:rPr>
          <w:rFonts w:ascii="Times New Roman" w:hAnsi="Times New Roman"/>
          <w:szCs w:val="24"/>
        </w:rPr>
        <w:t xml:space="preserve"> s</w:t>
      </w:r>
      <w:r w:rsidR="00347F70" w:rsidRPr="002A5DC4">
        <w:rPr>
          <w:rFonts w:ascii="Times New Roman" w:hAnsi="Times New Roman" w:hint="eastAsia"/>
          <w:szCs w:val="24"/>
        </w:rPr>
        <w:t>ą</w:t>
      </w:r>
      <w:r w:rsidR="00347F70" w:rsidRPr="002A5DC4">
        <w:rPr>
          <w:rFonts w:ascii="Times New Roman" w:hAnsi="Times New Roman"/>
          <w:szCs w:val="24"/>
        </w:rPr>
        <w:t>raš</w:t>
      </w:r>
      <w:r w:rsidR="00347F70" w:rsidRPr="002A5DC4">
        <w:rPr>
          <w:rFonts w:ascii="Times New Roman" w:hAnsi="Times New Roman" w:hint="eastAsia"/>
          <w:szCs w:val="24"/>
        </w:rPr>
        <w:t>ą</w:t>
      </w:r>
      <w:r w:rsidR="00347F70" w:rsidRPr="002A5DC4">
        <w:rPr>
          <w:rFonts w:ascii="Times New Roman" w:hAnsi="Times New Roman"/>
          <w:szCs w:val="24"/>
        </w:rPr>
        <w:t xml:space="preserve"> (laisva forma)</w:t>
      </w:r>
      <w:r w:rsidRPr="002A5DC4">
        <w:rPr>
          <w:rFonts w:ascii="Times New Roman" w:hAnsi="Times New Roman"/>
          <w:szCs w:val="24"/>
        </w:rPr>
        <w:t>.</w:t>
      </w:r>
      <w:r w:rsidR="001A7124" w:rsidRPr="002A5DC4">
        <w:rPr>
          <w:rFonts w:ascii="Times New Roman" w:hAnsi="Times New Roman"/>
          <w:szCs w:val="24"/>
        </w:rPr>
        <w:t xml:space="preserve"> </w:t>
      </w:r>
      <w:r w:rsidR="00347F70" w:rsidRPr="002A5DC4">
        <w:rPr>
          <w:rFonts w:ascii="Times New Roman" w:hAnsi="Times New Roman"/>
          <w:szCs w:val="24"/>
        </w:rPr>
        <w:t xml:space="preserve">Pasikeitus </w:t>
      </w:r>
      <w:r w:rsidR="00347F70" w:rsidRPr="002A5DC4">
        <w:rPr>
          <w:rFonts w:ascii="Times New Roman" w:hAnsi="Times New Roman" w:hint="eastAsia"/>
          <w:szCs w:val="24"/>
        </w:rPr>
        <w:t>į</w:t>
      </w:r>
      <w:r w:rsidR="00347F70" w:rsidRPr="002A5DC4">
        <w:rPr>
          <w:rFonts w:ascii="Times New Roman" w:hAnsi="Times New Roman"/>
          <w:szCs w:val="24"/>
        </w:rPr>
        <w:t>galiotiems asmenims, nedelsiant pateikti atnaujint</w:t>
      </w:r>
      <w:r w:rsidR="00347F70" w:rsidRPr="002A5DC4">
        <w:rPr>
          <w:rFonts w:ascii="Times New Roman" w:hAnsi="Times New Roman" w:hint="eastAsia"/>
          <w:szCs w:val="24"/>
        </w:rPr>
        <w:t>ą</w:t>
      </w:r>
      <w:r w:rsidR="00347F70" w:rsidRPr="002A5DC4">
        <w:rPr>
          <w:rFonts w:ascii="Times New Roman" w:hAnsi="Times New Roman"/>
          <w:szCs w:val="24"/>
        </w:rPr>
        <w:t xml:space="preserve"> informacij</w:t>
      </w:r>
      <w:r w:rsidR="00347F70" w:rsidRPr="002A5DC4">
        <w:rPr>
          <w:rFonts w:ascii="Times New Roman" w:hAnsi="Times New Roman" w:hint="eastAsia"/>
          <w:szCs w:val="24"/>
        </w:rPr>
        <w:t>ą</w:t>
      </w:r>
      <w:r w:rsidR="00347F70" w:rsidRPr="002A5DC4">
        <w:rPr>
          <w:rFonts w:ascii="Times New Roman" w:hAnsi="Times New Roman"/>
          <w:szCs w:val="24"/>
        </w:rPr>
        <w:t>;</w:t>
      </w:r>
    </w:p>
    <w:p w14:paraId="3BEBC70B" w14:textId="032C8709" w:rsidR="00EB7A7B" w:rsidRPr="00234A40" w:rsidRDefault="00465558" w:rsidP="009B0EE1">
      <w:pPr>
        <w:numPr>
          <w:ilvl w:val="2"/>
          <w:numId w:val="5"/>
        </w:numPr>
        <w:tabs>
          <w:tab w:val="left" w:pos="851"/>
        </w:tabs>
        <w:spacing w:line="276" w:lineRule="auto"/>
        <w:ind w:left="-851" w:firstLine="851"/>
        <w:jc w:val="both"/>
        <w:rPr>
          <w:rFonts w:ascii="Times New Roman" w:hAnsi="Times New Roman"/>
          <w:caps/>
          <w:szCs w:val="24"/>
        </w:rPr>
      </w:pPr>
      <w:r w:rsidRPr="0035551C">
        <w:rPr>
          <w:rFonts w:ascii="Times New Roman" w:hAnsi="Times New Roman"/>
          <w:szCs w:val="24"/>
        </w:rPr>
        <w:t xml:space="preserve">Mokėti </w:t>
      </w:r>
      <w:r w:rsidR="006837EB" w:rsidRPr="0035551C">
        <w:rPr>
          <w:rFonts w:ascii="Times New Roman" w:hAnsi="Times New Roman"/>
          <w:szCs w:val="24"/>
        </w:rPr>
        <w:t xml:space="preserve">„Invegai“ </w:t>
      </w:r>
      <w:r w:rsidR="00386739" w:rsidRPr="0035551C">
        <w:rPr>
          <w:rFonts w:ascii="Times New Roman" w:hAnsi="Times New Roman"/>
          <w:szCs w:val="24"/>
        </w:rPr>
        <w:t>G</w:t>
      </w:r>
      <w:r w:rsidR="00A45018" w:rsidRPr="0035551C">
        <w:rPr>
          <w:rFonts w:ascii="Times New Roman" w:hAnsi="Times New Roman"/>
          <w:szCs w:val="24"/>
        </w:rPr>
        <w:t xml:space="preserve">arantijos mokestį už į Portfelį </w:t>
      </w:r>
      <w:r w:rsidR="003225B6" w:rsidRPr="0035551C">
        <w:rPr>
          <w:rFonts w:ascii="Times New Roman" w:hAnsi="Times New Roman"/>
          <w:szCs w:val="24"/>
        </w:rPr>
        <w:t xml:space="preserve">įtrauktus </w:t>
      </w:r>
      <w:r w:rsidR="00BE1664" w:rsidRPr="0035551C">
        <w:rPr>
          <w:rFonts w:ascii="Times New Roman" w:hAnsi="Times New Roman"/>
          <w:szCs w:val="24"/>
        </w:rPr>
        <w:t>Faktoringo sandori</w:t>
      </w:r>
      <w:r w:rsidR="003225B6" w:rsidRPr="0035551C">
        <w:rPr>
          <w:rFonts w:ascii="Times New Roman" w:hAnsi="Times New Roman"/>
          <w:szCs w:val="24"/>
        </w:rPr>
        <w:t>u</w:t>
      </w:r>
      <w:r w:rsidR="00A45018" w:rsidRPr="0035551C">
        <w:rPr>
          <w:rFonts w:ascii="Times New Roman" w:hAnsi="Times New Roman"/>
          <w:szCs w:val="24"/>
        </w:rPr>
        <w:t>s</w:t>
      </w:r>
      <w:r w:rsidR="00985A6D">
        <w:rPr>
          <w:rFonts w:ascii="Times New Roman" w:hAnsi="Times New Roman"/>
          <w:szCs w:val="24"/>
        </w:rPr>
        <w:t>;</w:t>
      </w:r>
    </w:p>
    <w:p w14:paraId="3D6069BA" w14:textId="0CF1B2F9" w:rsidR="00EB7A7B" w:rsidRPr="00845504" w:rsidRDefault="00BE1664" w:rsidP="009B0EE1">
      <w:pPr>
        <w:numPr>
          <w:ilvl w:val="2"/>
          <w:numId w:val="5"/>
        </w:numPr>
        <w:tabs>
          <w:tab w:val="left" w:pos="851"/>
        </w:tabs>
        <w:spacing w:line="276" w:lineRule="auto"/>
        <w:ind w:left="-851" w:firstLine="851"/>
        <w:jc w:val="both"/>
        <w:rPr>
          <w:rFonts w:ascii="Times New Roman" w:hAnsi="Times New Roman"/>
          <w:caps/>
          <w:szCs w:val="24"/>
        </w:rPr>
      </w:pPr>
      <w:r w:rsidRPr="00845504">
        <w:rPr>
          <w:rFonts w:ascii="Times New Roman" w:hAnsi="Times New Roman"/>
          <w:szCs w:val="24"/>
        </w:rPr>
        <w:t>Faktoringo sandori</w:t>
      </w:r>
      <w:r w:rsidR="003225B6" w:rsidRPr="00845504">
        <w:rPr>
          <w:rFonts w:ascii="Times New Roman" w:hAnsi="Times New Roman"/>
          <w:szCs w:val="24"/>
        </w:rPr>
        <w:t>u</w:t>
      </w:r>
      <w:r w:rsidR="00102071" w:rsidRPr="00845504">
        <w:rPr>
          <w:rFonts w:ascii="Times New Roman" w:hAnsi="Times New Roman"/>
          <w:szCs w:val="24"/>
        </w:rPr>
        <w:t>s</w:t>
      </w:r>
      <w:r w:rsidR="002E3DC6">
        <w:rPr>
          <w:rFonts w:ascii="Times New Roman" w:hAnsi="Times New Roman"/>
          <w:szCs w:val="24"/>
        </w:rPr>
        <w:t>, garantuotus PGF</w:t>
      </w:r>
      <w:r w:rsidR="002E3DC6" w:rsidRPr="00E534C5">
        <w:rPr>
          <w:rFonts w:ascii="Times New Roman" w:hAnsi="Times New Roman"/>
          <w:szCs w:val="24"/>
        </w:rPr>
        <w:t xml:space="preserve">2 </w:t>
      </w:r>
      <w:r w:rsidR="002E3DC6">
        <w:rPr>
          <w:rFonts w:ascii="Times New Roman" w:hAnsi="Times New Roman"/>
          <w:szCs w:val="24"/>
        </w:rPr>
        <w:t>priemonės lėšomis,</w:t>
      </w:r>
      <w:r w:rsidR="00102071" w:rsidRPr="00845504">
        <w:rPr>
          <w:rFonts w:ascii="Times New Roman" w:hAnsi="Times New Roman"/>
          <w:szCs w:val="24"/>
        </w:rPr>
        <w:t xml:space="preserve"> </w:t>
      </w:r>
      <w:r w:rsidR="0010717F" w:rsidRPr="00845504">
        <w:rPr>
          <w:rFonts w:ascii="Times New Roman" w:hAnsi="Times New Roman"/>
          <w:szCs w:val="24"/>
        </w:rPr>
        <w:t>apskaityti</w:t>
      </w:r>
      <w:r w:rsidR="002E3DC6">
        <w:rPr>
          <w:rFonts w:ascii="Times New Roman" w:hAnsi="Times New Roman"/>
          <w:szCs w:val="24"/>
        </w:rPr>
        <w:t xml:space="preserve"> atskirai ir</w:t>
      </w:r>
      <w:r w:rsidR="0010717F" w:rsidRPr="00845504">
        <w:rPr>
          <w:rFonts w:ascii="Times New Roman" w:hAnsi="Times New Roman"/>
          <w:szCs w:val="24"/>
        </w:rPr>
        <w:t xml:space="preserve"> taip, kad būtų galima j</w:t>
      </w:r>
      <w:r w:rsidR="006837EB" w:rsidRPr="00845504">
        <w:rPr>
          <w:rFonts w:ascii="Times New Roman" w:hAnsi="Times New Roman"/>
          <w:szCs w:val="24"/>
        </w:rPr>
        <w:t>uo</w:t>
      </w:r>
      <w:r w:rsidR="0010717F" w:rsidRPr="00845504">
        <w:rPr>
          <w:rFonts w:ascii="Times New Roman" w:hAnsi="Times New Roman"/>
          <w:szCs w:val="24"/>
        </w:rPr>
        <w:t>s lengvai identifikuoti;</w:t>
      </w:r>
    </w:p>
    <w:p w14:paraId="1BEFE4BD" w14:textId="2408CDBB" w:rsidR="00550312" w:rsidRPr="003448EC" w:rsidRDefault="00B333D3" w:rsidP="009B0EE1">
      <w:pPr>
        <w:numPr>
          <w:ilvl w:val="2"/>
          <w:numId w:val="5"/>
        </w:numPr>
        <w:tabs>
          <w:tab w:val="left" w:pos="851"/>
        </w:tabs>
        <w:spacing w:line="276" w:lineRule="auto"/>
        <w:ind w:left="-851" w:firstLine="851"/>
        <w:jc w:val="both"/>
        <w:rPr>
          <w:rFonts w:ascii="Times New Roman" w:hAnsi="Times New Roman"/>
          <w:caps/>
          <w:szCs w:val="24"/>
        </w:rPr>
      </w:pPr>
      <w:r w:rsidRPr="00B333D3">
        <w:rPr>
          <w:rFonts w:ascii="Times New Roman" w:eastAsia="Calibri" w:hAnsi="Times New Roman"/>
          <w:szCs w:val="24"/>
        </w:rPr>
        <w:t xml:space="preserve">teikti papildomą informaciją, pagal atskirą „Invegos“ paklausimą. </w:t>
      </w:r>
      <w:r w:rsidR="009F792E" w:rsidRPr="00845504">
        <w:rPr>
          <w:rFonts w:ascii="Times New Roman" w:hAnsi="Times New Roman"/>
          <w:szCs w:val="24"/>
        </w:rPr>
        <w:t xml:space="preserve">Tokios informacijos pateikimo terminas suderinamas su PGF2 priemonės </w:t>
      </w:r>
      <w:r w:rsidR="009F792E" w:rsidRPr="003448EC">
        <w:rPr>
          <w:rFonts w:ascii="Times New Roman" w:hAnsi="Times New Roman"/>
          <w:szCs w:val="24"/>
        </w:rPr>
        <w:t>valdytoju ir nustatomas atsižvelgiant į prašomos informacijos kiekį ir pobūdį</w:t>
      </w:r>
      <w:r w:rsidR="009F792E">
        <w:rPr>
          <w:rFonts w:ascii="Times New Roman" w:hAnsi="Times New Roman"/>
          <w:szCs w:val="24"/>
        </w:rPr>
        <w:t>.</w:t>
      </w:r>
      <w:r w:rsidR="009F792E" w:rsidRPr="00B333D3">
        <w:rPr>
          <w:rFonts w:ascii="Times New Roman" w:eastAsia="Calibri" w:hAnsi="Times New Roman"/>
          <w:szCs w:val="24"/>
        </w:rPr>
        <w:t xml:space="preserve"> </w:t>
      </w:r>
      <w:r w:rsidRPr="00B333D3">
        <w:rPr>
          <w:rFonts w:ascii="Times New Roman" w:eastAsia="Calibri" w:hAnsi="Times New Roman"/>
          <w:szCs w:val="24"/>
        </w:rPr>
        <w:t>„Invega“ neprivalo nuolat stebėti ir tikrinti, ar Faktoringo sandoris, traukiamas į Portfelį, atitinka Tinkamumo sąlygas, tačiau „Invega</w:t>
      </w:r>
      <w:bookmarkStart w:id="4" w:name="_Hlk36561065"/>
      <w:r w:rsidRPr="00B333D3">
        <w:rPr>
          <w:rFonts w:ascii="Times New Roman" w:eastAsia="Calibri" w:hAnsi="Times New Roman"/>
          <w:szCs w:val="24"/>
        </w:rPr>
        <w:t>“</w:t>
      </w:r>
      <w:bookmarkEnd w:id="4"/>
      <w:r w:rsidRPr="00B333D3">
        <w:rPr>
          <w:rFonts w:ascii="Times New Roman" w:eastAsia="Calibri" w:hAnsi="Times New Roman"/>
          <w:szCs w:val="24"/>
        </w:rPr>
        <w:t xml:space="preserve"> gali bet kuriuo metu pareikalauti, kad PGF2 priemonės valdytojas neatlygintinai pateiktų informaciją, kuri leistų „Invegai“ patikrinti, ar Faktoringo sandoris atitinka Tinkamumo sąlygas ir jo įtraukimas į Portfelį neprieštarauja sutarties sąlygoms. PGF2 priemonės valdytojas privalo pateikti „Invegai“ informaciją, kurios pagrįstai pareikalauja „Invega“</w:t>
      </w:r>
      <w:r w:rsidR="009E7B10">
        <w:rPr>
          <w:rFonts w:ascii="Times New Roman" w:eastAsia="Calibri" w:hAnsi="Times New Roman"/>
          <w:szCs w:val="24"/>
        </w:rPr>
        <w:t>.</w:t>
      </w:r>
      <w:r w:rsidR="00273D4D" w:rsidRPr="003448EC">
        <w:rPr>
          <w:rFonts w:ascii="Times New Roman" w:hAnsi="Times New Roman"/>
          <w:szCs w:val="24"/>
        </w:rPr>
        <w:t>;</w:t>
      </w:r>
    </w:p>
    <w:p w14:paraId="6813D087" w14:textId="0065662F" w:rsidR="00550312" w:rsidRPr="00A2380B" w:rsidRDefault="00465558" w:rsidP="009B0EE1">
      <w:pPr>
        <w:numPr>
          <w:ilvl w:val="2"/>
          <w:numId w:val="5"/>
        </w:numPr>
        <w:tabs>
          <w:tab w:val="left" w:pos="851"/>
        </w:tabs>
        <w:spacing w:line="276" w:lineRule="auto"/>
        <w:ind w:left="-851" w:firstLine="851"/>
        <w:jc w:val="both"/>
        <w:rPr>
          <w:rFonts w:ascii="Times New Roman" w:hAnsi="Times New Roman"/>
          <w:caps/>
          <w:szCs w:val="24"/>
        </w:rPr>
      </w:pPr>
      <w:r w:rsidRPr="003448EC">
        <w:rPr>
          <w:rFonts w:ascii="Times New Roman" w:hAnsi="Times New Roman"/>
          <w:szCs w:val="24"/>
        </w:rPr>
        <w:t xml:space="preserve">Kiekvieną </w:t>
      </w:r>
      <w:r w:rsidR="000408A2" w:rsidRPr="003448EC">
        <w:rPr>
          <w:rFonts w:ascii="Times New Roman" w:hAnsi="Times New Roman"/>
          <w:szCs w:val="24"/>
        </w:rPr>
        <w:t xml:space="preserve">kartą prieš pasirašant </w:t>
      </w:r>
      <w:r w:rsidR="00C008EB" w:rsidRPr="003448EC">
        <w:rPr>
          <w:rFonts w:ascii="Times New Roman" w:hAnsi="Times New Roman"/>
          <w:szCs w:val="24"/>
        </w:rPr>
        <w:t xml:space="preserve">su Faktoringo gavėju </w:t>
      </w:r>
      <w:r w:rsidR="00684464" w:rsidRPr="003448EC">
        <w:rPr>
          <w:rFonts w:ascii="Times New Roman" w:hAnsi="Times New Roman"/>
          <w:szCs w:val="24"/>
        </w:rPr>
        <w:t>Faktoringo</w:t>
      </w:r>
      <w:r w:rsidR="000408A2" w:rsidRPr="003448EC">
        <w:rPr>
          <w:rFonts w:ascii="Times New Roman" w:hAnsi="Times New Roman"/>
          <w:szCs w:val="24"/>
        </w:rPr>
        <w:t xml:space="preserve"> sutartį</w:t>
      </w:r>
      <w:r w:rsidR="00C008EB" w:rsidRPr="003448EC">
        <w:rPr>
          <w:rFonts w:ascii="Times New Roman" w:hAnsi="Times New Roman"/>
          <w:szCs w:val="24"/>
        </w:rPr>
        <w:t>, pagal kurią Faktoringo sandori</w:t>
      </w:r>
      <w:r w:rsidR="005A565C" w:rsidRPr="003448EC">
        <w:rPr>
          <w:rFonts w:ascii="Times New Roman" w:hAnsi="Times New Roman"/>
          <w:szCs w:val="24"/>
        </w:rPr>
        <w:t>s</w:t>
      </w:r>
      <w:r w:rsidR="00C008EB" w:rsidRPr="003448EC">
        <w:rPr>
          <w:rFonts w:ascii="Times New Roman" w:hAnsi="Times New Roman"/>
          <w:szCs w:val="24"/>
        </w:rPr>
        <w:t xml:space="preserve"> bus įtraukt</w:t>
      </w:r>
      <w:r w:rsidR="005A565C" w:rsidRPr="003448EC">
        <w:rPr>
          <w:rFonts w:ascii="Times New Roman" w:hAnsi="Times New Roman"/>
          <w:szCs w:val="24"/>
        </w:rPr>
        <w:t>as</w:t>
      </w:r>
      <w:r w:rsidR="00C008EB" w:rsidRPr="003448EC">
        <w:rPr>
          <w:rFonts w:ascii="Times New Roman" w:hAnsi="Times New Roman"/>
          <w:szCs w:val="24"/>
        </w:rPr>
        <w:t xml:space="preserve"> į Portfelį,</w:t>
      </w:r>
      <w:r w:rsidR="000408A2" w:rsidRPr="003448EC">
        <w:rPr>
          <w:rFonts w:ascii="Times New Roman" w:hAnsi="Times New Roman"/>
          <w:szCs w:val="24"/>
        </w:rPr>
        <w:t xml:space="preserve"> patikrinti</w:t>
      </w:r>
      <w:r w:rsidR="009A40EB" w:rsidRPr="003448EC">
        <w:rPr>
          <w:rFonts w:ascii="Times New Roman" w:hAnsi="Times New Roman"/>
          <w:szCs w:val="24"/>
        </w:rPr>
        <w:t>,</w:t>
      </w:r>
      <w:r w:rsidR="000408A2" w:rsidRPr="003448EC">
        <w:rPr>
          <w:rFonts w:ascii="Times New Roman" w:hAnsi="Times New Roman"/>
          <w:szCs w:val="24"/>
        </w:rPr>
        <w:t xml:space="preserve"> ar pagal </w:t>
      </w:r>
      <w:r w:rsidR="009A40EB" w:rsidRPr="003448EC">
        <w:rPr>
          <w:rFonts w:ascii="Times New Roman" w:hAnsi="Times New Roman"/>
          <w:i/>
          <w:szCs w:val="24"/>
        </w:rPr>
        <w:t xml:space="preserve">De </w:t>
      </w:r>
      <w:r w:rsidR="000408A2" w:rsidRPr="003448EC">
        <w:rPr>
          <w:rFonts w:ascii="Times New Roman" w:hAnsi="Times New Roman"/>
          <w:i/>
          <w:szCs w:val="24"/>
        </w:rPr>
        <w:t>minimis</w:t>
      </w:r>
      <w:r w:rsidR="000408A2" w:rsidRPr="003448EC">
        <w:rPr>
          <w:rFonts w:ascii="Times New Roman" w:hAnsi="Times New Roman"/>
          <w:szCs w:val="24"/>
        </w:rPr>
        <w:t xml:space="preserve"> reglamento nuostatas </w:t>
      </w:r>
      <w:r w:rsidR="009A40EB" w:rsidRPr="003448EC">
        <w:rPr>
          <w:rFonts w:ascii="Times New Roman" w:hAnsi="Times New Roman"/>
          <w:szCs w:val="24"/>
        </w:rPr>
        <w:t xml:space="preserve">tokiam </w:t>
      </w:r>
      <w:r w:rsidR="00684464" w:rsidRPr="003448EC">
        <w:rPr>
          <w:rFonts w:ascii="Times New Roman" w:hAnsi="Times New Roman"/>
          <w:szCs w:val="24"/>
        </w:rPr>
        <w:t xml:space="preserve">Faktoringo </w:t>
      </w:r>
      <w:r w:rsidR="009A40EB" w:rsidRPr="003448EC">
        <w:rPr>
          <w:rFonts w:ascii="Times New Roman" w:hAnsi="Times New Roman"/>
          <w:szCs w:val="24"/>
        </w:rPr>
        <w:t>gavėjui</w:t>
      </w:r>
      <w:r w:rsidR="000408A2" w:rsidRPr="003448EC">
        <w:rPr>
          <w:rFonts w:ascii="Times New Roman" w:hAnsi="Times New Roman"/>
          <w:szCs w:val="24"/>
        </w:rPr>
        <w:t xml:space="preserve"> gali būti suteikta atitinkamo dydžio </w:t>
      </w:r>
      <w:r w:rsidR="000408A2" w:rsidRPr="003448EC">
        <w:rPr>
          <w:rFonts w:ascii="Times New Roman" w:hAnsi="Times New Roman"/>
          <w:i/>
          <w:szCs w:val="24"/>
        </w:rPr>
        <w:t>de</w:t>
      </w:r>
      <w:r w:rsidR="009A40EB" w:rsidRPr="003448EC">
        <w:rPr>
          <w:rFonts w:ascii="Times New Roman" w:hAnsi="Times New Roman"/>
          <w:i/>
          <w:szCs w:val="24"/>
        </w:rPr>
        <w:t xml:space="preserve"> </w:t>
      </w:r>
      <w:r w:rsidR="000408A2" w:rsidRPr="003448EC">
        <w:rPr>
          <w:rFonts w:ascii="Times New Roman" w:hAnsi="Times New Roman"/>
          <w:i/>
          <w:szCs w:val="24"/>
        </w:rPr>
        <w:t xml:space="preserve">minimis </w:t>
      </w:r>
      <w:r w:rsidR="000408A2" w:rsidRPr="003448EC">
        <w:rPr>
          <w:rFonts w:ascii="Times New Roman" w:hAnsi="Times New Roman"/>
          <w:szCs w:val="24"/>
        </w:rPr>
        <w:t>pagalba</w:t>
      </w:r>
      <w:r w:rsidR="009A40EB" w:rsidRPr="003448EC">
        <w:rPr>
          <w:rFonts w:ascii="Times New Roman" w:hAnsi="Times New Roman"/>
          <w:szCs w:val="24"/>
        </w:rPr>
        <w:t>,</w:t>
      </w:r>
      <w:r w:rsidR="000408A2" w:rsidRPr="003448EC">
        <w:rPr>
          <w:rFonts w:ascii="Times New Roman" w:hAnsi="Times New Roman"/>
          <w:szCs w:val="24"/>
        </w:rPr>
        <w:t xml:space="preserve"> ir apskaičiuoti numatomos suteikti </w:t>
      </w:r>
      <w:r w:rsidR="000408A2" w:rsidRPr="003448EC">
        <w:rPr>
          <w:rFonts w:ascii="Times New Roman" w:hAnsi="Times New Roman"/>
          <w:i/>
          <w:szCs w:val="24"/>
        </w:rPr>
        <w:t>de</w:t>
      </w:r>
      <w:r w:rsidR="009A40EB" w:rsidRPr="003448EC">
        <w:rPr>
          <w:rFonts w:ascii="Times New Roman" w:hAnsi="Times New Roman"/>
          <w:i/>
          <w:szCs w:val="24"/>
        </w:rPr>
        <w:t xml:space="preserve"> </w:t>
      </w:r>
      <w:r w:rsidR="000408A2" w:rsidRPr="003448EC">
        <w:rPr>
          <w:rFonts w:ascii="Times New Roman" w:hAnsi="Times New Roman"/>
          <w:i/>
          <w:szCs w:val="24"/>
        </w:rPr>
        <w:t xml:space="preserve">minimis </w:t>
      </w:r>
      <w:r w:rsidR="000408A2" w:rsidRPr="003448EC">
        <w:rPr>
          <w:rFonts w:ascii="Times New Roman" w:hAnsi="Times New Roman"/>
          <w:szCs w:val="24"/>
        </w:rPr>
        <w:t>pagalbos dydį, o su</w:t>
      </w:r>
      <w:r w:rsidR="006301B1" w:rsidRPr="003448EC">
        <w:rPr>
          <w:rFonts w:ascii="Times New Roman" w:hAnsi="Times New Roman"/>
          <w:szCs w:val="24"/>
        </w:rPr>
        <w:t>darius</w:t>
      </w:r>
      <w:r w:rsidR="000408A2" w:rsidRPr="003448EC">
        <w:rPr>
          <w:rFonts w:ascii="Times New Roman" w:hAnsi="Times New Roman"/>
          <w:szCs w:val="24"/>
        </w:rPr>
        <w:t xml:space="preserve"> </w:t>
      </w:r>
      <w:r w:rsidR="00013C53" w:rsidRPr="003448EC">
        <w:rPr>
          <w:rFonts w:ascii="Times New Roman" w:hAnsi="Times New Roman"/>
          <w:szCs w:val="24"/>
        </w:rPr>
        <w:t>Faktoringo s</w:t>
      </w:r>
      <w:r w:rsidR="007F42AD" w:rsidRPr="003448EC">
        <w:rPr>
          <w:rFonts w:ascii="Times New Roman" w:hAnsi="Times New Roman"/>
          <w:szCs w:val="24"/>
        </w:rPr>
        <w:t>utart</w:t>
      </w:r>
      <w:r w:rsidR="00013C53" w:rsidRPr="003448EC">
        <w:rPr>
          <w:rFonts w:ascii="Times New Roman" w:hAnsi="Times New Roman"/>
          <w:szCs w:val="24"/>
        </w:rPr>
        <w:t>į</w:t>
      </w:r>
      <w:r w:rsidR="000408A2" w:rsidRPr="003448EC">
        <w:rPr>
          <w:rFonts w:ascii="Times New Roman" w:hAnsi="Times New Roman"/>
          <w:szCs w:val="24"/>
        </w:rPr>
        <w:t xml:space="preserve">, šį dydį registruoti </w:t>
      </w:r>
      <w:r w:rsidR="000408A2" w:rsidRPr="003448EC">
        <w:rPr>
          <w:rFonts w:ascii="Times New Roman" w:hAnsi="Times New Roman"/>
          <w:spacing w:val="2"/>
          <w:szCs w:val="24"/>
          <w:shd w:val="clear" w:color="auto" w:fill="FFFFFF"/>
        </w:rPr>
        <w:t>Suteiktos valstybės pagalbos registre</w:t>
      </w:r>
      <w:r w:rsidR="00A57418" w:rsidRPr="003448EC">
        <w:rPr>
          <w:rFonts w:ascii="Times New Roman" w:hAnsi="Times New Roman"/>
          <w:spacing w:val="2"/>
          <w:szCs w:val="24"/>
          <w:shd w:val="clear" w:color="auto" w:fill="FFFFFF"/>
        </w:rPr>
        <w:t xml:space="preserve"> (tai</w:t>
      </w:r>
      <w:r w:rsidR="00C16108" w:rsidRPr="003448EC">
        <w:rPr>
          <w:rFonts w:ascii="Times New Roman" w:hAnsi="Times New Roman"/>
          <w:spacing w:val="2"/>
          <w:szCs w:val="24"/>
          <w:shd w:val="clear" w:color="auto" w:fill="FFFFFF"/>
        </w:rPr>
        <w:t>koma ir tais</w:t>
      </w:r>
      <w:r w:rsidR="00A57418" w:rsidRPr="003448EC">
        <w:rPr>
          <w:rFonts w:ascii="Times New Roman" w:hAnsi="Times New Roman"/>
          <w:spacing w:val="2"/>
          <w:szCs w:val="24"/>
          <w:shd w:val="clear" w:color="auto" w:fill="FFFFFF"/>
        </w:rPr>
        <w:t xml:space="preserve"> atvejais, kai keičiant </w:t>
      </w:r>
      <w:r w:rsidR="00F21757" w:rsidRPr="003448EC">
        <w:rPr>
          <w:rFonts w:ascii="Times New Roman" w:hAnsi="Times New Roman"/>
          <w:spacing w:val="2"/>
          <w:szCs w:val="24"/>
          <w:shd w:val="clear" w:color="auto" w:fill="FFFFFF"/>
        </w:rPr>
        <w:t xml:space="preserve">Faktoringo </w:t>
      </w:r>
      <w:r w:rsidR="00A57418" w:rsidRPr="003448EC">
        <w:rPr>
          <w:rFonts w:ascii="Times New Roman" w:hAnsi="Times New Roman"/>
          <w:spacing w:val="2"/>
          <w:szCs w:val="24"/>
          <w:shd w:val="clear" w:color="auto" w:fill="FFFFFF"/>
        </w:rPr>
        <w:t xml:space="preserve">sutartį yra didinama </w:t>
      </w:r>
      <w:r w:rsidR="00F21757" w:rsidRPr="003448EC">
        <w:rPr>
          <w:rFonts w:ascii="Times New Roman" w:hAnsi="Times New Roman"/>
          <w:spacing w:val="2"/>
          <w:szCs w:val="24"/>
          <w:shd w:val="clear" w:color="auto" w:fill="FFFFFF"/>
        </w:rPr>
        <w:t xml:space="preserve">Faktoringo </w:t>
      </w:r>
      <w:r w:rsidR="009C086F" w:rsidRPr="003448EC">
        <w:rPr>
          <w:rFonts w:ascii="Times New Roman" w:hAnsi="Times New Roman"/>
          <w:spacing w:val="2"/>
          <w:szCs w:val="24"/>
          <w:shd w:val="clear" w:color="auto" w:fill="FFFFFF"/>
        </w:rPr>
        <w:t xml:space="preserve">limito </w:t>
      </w:r>
      <w:r w:rsidR="00A57418" w:rsidRPr="003448EC">
        <w:rPr>
          <w:rFonts w:ascii="Times New Roman" w:hAnsi="Times New Roman"/>
          <w:spacing w:val="2"/>
          <w:szCs w:val="24"/>
          <w:shd w:val="clear" w:color="auto" w:fill="FFFFFF"/>
        </w:rPr>
        <w:t>suma</w:t>
      </w:r>
      <w:r w:rsidR="000F0A39">
        <w:rPr>
          <w:rFonts w:ascii="Times New Roman" w:hAnsi="Times New Roman"/>
          <w:spacing w:val="2"/>
          <w:szCs w:val="24"/>
          <w:shd w:val="clear" w:color="auto" w:fill="FFFFFF"/>
        </w:rPr>
        <w:t>,</w:t>
      </w:r>
      <w:r w:rsidR="00A57418" w:rsidRPr="003448EC">
        <w:rPr>
          <w:rFonts w:ascii="Times New Roman" w:hAnsi="Times New Roman"/>
          <w:spacing w:val="2"/>
          <w:szCs w:val="24"/>
          <w:shd w:val="clear" w:color="auto" w:fill="FFFFFF"/>
        </w:rPr>
        <w:t xml:space="preserve"> </w:t>
      </w:r>
      <w:r w:rsidR="00A57418" w:rsidRPr="00A2380B">
        <w:rPr>
          <w:rFonts w:ascii="Times New Roman" w:hAnsi="Times New Roman"/>
          <w:spacing w:val="2"/>
          <w:szCs w:val="24"/>
          <w:shd w:val="clear" w:color="auto" w:fill="FFFFFF"/>
        </w:rPr>
        <w:t xml:space="preserve">ilginamas </w:t>
      </w:r>
      <w:r w:rsidR="00F21757" w:rsidRPr="00A2380B">
        <w:rPr>
          <w:rFonts w:ascii="Times New Roman" w:hAnsi="Times New Roman"/>
          <w:spacing w:val="2"/>
          <w:szCs w:val="24"/>
          <w:shd w:val="clear" w:color="auto" w:fill="FFFFFF"/>
        </w:rPr>
        <w:t>Faktoringo sandorio</w:t>
      </w:r>
      <w:r w:rsidR="004B5DC8" w:rsidRPr="00A2380B">
        <w:rPr>
          <w:rFonts w:ascii="Times New Roman" w:hAnsi="Times New Roman"/>
          <w:spacing w:val="2"/>
          <w:szCs w:val="24"/>
          <w:shd w:val="clear" w:color="auto" w:fill="FFFFFF"/>
        </w:rPr>
        <w:t xml:space="preserve"> </w:t>
      </w:r>
      <w:r w:rsidR="00F4009D" w:rsidRPr="00A2380B">
        <w:rPr>
          <w:rFonts w:ascii="Times New Roman" w:hAnsi="Times New Roman"/>
          <w:spacing w:val="2"/>
          <w:szCs w:val="24"/>
          <w:shd w:val="clear" w:color="auto" w:fill="FFFFFF"/>
        </w:rPr>
        <w:t>finansavimo laikotarpis</w:t>
      </w:r>
      <w:r w:rsidR="000F0A39">
        <w:rPr>
          <w:rFonts w:ascii="Times New Roman" w:hAnsi="Times New Roman"/>
          <w:spacing w:val="2"/>
          <w:szCs w:val="24"/>
          <w:shd w:val="clear" w:color="auto" w:fill="FFFFFF"/>
        </w:rPr>
        <w:t xml:space="preserve"> ar ilginamas </w:t>
      </w:r>
      <w:r w:rsidR="000F0A39" w:rsidRPr="00823956">
        <w:rPr>
          <w:rFonts w:ascii="Times New Roman" w:hAnsi="Times New Roman"/>
          <w:szCs w:val="24"/>
        </w:rPr>
        <w:t>Maksimal</w:t>
      </w:r>
      <w:r w:rsidR="000F0A39">
        <w:rPr>
          <w:rFonts w:ascii="Times New Roman" w:hAnsi="Times New Roman"/>
          <w:szCs w:val="24"/>
        </w:rPr>
        <w:t>us</w:t>
      </w:r>
      <w:r w:rsidR="000F0A39" w:rsidRPr="00823956">
        <w:rPr>
          <w:rFonts w:ascii="Times New Roman" w:hAnsi="Times New Roman"/>
          <w:szCs w:val="24"/>
        </w:rPr>
        <w:t xml:space="preserve"> mokėjimo atidėjimo pirkėjui termin</w:t>
      </w:r>
      <w:r w:rsidR="000F0A39">
        <w:rPr>
          <w:rFonts w:ascii="Times New Roman" w:hAnsi="Times New Roman"/>
          <w:szCs w:val="24"/>
        </w:rPr>
        <w:t>as</w:t>
      </w:r>
      <w:r w:rsidR="00A57418" w:rsidRPr="00A2380B">
        <w:rPr>
          <w:rFonts w:ascii="Times New Roman" w:hAnsi="Times New Roman"/>
          <w:spacing w:val="2"/>
          <w:szCs w:val="24"/>
          <w:shd w:val="clear" w:color="auto" w:fill="FFFFFF"/>
        </w:rPr>
        <w:t>)</w:t>
      </w:r>
      <w:r w:rsidR="000408A2" w:rsidRPr="00A2380B">
        <w:rPr>
          <w:rFonts w:ascii="Times New Roman" w:hAnsi="Times New Roman"/>
          <w:spacing w:val="2"/>
          <w:szCs w:val="24"/>
          <w:shd w:val="clear" w:color="auto" w:fill="FFFFFF"/>
        </w:rPr>
        <w:t>;</w:t>
      </w:r>
    </w:p>
    <w:p w14:paraId="19D17954" w14:textId="56BB1156" w:rsidR="00550312" w:rsidRPr="004E32E2" w:rsidRDefault="00465558" w:rsidP="009B0EE1">
      <w:pPr>
        <w:numPr>
          <w:ilvl w:val="2"/>
          <w:numId w:val="5"/>
        </w:numPr>
        <w:tabs>
          <w:tab w:val="left" w:pos="851"/>
        </w:tabs>
        <w:spacing w:line="276" w:lineRule="auto"/>
        <w:ind w:left="-851" w:firstLine="851"/>
        <w:jc w:val="both"/>
        <w:rPr>
          <w:rFonts w:ascii="Times New Roman" w:hAnsi="Times New Roman"/>
          <w:caps/>
          <w:szCs w:val="24"/>
        </w:rPr>
      </w:pPr>
      <w:r w:rsidRPr="004E32E2">
        <w:rPr>
          <w:rFonts w:ascii="Times New Roman" w:hAnsi="Times New Roman"/>
          <w:spacing w:val="2"/>
          <w:szCs w:val="24"/>
          <w:shd w:val="clear" w:color="auto" w:fill="FFFFFF"/>
        </w:rPr>
        <w:t xml:space="preserve">Užtikrinti </w:t>
      </w:r>
      <w:r w:rsidR="002C5CED" w:rsidRPr="004E32E2">
        <w:rPr>
          <w:rFonts w:ascii="Times New Roman" w:hAnsi="Times New Roman"/>
          <w:spacing w:val="2"/>
          <w:szCs w:val="24"/>
          <w:shd w:val="clear" w:color="auto" w:fill="FFFFFF"/>
        </w:rPr>
        <w:t xml:space="preserve">teikiamų </w:t>
      </w:r>
      <w:r w:rsidR="0058580E" w:rsidRPr="004E32E2">
        <w:rPr>
          <w:rFonts w:ascii="Times New Roman" w:hAnsi="Times New Roman"/>
          <w:spacing w:val="2"/>
          <w:szCs w:val="24"/>
          <w:shd w:val="clear" w:color="auto" w:fill="FFFFFF"/>
        </w:rPr>
        <w:t>Faktoringo sandorių</w:t>
      </w:r>
      <w:r w:rsidR="00CB28CE" w:rsidRPr="004E32E2">
        <w:rPr>
          <w:rFonts w:ascii="Times New Roman" w:hAnsi="Times New Roman"/>
          <w:spacing w:val="2"/>
          <w:szCs w:val="24"/>
          <w:shd w:val="clear" w:color="auto" w:fill="FFFFFF"/>
        </w:rPr>
        <w:t xml:space="preserve"> atitikimą valstybės pagalbos reikalavimams </w:t>
      </w:r>
      <w:r w:rsidR="00C92A44" w:rsidRPr="004E32E2">
        <w:rPr>
          <w:rFonts w:ascii="Times New Roman" w:hAnsi="Times New Roman"/>
          <w:spacing w:val="2"/>
          <w:szCs w:val="24"/>
          <w:shd w:val="clear" w:color="auto" w:fill="FFFFFF"/>
        </w:rPr>
        <w:t xml:space="preserve">taip, </w:t>
      </w:r>
      <w:r w:rsidR="00CB28CE" w:rsidRPr="004E32E2">
        <w:rPr>
          <w:rFonts w:ascii="Times New Roman" w:hAnsi="Times New Roman"/>
          <w:spacing w:val="2"/>
          <w:szCs w:val="24"/>
          <w:shd w:val="clear" w:color="auto" w:fill="FFFFFF"/>
        </w:rPr>
        <w:t xml:space="preserve">kaip tai nustatyta </w:t>
      </w:r>
      <w:r w:rsidR="000408A2" w:rsidRPr="004E32E2">
        <w:rPr>
          <w:rFonts w:ascii="Times New Roman" w:hAnsi="Times New Roman"/>
          <w:i/>
          <w:spacing w:val="2"/>
          <w:szCs w:val="24"/>
          <w:shd w:val="clear" w:color="auto" w:fill="FFFFFF"/>
        </w:rPr>
        <w:t>De minimis</w:t>
      </w:r>
      <w:r w:rsidR="000408A2" w:rsidRPr="004E32E2">
        <w:rPr>
          <w:rFonts w:ascii="Times New Roman" w:hAnsi="Times New Roman"/>
          <w:spacing w:val="2"/>
          <w:szCs w:val="24"/>
          <w:shd w:val="clear" w:color="auto" w:fill="FFFFFF"/>
        </w:rPr>
        <w:t xml:space="preserve"> reglamente </w:t>
      </w:r>
      <w:r w:rsidR="00CB28CE" w:rsidRPr="004E32E2">
        <w:rPr>
          <w:rFonts w:ascii="Times New Roman" w:hAnsi="Times New Roman"/>
          <w:spacing w:val="2"/>
          <w:szCs w:val="24"/>
          <w:shd w:val="clear" w:color="auto" w:fill="FFFFFF"/>
        </w:rPr>
        <w:t xml:space="preserve">ir </w:t>
      </w:r>
      <w:r w:rsidR="00AB05CE">
        <w:rPr>
          <w:rFonts w:ascii="Times New Roman" w:hAnsi="Times New Roman"/>
          <w:szCs w:val="24"/>
        </w:rPr>
        <w:t>PGF2</w:t>
      </w:r>
      <w:r w:rsidR="00AB05CE" w:rsidRPr="000D2819">
        <w:rPr>
          <w:rFonts w:ascii="Times New Roman" w:hAnsi="Times New Roman"/>
          <w:szCs w:val="24"/>
        </w:rPr>
        <w:t xml:space="preserve"> priemonės schem</w:t>
      </w:r>
      <w:r w:rsidR="00AB05CE">
        <w:rPr>
          <w:rFonts w:ascii="Times New Roman" w:hAnsi="Times New Roman"/>
          <w:szCs w:val="24"/>
        </w:rPr>
        <w:t>oje</w:t>
      </w:r>
      <w:r w:rsidR="00CB28CE" w:rsidRPr="004E32E2">
        <w:rPr>
          <w:rFonts w:ascii="Times New Roman" w:hAnsi="Times New Roman"/>
          <w:spacing w:val="2"/>
          <w:szCs w:val="24"/>
          <w:shd w:val="clear" w:color="auto" w:fill="FFFFFF"/>
        </w:rPr>
        <w:t>;</w:t>
      </w:r>
    </w:p>
    <w:p w14:paraId="6826981D" w14:textId="4D0DD7CA" w:rsidR="00550312" w:rsidRPr="004243A3" w:rsidRDefault="00C92A44" w:rsidP="009B0EE1">
      <w:pPr>
        <w:numPr>
          <w:ilvl w:val="2"/>
          <w:numId w:val="5"/>
        </w:numPr>
        <w:tabs>
          <w:tab w:val="left" w:pos="851"/>
        </w:tabs>
        <w:spacing w:line="276" w:lineRule="auto"/>
        <w:ind w:left="-851" w:firstLine="851"/>
        <w:jc w:val="both"/>
        <w:rPr>
          <w:rFonts w:ascii="Times New Roman" w:hAnsi="Times New Roman"/>
          <w:caps/>
          <w:szCs w:val="24"/>
        </w:rPr>
      </w:pPr>
      <w:r w:rsidRPr="004243A3">
        <w:rPr>
          <w:rFonts w:ascii="Times New Roman" w:hAnsi="Times New Roman"/>
          <w:szCs w:val="24"/>
        </w:rPr>
        <w:t xml:space="preserve">Sutartyje nustatyta tvarka </w:t>
      </w:r>
      <w:r w:rsidR="00801951" w:rsidRPr="004243A3">
        <w:rPr>
          <w:rFonts w:ascii="Times New Roman" w:hAnsi="Times New Roman"/>
          <w:szCs w:val="24"/>
        </w:rPr>
        <w:t xml:space="preserve">parengti ir teikti „Invegai“ </w:t>
      </w:r>
      <w:r w:rsidRPr="004243A3">
        <w:rPr>
          <w:rFonts w:ascii="Times New Roman" w:hAnsi="Times New Roman"/>
          <w:szCs w:val="24"/>
        </w:rPr>
        <w:t>Sutartyje nu</w:t>
      </w:r>
      <w:r w:rsidR="003274F0">
        <w:rPr>
          <w:rFonts w:ascii="Times New Roman" w:hAnsi="Times New Roman"/>
          <w:szCs w:val="24"/>
        </w:rPr>
        <w:t>st</w:t>
      </w:r>
      <w:r w:rsidRPr="004243A3">
        <w:rPr>
          <w:rFonts w:ascii="Times New Roman" w:hAnsi="Times New Roman"/>
          <w:szCs w:val="24"/>
        </w:rPr>
        <w:t xml:space="preserve">atytas </w:t>
      </w:r>
      <w:r w:rsidR="00801951" w:rsidRPr="004243A3">
        <w:rPr>
          <w:rFonts w:ascii="Times New Roman" w:hAnsi="Times New Roman"/>
          <w:szCs w:val="24"/>
        </w:rPr>
        <w:t>ataskaitas;</w:t>
      </w:r>
    </w:p>
    <w:p w14:paraId="50E85BEA" w14:textId="51205A87" w:rsidR="00550312" w:rsidRPr="004243A3" w:rsidRDefault="00465558" w:rsidP="009B0EE1">
      <w:pPr>
        <w:numPr>
          <w:ilvl w:val="2"/>
          <w:numId w:val="5"/>
        </w:numPr>
        <w:tabs>
          <w:tab w:val="left" w:pos="851"/>
        </w:tabs>
        <w:spacing w:line="276" w:lineRule="auto"/>
        <w:ind w:left="-851" w:firstLine="851"/>
        <w:jc w:val="both"/>
        <w:rPr>
          <w:rFonts w:ascii="Times New Roman" w:hAnsi="Times New Roman"/>
          <w:caps/>
          <w:szCs w:val="24"/>
        </w:rPr>
      </w:pPr>
      <w:r w:rsidRPr="004243A3">
        <w:rPr>
          <w:rFonts w:ascii="Times New Roman" w:hAnsi="Times New Roman"/>
          <w:szCs w:val="24"/>
        </w:rPr>
        <w:lastRenderedPageBreak/>
        <w:t xml:space="preserve">Kaupti </w:t>
      </w:r>
      <w:r w:rsidR="00807D4B" w:rsidRPr="004243A3">
        <w:rPr>
          <w:rFonts w:ascii="Times New Roman" w:hAnsi="Times New Roman"/>
          <w:szCs w:val="24"/>
        </w:rPr>
        <w:t xml:space="preserve">informaciją apie </w:t>
      </w:r>
      <w:r w:rsidR="00F21757" w:rsidRPr="004243A3">
        <w:rPr>
          <w:rFonts w:ascii="Times New Roman" w:hAnsi="Times New Roman"/>
          <w:szCs w:val="24"/>
        </w:rPr>
        <w:t xml:space="preserve">Faktoringo </w:t>
      </w:r>
      <w:r w:rsidR="00807D4B" w:rsidRPr="004243A3">
        <w:rPr>
          <w:rFonts w:ascii="Times New Roman" w:hAnsi="Times New Roman"/>
          <w:szCs w:val="24"/>
        </w:rPr>
        <w:t xml:space="preserve">gavėjus, </w:t>
      </w:r>
      <w:r w:rsidR="00C92A44" w:rsidRPr="004243A3">
        <w:rPr>
          <w:rFonts w:ascii="Times New Roman" w:hAnsi="Times New Roman"/>
          <w:szCs w:val="24"/>
        </w:rPr>
        <w:t>pasirašytas</w:t>
      </w:r>
      <w:r w:rsidR="00807D4B" w:rsidRPr="004243A3">
        <w:rPr>
          <w:rFonts w:ascii="Times New Roman" w:hAnsi="Times New Roman"/>
          <w:szCs w:val="24"/>
        </w:rPr>
        <w:t xml:space="preserve"> </w:t>
      </w:r>
      <w:r w:rsidR="00684464" w:rsidRPr="004243A3">
        <w:rPr>
          <w:rFonts w:ascii="Times New Roman" w:hAnsi="Times New Roman"/>
          <w:szCs w:val="24"/>
        </w:rPr>
        <w:t>Faktoringo</w:t>
      </w:r>
      <w:r w:rsidR="00C92A44" w:rsidRPr="004243A3">
        <w:rPr>
          <w:rFonts w:ascii="Times New Roman" w:hAnsi="Times New Roman"/>
          <w:szCs w:val="24"/>
        </w:rPr>
        <w:t xml:space="preserve"> sutartis</w:t>
      </w:r>
      <w:r w:rsidR="00807D4B" w:rsidRPr="004243A3">
        <w:rPr>
          <w:rFonts w:ascii="Times New Roman" w:hAnsi="Times New Roman"/>
          <w:szCs w:val="24"/>
        </w:rPr>
        <w:t xml:space="preserve">, </w:t>
      </w:r>
      <w:r w:rsidR="00E04DA0" w:rsidRPr="004243A3">
        <w:rPr>
          <w:rFonts w:ascii="Times New Roman" w:hAnsi="Times New Roman"/>
          <w:szCs w:val="24"/>
        </w:rPr>
        <w:t>išm</w:t>
      </w:r>
      <w:r w:rsidR="00A13DB5" w:rsidRPr="004243A3">
        <w:rPr>
          <w:rFonts w:ascii="Times New Roman" w:hAnsi="Times New Roman"/>
          <w:szCs w:val="24"/>
        </w:rPr>
        <w:t>o</w:t>
      </w:r>
      <w:r w:rsidR="00E04DA0" w:rsidRPr="004243A3">
        <w:rPr>
          <w:rFonts w:ascii="Times New Roman" w:hAnsi="Times New Roman"/>
          <w:szCs w:val="24"/>
        </w:rPr>
        <w:t>kėt</w:t>
      </w:r>
      <w:r w:rsidR="003732CD" w:rsidRPr="004243A3">
        <w:rPr>
          <w:rFonts w:ascii="Times New Roman" w:hAnsi="Times New Roman"/>
          <w:szCs w:val="24"/>
        </w:rPr>
        <w:t>as</w:t>
      </w:r>
      <w:r w:rsidR="00E04DA0" w:rsidRPr="004243A3">
        <w:rPr>
          <w:rFonts w:ascii="Times New Roman" w:hAnsi="Times New Roman"/>
          <w:szCs w:val="24"/>
        </w:rPr>
        <w:t xml:space="preserve"> </w:t>
      </w:r>
      <w:r w:rsidR="00684464" w:rsidRPr="004243A3">
        <w:rPr>
          <w:rFonts w:ascii="Times New Roman" w:hAnsi="Times New Roman"/>
          <w:szCs w:val="24"/>
        </w:rPr>
        <w:t>Faktoringo</w:t>
      </w:r>
      <w:r w:rsidR="003732CD" w:rsidRPr="004243A3">
        <w:rPr>
          <w:rFonts w:ascii="Times New Roman" w:hAnsi="Times New Roman"/>
          <w:szCs w:val="24"/>
        </w:rPr>
        <w:t xml:space="preserve"> avansų</w:t>
      </w:r>
      <w:r w:rsidR="00684464" w:rsidRPr="004243A3">
        <w:rPr>
          <w:rFonts w:ascii="Times New Roman" w:hAnsi="Times New Roman"/>
          <w:szCs w:val="24"/>
        </w:rPr>
        <w:t xml:space="preserve"> </w:t>
      </w:r>
      <w:r w:rsidR="00E04DA0" w:rsidRPr="004243A3">
        <w:rPr>
          <w:rFonts w:ascii="Times New Roman" w:hAnsi="Times New Roman"/>
          <w:szCs w:val="24"/>
        </w:rPr>
        <w:t>sum</w:t>
      </w:r>
      <w:r w:rsidR="003732CD" w:rsidRPr="004243A3">
        <w:rPr>
          <w:rFonts w:ascii="Times New Roman" w:hAnsi="Times New Roman"/>
          <w:szCs w:val="24"/>
        </w:rPr>
        <w:t>as</w:t>
      </w:r>
      <w:r w:rsidR="00E04DA0" w:rsidRPr="004243A3">
        <w:rPr>
          <w:rFonts w:ascii="Times New Roman" w:hAnsi="Times New Roman"/>
          <w:szCs w:val="24"/>
        </w:rPr>
        <w:t xml:space="preserve">, </w:t>
      </w:r>
      <w:r w:rsidR="00807D4B" w:rsidRPr="004243A3">
        <w:rPr>
          <w:rFonts w:ascii="Times New Roman" w:hAnsi="Times New Roman"/>
          <w:szCs w:val="24"/>
        </w:rPr>
        <w:t xml:space="preserve">grąžintas </w:t>
      </w:r>
      <w:r w:rsidR="00684464" w:rsidRPr="004243A3">
        <w:rPr>
          <w:rFonts w:ascii="Times New Roman" w:hAnsi="Times New Roman"/>
          <w:szCs w:val="24"/>
        </w:rPr>
        <w:t xml:space="preserve">Faktoringo avansų </w:t>
      </w:r>
      <w:r w:rsidR="0094433A" w:rsidRPr="004243A3">
        <w:rPr>
          <w:rFonts w:ascii="Times New Roman" w:hAnsi="Times New Roman"/>
          <w:szCs w:val="24"/>
        </w:rPr>
        <w:t>sumas</w:t>
      </w:r>
      <w:r w:rsidR="00325953" w:rsidRPr="004243A3">
        <w:rPr>
          <w:rFonts w:ascii="Times New Roman" w:hAnsi="Times New Roman"/>
          <w:szCs w:val="24"/>
        </w:rPr>
        <w:t>,</w:t>
      </w:r>
      <w:r w:rsidR="00EE1E50" w:rsidRPr="004243A3">
        <w:rPr>
          <w:rFonts w:ascii="Times New Roman" w:hAnsi="Times New Roman"/>
          <w:szCs w:val="24"/>
        </w:rPr>
        <w:t xml:space="preserve"> </w:t>
      </w:r>
      <w:r w:rsidR="00106AFC" w:rsidRPr="004243A3">
        <w:rPr>
          <w:rFonts w:ascii="Times New Roman" w:hAnsi="Times New Roman"/>
          <w:szCs w:val="24"/>
        </w:rPr>
        <w:t>išieškotas sumas</w:t>
      </w:r>
      <w:r w:rsidR="00FD432D" w:rsidRPr="004243A3">
        <w:rPr>
          <w:rFonts w:ascii="Times New Roman" w:hAnsi="Times New Roman"/>
          <w:szCs w:val="24"/>
        </w:rPr>
        <w:t xml:space="preserve">, </w:t>
      </w:r>
      <w:r w:rsidR="00FF5828" w:rsidRPr="004243A3">
        <w:rPr>
          <w:rFonts w:ascii="Times New Roman" w:hAnsi="Times New Roman"/>
          <w:szCs w:val="24"/>
        </w:rPr>
        <w:t xml:space="preserve">visų </w:t>
      </w:r>
      <w:r w:rsidR="00F21757" w:rsidRPr="004243A3">
        <w:rPr>
          <w:rFonts w:ascii="Times New Roman" w:hAnsi="Times New Roman"/>
          <w:szCs w:val="24"/>
        </w:rPr>
        <w:t xml:space="preserve">Faktoringo </w:t>
      </w:r>
      <w:r w:rsidR="00C16108" w:rsidRPr="004243A3">
        <w:rPr>
          <w:rFonts w:ascii="Times New Roman" w:hAnsi="Times New Roman"/>
          <w:szCs w:val="24"/>
        </w:rPr>
        <w:t>gavėjų</w:t>
      </w:r>
      <w:r w:rsidR="00FF5828" w:rsidRPr="004243A3">
        <w:rPr>
          <w:rFonts w:ascii="Times New Roman" w:hAnsi="Times New Roman"/>
          <w:szCs w:val="24"/>
        </w:rPr>
        <w:t xml:space="preserve"> kontaktinius duomenis</w:t>
      </w:r>
      <w:r w:rsidR="00EA3891" w:rsidRPr="004243A3">
        <w:rPr>
          <w:rFonts w:ascii="Times New Roman" w:hAnsi="Times New Roman"/>
          <w:szCs w:val="24"/>
        </w:rPr>
        <w:t xml:space="preserve"> (</w:t>
      </w:r>
      <w:r w:rsidR="00684464" w:rsidRPr="004243A3">
        <w:rPr>
          <w:rFonts w:ascii="Times New Roman" w:hAnsi="Times New Roman"/>
          <w:szCs w:val="24"/>
        </w:rPr>
        <w:t>Faktoringo</w:t>
      </w:r>
      <w:r w:rsidR="00EA3891" w:rsidRPr="004243A3">
        <w:rPr>
          <w:rFonts w:ascii="Times New Roman" w:hAnsi="Times New Roman"/>
          <w:szCs w:val="24"/>
        </w:rPr>
        <w:t xml:space="preserve"> gavėjų vadovų vardus ir pavardes, </w:t>
      </w:r>
      <w:r w:rsidR="00684464" w:rsidRPr="004243A3">
        <w:rPr>
          <w:rFonts w:ascii="Times New Roman" w:hAnsi="Times New Roman"/>
          <w:szCs w:val="24"/>
        </w:rPr>
        <w:t>Faktoringo</w:t>
      </w:r>
      <w:r w:rsidR="00EA3891" w:rsidRPr="004243A3">
        <w:rPr>
          <w:rFonts w:ascii="Times New Roman" w:hAnsi="Times New Roman"/>
          <w:szCs w:val="24"/>
        </w:rPr>
        <w:t xml:space="preserve"> gavėjų telefonų numerius ir elektroninio pašto adresus)</w:t>
      </w:r>
      <w:r w:rsidR="00C92A44" w:rsidRPr="004243A3">
        <w:rPr>
          <w:rFonts w:ascii="Times New Roman" w:hAnsi="Times New Roman"/>
          <w:szCs w:val="24"/>
        </w:rPr>
        <w:t>,</w:t>
      </w:r>
      <w:r w:rsidR="00FF5828" w:rsidRPr="004243A3">
        <w:rPr>
          <w:rFonts w:ascii="Times New Roman" w:hAnsi="Times New Roman"/>
          <w:szCs w:val="24"/>
        </w:rPr>
        <w:t xml:space="preserve"> </w:t>
      </w:r>
      <w:r w:rsidR="00807D4B" w:rsidRPr="004243A3">
        <w:rPr>
          <w:rFonts w:ascii="Times New Roman" w:hAnsi="Times New Roman"/>
          <w:szCs w:val="24"/>
        </w:rPr>
        <w:t xml:space="preserve">laikantis vidinių apskaitos </w:t>
      </w:r>
      <w:r w:rsidR="00C92A44" w:rsidRPr="004243A3">
        <w:rPr>
          <w:rFonts w:ascii="Times New Roman" w:hAnsi="Times New Roman"/>
          <w:szCs w:val="24"/>
        </w:rPr>
        <w:t xml:space="preserve">bei kitų </w:t>
      </w:r>
      <w:r w:rsidR="00807D4B" w:rsidRPr="004243A3">
        <w:rPr>
          <w:rFonts w:ascii="Times New Roman" w:hAnsi="Times New Roman"/>
          <w:szCs w:val="24"/>
        </w:rPr>
        <w:t xml:space="preserve">procedūrų ir taip, kad būtų galima </w:t>
      </w:r>
      <w:r w:rsidR="005B4645" w:rsidRPr="004243A3">
        <w:rPr>
          <w:rFonts w:ascii="Times New Roman" w:hAnsi="Times New Roman"/>
          <w:szCs w:val="24"/>
        </w:rPr>
        <w:t xml:space="preserve">„Invegai“ </w:t>
      </w:r>
      <w:r w:rsidR="00807D4B" w:rsidRPr="004243A3">
        <w:rPr>
          <w:rFonts w:ascii="Times New Roman" w:hAnsi="Times New Roman"/>
          <w:szCs w:val="24"/>
        </w:rPr>
        <w:t>pateikti visą informaciją,</w:t>
      </w:r>
      <w:r w:rsidR="00FD432D" w:rsidRPr="004243A3">
        <w:rPr>
          <w:rFonts w:ascii="Times New Roman" w:hAnsi="Times New Roman"/>
          <w:szCs w:val="24"/>
        </w:rPr>
        <w:t xml:space="preserve"> </w:t>
      </w:r>
      <w:r w:rsidR="00807D4B" w:rsidRPr="004243A3">
        <w:rPr>
          <w:rFonts w:ascii="Times New Roman" w:hAnsi="Times New Roman"/>
          <w:szCs w:val="24"/>
        </w:rPr>
        <w:t xml:space="preserve">kuri yra reikalinga patikrinti, ar </w:t>
      </w:r>
      <w:r w:rsidR="00F21757" w:rsidRPr="004243A3">
        <w:rPr>
          <w:rFonts w:ascii="Times New Roman" w:hAnsi="Times New Roman"/>
          <w:szCs w:val="24"/>
        </w:rPr>
        <w:t>Faktoringo sandori</w:t>
      </w:r>
      <w:r w:rsidR="00684464" w:rsidRPr="004243A3">
        <w:rPr>
          <w:rFonts w:ascii="Times New Roman" w:hAnsi="Times New Roman"/>
          <w:szCs w:val="24"/>
        </w:rPr>
        <w:t>s</w:t>
      </w:r>
      <w:r w:rsidR="00807D4B" w:rsidRPr="004243A3">
        <w:rPr>
          <w:rFonts w:ascii="Times New Roman" w:hAnsi="Times New Roman"/>
          <w:szCs w:val="24"/>
        </w:rPr>
        <w:t xml:space="preserve"> buvo suteikt</w:t>
      </w:r>
      <w:r w:rsidR="00684464" w:rsidRPr="004243A3">
        <w:rPr>
          <w:rFonts w:ascii="Times New Roman" w:hAnsi="Times New Roman"/>
          <w:szCs w:val="24"/>
        </w:rPr>
        <w:t>a</w:t>
      </w:r>
      <w:r w:rsidR="00807D4B" w:rsidRPr="004243A3">
        <w:rPr>
          <w:rFonts w:ascii="Times New Roman" w:hAnsi="Times New Roman"/>
          <w:szCs w:val="24"/>
        </w:rPr>
        <w:t xml:space="preserve">s laikantis Sutarties reikalavimų. </w:t>
      </w:r>
      <w:r w:rsidR="005B4645" w:rsidRPr="004243A3">
        <w:rPr>
          <w:rFonts w:ascii="Times New Roman" w:hAnsi="Times New Roman"/>
          <w:szCs w:val="24"/>
        </w:rPr>
        <w:t>„Invega“</w:t>
      </w:r>
      <w:r w:rsidR="00807D4B" w:rsidRPr="004243A3">
        <w:rPr>
          <w:rFonts w:ascii="Times New Roman" w:hAnsi="Times New Roman"/>
          <w:szCs w:val="24"/>
        </w:rPr>
        <w:t xml:space="preserve"> turi teisę paprašyti, o </w:t>
      </w:r>
      <w:r w:rsidR="00C51F33" w:rsidRPr="004243A3">
        <w:rPr>
          <w:rFonts w:ascii="Times New Roman" w:hAnsi="Times New Roman"/>
          <w:szCs w:val="24"/>
        </w:rPr>
        <w:t>PGF</w:t>
      </w:r>
      <w:r w:rsidR="007725A8" w:rsidRPr="004243A3">
        <w:rPr>
          <w:rFonts w:ascii="Times New Roman" w:hAnsi="Times New Roman"/>
          <w:szCs w:val="24"/>
        </w:rPr>
        <w:t>2</w:t>
      </w:r>
      <w:r w:rsidR="009C0181" w:rsidRPr="004243A3">
        <w:rPr>
          <w:rFonts w:ascii="Times New Roman" w:hAnsi="Times New Roman"/>
          <w:szCs w:val="24"/>
        </w:rPr>
        <w:t xml:space="preserve"> priemonės valdytojas</w:t>
      </w:r>
      <w:r w:rsidR="00807D4B" w:rsidRPr="004243A3">
        <w:rPr>
          <w:rFonts w:ascii="Times New Roman" w:hAnsi="Times New Roman"/>
          <w:szCs w:val="24"/>
        </w:rPr>
        <w:t xml:space="preserve"> privalo </w:t>
      </w:r>
      <w:r w:rsidR="00FD432D" w:rsidRPr="004243A3">
        <w:rPr>
          <w:rFonts w:ascii="Times New Roman" w:hAnsi="Times New Roman"/>
          <w:szCs w:val="24"/>
        </w:rPr>
        <w:t xml:space="preserve">neatlygintinai </w:t>
      </w:r>
      <w:r w:rsidR="00C008EB" w:rsidRPr="004243A3">
        <w:rPr>
          <w:rFonts w:ascii="Times New Roman" w:hAnsi="Times New Roman"/>
          <w:szCs w:val="24"/>
        </w:rPr>
        <w:t xml:space="preserve">pateikti dokumentus ir </w:t>
      </w:r>
      <w:r w:rsidR="00807D4B" w:rsidRPr="004243A3">
        <w:rPr>
          <w:rFonts w:ascii="Times New Roman" w:hAnsi="Times New Roman"/>
          <w:szCs w:val="24"/>
        </w:rPr>
        <w:t>informaciją apie atrankos būdu atrinkt</w:t>
      </w:r>
      <w:r w:rsidR="00743420" w:rsidRPr="004243A3">
        <w:rPr>
          <w:rFonts w:ascii="Times New Roman" w:hAnsi="Times New Roman"/>
          <w:szCs w:val="24"/>
        </w:rPr>
        <w:t>u</w:t>
      </w:r>
      <w:r w:rsidR="00807D4B" w:rsidRPr="004243A3">
        <w:rPr>
          <w:rFonts w:ascii="Times New Roman" w:hAnsi="Times New Roman"/>
          <w:szCs w:val="24"/>
        </w:rPr>
        <w:t xml:space="preserve">s </w:t>
      </w:r>
      <w:r w:rsidR="00BE1664" w:rsidRPr="004243A3">
        <w:rPr>
          <w:rFonts w:ascii="Times New Roman" w:hAnsi="Times New Roman"/>
          <w:szCs w:val="24"/>
        </w:rPr>
        <w:t>Faktoringo sandori</w:t>
      </w:r>
      <w:r w:rsidR="00684464" w:rsidRPr="004243A3">
        <w:rPr>
          <w:rFonts w:ascii="Times New Roman" w:hAnsi="Times New Roman"/>
          <w:szCs w:val="24"/>
        </w:rPr>
        <w:t>u</w:t>
      </w:r>
      <w:r w:rsidR="00807D4B" w:rsidRPr="004243A3">
        <w:rPr>
          <w:rFonts w:ascii="Times New Roman" w:hAnsi="Times New Roman"/>
          <w:szCs w:val="24"/>
        </w:rPr>
        <w:t>s (</w:t>
      </w:r>
      <w:r w:rsidR="00970B90" w:rsidRPr="004243A3">
        <w:rPr>
          <w:rFonts w:ascii="Times New Roman" w:hAnsi="Times New Roman"/>
          <w:szCs w:val="24"/>
        </w:rPr>
        <w:t>pvz.</w:t>
      </w:r>
      <w:r w:rsidR="00A741BF" w:rsidRPr="004243A3">
        <w:rPr>
          <w:rFonts w:ascii="Times New Roman" w:hAnsi="Times New Roman"/>
          <w:szCs w:val="24"/>
        </w:rPr>
        <w:t>,</w:t>
      </w:r>
      <w:r w:rsidR="00970B90" w:rsidRPr="004243A3">
        <w:rPr>
          <w:rFonts w:ascii="Times New Roman" w:hAnsi="Times New Roman"/>
          <w:szCs w:val="24"/>
        </w:rPr>
        <w:t xml:space="preserve"> </w:t>
      </w:r>
      <w:r w:rsidR="00F21757" w:rsidRPr="004243A3">
        <w:rPr>
          <w:rFonts w:ascii="Times New Roman" w:hAnsi="Times New Roman"/>
          <w:szCs w:val="24"/>
        </w:rPr>
        <w:t xml:space="preserve">Faktoringo </w:t>
      </w:r>
      <w:r w:rsidR="00807D4B" w:rsidRPr="004243A3">
        <w:rPr>
          <w:rFonts w:ascii="Times New Roman" w:hAnsi="Times New Roman"/>
          <w:szCs w:val="24"/>
        </w:rPr>
        <w:t xml:space="preserve">sutarties kopiją, SVV </w:t>
      </w:r>
      <w:r w:rsidR="00A9084C" w:rsidRPr="004243A3">
        <w:rPr>
          <w:rFonts w:ascii="Times New Roman" w:hAnsi="Times New Roman"/>
          <w:szCs w:val="24"/>
        </w:rPr>
        <w:t xml:space="preserve">subjekto </w:t>
      </w:r>
      <w:r w:rsidR="00807D4B" w:rsidRPr="004243A3">
        <w:rPr>
          <w:rFonts w:ascii="Times New Roman" w:hAnsi="Times New Roman"/>
          <w:szCs w:val="24"/>
        </w:rPr>
        <w:t>statuso deklaraciją,</w:t>
      </w:r>
      <w:r w:rsidR="00E04DA0" w:rsidRPr="004243A3">
        <w:rPr>
          <w:rFonts w:ascii="Times New Roman" w:hAnsi="Times New Roman"/>
          <w:i/>
          <w:szCs w:val="24"/>
        </w:rPr>
        <w:t xml:space="preserve"> </w:t>
      </w:r>
      <w:r w:rsidR="00E04DA0" w:rsidRPr="004243A3">
        <w:rPr>
          <w:rFonts w:ascii="Times New Roman" w:hAnsi="Times New Roman"/>
          <w:szCs w:val="24"/>
        </w:rPr>
        <w:t>Vienos įmonės deklaraciją,</w:t>
      </w:r>
      <w:r w:rsidR="00807D4B" w:rsidRPr="004243A3">
        <w:rPr>
          <w:rFonts w:ascii="Times New Roman" w:hAnsi="Times New Roman"/>
          <w:szCs w:val="24"/>
        </w:rPr>
        <w:t xml:space="preserve"> </w:t>
      </w:r>
      <w:r w:rsidR="00F21757" w:rsidRPr="004243A3">
        <w:rPr>
          <w:rFonts w:ascii="Times New Roman" w:hAnsi="Times New Roman"/>
          <w:szCs w:val="24"/>
        </w:rPr>
        <w:t xml:space="preserve">Faktoringo </w:t>
      </w:r>
      <w:r w:rsidR="00C90F56" w:rsidRPr="004243A3">
        <w:rPr>
          <w:rFonts w:ascii="Times New Roman" w:hAnsi="Times New Roman"/>
          <w:szCs w:val="24"/>
        </w:rPr>
        <w:t xml:space="preserve">gavėjo </w:t>
      </w:r>
      <w:r w:rsidR="000D5101" w:rsidRPr="004243A3">
        <w:rPr>
          <w:rFonts w:ascii="Times New Roman" w:hAnsi="Times New Roman"/>
          <w:szCs w:val="24"/>
        </w:rPr>
        <w:t>verslo planą</w:t>
      </w:r>
      <w:r w:rsidR="00380E56" w:rsidRPr="004243A3">
        <w:rPr>
          <w:rFonts w:ascii="Times New Roman" w:hAnsi="Times New Roman"/>
          <w:szCs w:val="24"/>
        </w:rPr>
        <w:t xml:space="preserve"> (jeigu teikiamas), Faktoringo gavėjo ir (ar) pirkėjo vertinimo dokumentus</w:t>
      </w:r>
      <w:r w:rsidR="000D5101" w:rsidRPr="004243A3">
        <w:rPr>
          <w:rFonts w:ascii="Times New Roman" w:hAnsi="Times New Roman"/>
          <w:szCs w:val="24"/>
        </w:rPr>
        <w:t xml:space="preserve">, </w:t>
      </w:r>
      <w:r w:rsidR="00F21757" w:rsidRPr="004243A3">
        <w:rPr>
          <w:rFonts w:ascii="Times New Roman" w:hAnsi="Times New Roman"/>
          <w:szCs w:val="24"/>
        </w:rPr>
        <w:t xml:space="preserve">Faktoringo </w:t>
      </w:r>
      <w:r w:rsidR="00743420" w:rsidRPr="004243A3">
        <w:rPr>
          <w:rFonts w:ascii="Times New Roman" w:hAnsi="Times New Roman"/>
          <w:szCs w:val="24"/>
        </w:rPr>
        <w:t>avansų išmokėjimo</w:t>
      </w:r>
      <w:r w:rsidR="00807D4B" w:rsidRPr="004243A3">
        <w:rPr>
          <w:rFonts w:ascii="Times New Roman" w:hAnsi="Times New Roman"/>
          <w:szCs w:val="24"/>
        </w:rPr>
        <w:t xml:space="preserve"> ir grąžinimo duomenis </w:t>
      </w:r>
      <w:r w:rsidR="00952351" w:rsidRPr="004243A3">
        <w:rPr>
          <w:rFonts w:ascii="Times New Roman" w:hAnsi="Times New Roman"/>
          <w:szCs w:val="24"/>
        </w:rPr>
        <w:t>(</w:t>
      </w:r>
      <w:r w:rsidR="00802A11" w:rsidRPr="004243A3">
        <w:rPr>
          <w:rFonts w:ascii="Times New Roman" w:hAnsi="Times New Roman"/>
          <w:szCs w:val="24"/>
        </w:rPr>
        <w:t>PGF</w:t>
      </w:r>
      <w:r w:rsidR="004243A3" w:rsidRPr="004243A3">
        <w:rPr>
          <w:rFonts w:ascii="Times New Roman" w:hAnsi="Times New Roman"/>
          <w:szCs w:val="24"/>
        </w:rPr>
        <w:t>2</w:t>
      </w:r>
      <w:r w:rsidR="00802A11" w:rsidRPr="004243A3">
        <w:rPr>
          <w:rFonts w:ascii="Times New Roman" w:hAnsi="Times New Roman"/>
          <w:szCs w:val="24"/>
        </w:rPr>
        <w:t xml:space="preserve"> priemonės valdytojo</w:t>
      </w:r>
      <w:r w:rsidR="00952351" w:rsidRPr="004243A3">
        <w:rPr>
          <w:rFonts w:ascii="Times New Roman" w:hAnsi="Times New Roman"/>
          <w:szCs w:val="24"/>
        </w:rPr>
        <w:t xml:space="preserve"> sąskait</w:t>
      </w:r>
      <w:r w:rsidR="00743420" w:rsidRPr="004243A3">
        <w:rPr>
          <w:rFonts w:ascii="Times New Roman" w:hAnsi="Times New Roman"/>
          <w:szCs w:val="24"/>
        </w:rPr>
        <w:t>os</w:t>
      </w:r>
      <w:r w:rsidR="0027361B">
        <w:rPr>
          <w:rFonts w:ascii="Times New Roman" w:hAnsi="Times New Roman"/>
          <w:szCs w:val="24"/>
        </w:rPr>
        <w:t xml:space="preserve"> </w:t>
      </w:r>
      <w:r w:rsidR="00A741BF" w:rsidRPr="004243A3">
        <w:rPr>
          <w:rFonts w:ascii="Times New Roman" w:hAnsi="Times New Roman"/>
          <w:szCs w:val="24"/>
        </w:rPr>
        <w:t>(</w:t>
      </w:r>
      <w:r w:rsidR="00743420" w:rsidRPr="004243A3">
        <w:rPr>
          <w:rFonts w:ascii="Times New Roman" w:hAnsi="Times New Roman"/>
          <w:szCs w:val="24"/>
        </w:rPr>
        <w:t>-ų</w:t>
      </w:r>
      <w:r w:rsidR="00A741BF" w:rsidRPr="004243A3">
        <w:rPr>
          <w:rFonts w:ascii="Times New Roman" w:hAnsi="Times New Roman"/>
          <w:szCs w:val="24"/>
        </w:rPr>
        <w:t>)</w:t>
      </w:r>
      <w:r w:rsidR="00743420" w:rsidRPr="004243A3">
        <w:rPr>
          <w:rFonts w:ascii="Times New Roman" w:hAnsi="Times New Roman"/>
          <w:szCs w:val="24"/>
        </w:rPr>
        <w:t>, pagal kuri</w:t>
      </w:r>
      <w:r w:rsidR="00802A11" w:rsidRPr="004243A3">
        <w:rPr>
          <w:rFonts w:ascii="Times New Roman" w:hAnsi="Times New Roman"/>
          <w:szCs w:val="24"/>
        </w:rPr>
        <w:t>ą</w:t>
      </w:r>
      <w:r w:rsidR="0027361B">
        <w:rPr>
          <w:rFonts w:ascii="Times New Roman" w:hAnsi="Times New Roman"/>
          <w:szCs w:val="24"/>
        </w:rPr>
        <w:t xml:space="preserve"> </w:t>
      </w:r>
      <w:r w:rsidR="00802A11" w:rsidRPr="004243A3">
        <w:rPr>
          <w:rFonts w:ascii="Times New Roman" w:hAnsi="Times New Roman"/>
          <w:szCs w:val="24"/>
        </w:rPr>
        <w:t>(ia</w:t>
      </w:r>
      <w:r w:rsidR="00743420" w:rsidRPr="004243A3">
        <w:rPr>
          <w:rFonts w:ascii="Times New Roman" w:hAnsi="Times New Roman"/>
          <w:szCs w:val="24"/>
        </w:rPr>
        <w:t>s</w:t>
      </w:r>
      <w:r w:rsidR="00802A11" w:rsidRPr="004243A3">
        <w:rPr>
          <w:rFonts w:ascii="Times New Roman" w:hAnsi="Times New Roman"/>
          <w:szCs w:val="24"/>
        </w:rPr>
        <w:t>)</w:t>
      </w:r>
      <w:r w:rsidR="00743420" w:rsidRPr="004243A3">
        <w:rPr>
          <w:rFonts w:ascii="Times New Roman" w:hAnsi="Times New Roman"/>
          <w:szCs w:val="24"/>
        </w:rPr>
        <w:t xml:space="preserve"> išmokėtas Faktoringo avansas</w:t>
      </w:r>
      <w:r w:rsidR="0027361B">
        <w:rPr>
          <w:rFonts w:ascii="Times New Roman" w:hAnsi="Times New Roman"/>
          <w:szCs w:val="24"/>
        </w:rPr>
        <w:t xml:space="preserve"> </w:t>
      </w:r>
      <w:r w:rsidR="00A741BF" w:rsidRPr="004243A3">
        <w:rPr>
          <w:rFonts w:ascii="Times New Roman" w:hAnsi="Times New Roman"/>
          <w:szCs w:val="24"/>
        </w:rPr>
        <w:t>(</w:t>
      </w:r>
      <w:r w:rsidR="00F7169C" w:rsidRPr="004243A3">
        <w:rPr>
          <w:rFonts w:ascii="Times New Roman" w:hAnsi="Times New Roman"/>
          <w:szCs w:val="24"/>
        </w:rPr>
        <w:t>-ai</w:t>
      </w:r>
      <w:r w:rsidR="00A741BF" w:rsidRPr="004243A3">
        <w:rPr>
          <w:rFonts w:ascii="Times New Roman" w:hAnsi="Times New Roman"/>
          <w:szCs w:val="24"/>
        </w:rPr>
        <w:t>)</w:t>
      </w:r>
      <w:r w:rsidR="00743420" w:rsidRPr="004243A3">
        <w:rPr>
          <w:rFonts w:ascii="Times New Roman" w:hAnsi="Times New Roman"/>
          <w:szCs w:val="24"/>
        </w:rPr>
        <w:t xml:space="preserve">, </w:t>
      </w:r>
      <w:r w:rsidR="00802A11" w:rsidRPr="004243A3">
        <w:rPr>
          <w:rFonts w:ascii="Times New Roman" w:hAnsi="Times New Roman"/>
          <w:szCs w:val="24"/>
        </w:rPr>
        <w:t>išrašo</w:t>
      </w:r>
      <w:r w:rsidR="0027361B">
        <w:rPr>
          <w:rFonts w:ascii="Times New Roman" w:hAnsi="Times New Roman"/>
          <w:szCs w:val="24"/>
        </w:rPr>
        <w:t xml:space="preserve"> </w:t>
      </w:r>
      <w:r w:rsidR="00802A11" w:rsidRPr="004243A3">
        <w:rPr>
          <w:rFonts w:ascii="Times New Roman" w:hAnsi="Times New Roman"/>
          <w:szCs w:val="24"/>
        </w:rPr>
        <w:t xml:space="preserve">(-ų) </w:t>
      </w:r>
      <w:r w:rsidR="00743420" w:rsidRPr="004243A3">
        <w:rPr>
          <w:rFonts w:ascii="Times New Roman" w:hAnsi="Times New Roman"/>
          <w:szCs w:val="24"/>
        </w:rPr>
        <w:t>kopij</w:t>
      </w:r>
      <w:r w:rsidR="00802A11" w:rsidRPr="004243A3">
        <w:rPr>
          <w:rFonts w:ascii="Times New Roman" w:hAnsi="Times New Roman"/>
          <w:szCs w:val="24"/>
        </w:rPr>
        <w:t>a</w:t>
      </w:r>
      <w:r w:rsidR="0027361B">
        <w:rPr>
          <w:rFonts w:ascii="Times New Roman" w:hAnsi="Times New Roman"/>
          <w:szCs w:val="24"/>
        </w:rPr>
        <w:t xml:space="preserve"> </w:t>
      </w:r>
      <w:r w:rsidR="00802A11" w:rsidRPr="004243A3">
        <w:rPr>
          <w:rFonts w:ascii="Times New Roman" w:hAnsi="Times New Roman"/>
          <w:szCs w:val="24"/>
        </w:rPr>
        <w:t>(-</w:t>
      </w:r>
      <w:r w:rsidR="00743420" w:rsidRPr="004243A3">
        <w:rPr>
          <w:rFonts w:ascii="Times New Roman" w:hAnsi="Times New Roman"/>
          <w:szCs w:val="24"/>
        </w:rPr>
        <w:t>os</w:t>
      </w:r>
      <w:r w:rsidR="00802A11" w:rsidRPr="004243A3">
        <w:rPr>
          <w:rFonts w:ascii="Times New Roman" w:hAnsi="Times New Roman"/>
          <w:szCs w:val="24"/>
        </w:rPr>
        <w:t>)</w:t>
      </w:r>
      <w:r w:rsidR="00952351" w:rsidRPr="004243A3">
        <w:rPr>
          <w:rFonts w:ascii="Times New Roman" w:hAnsi="Times New Roman"/>
          <w:szCs w:val="24"/>
        </w:rPr>
        <w:t xml:space="preserve"> ir (ar) kiti papildomi dokumentai),</w:t>
      </w:r>
      <w:r w:rsidR="00807D4B" w:rsidRPr="004243A3">
        <w:rPr>
          <w:rFonts w:ascii="Times New Roman" w:hAnsi="Times New Roman"/>
          <w:szCs w:val="24"/>
        </w:rPr>
        <w:t xml:space="preserve"> </w:t>
      </w:r>
      <w:r w:rsidR="00F21757" w:rsidRPr="004243A3">
        <w:rPr>
          <w:rFonts w:ascii="Times New Roman" w:hAnsi="Times New Roman"/>
          <w:szCs w:val="24"/>
        </w:rPr>
        <w:t xml:space="preserve">Faktoringo </w:t>
      </w:r>
      <w:r w:rsidR="00A436E7" w:rsidRPr="004243A3">
        <w:rPr>
          <w:rFonts w:ascii="Times New Roman" w:hAnsi="Times New Roman"/>
          <w:szCs w:val="24"/>
        </w:rPr>
        <w:t xml:space="preserve">avanso </w:t>
      </w:r>
      <w:r w:rsidR="0044570B" w:rsidRPr="004243A3">
        <w:rPr>
          <w:rFonts w:ascii="Times New Roman" w:hAnsi="Times New Roman"/>
          <w:szCs w:val="24"/>
        </w:rPr>
        <w:t xml:space="preserve">išmokėjimą </w:t>
      </w:r>
      <w:r w:rsidR="00807D4B" w:rsidRPr="004243A3">
        <w:rPr>
          <w:rFonts w:ascii="Times New Roman" w:hAnsi="Times New Roman"/>
          <w:szCs w:val="24"/>
        </w:rPr>
        <w:t>pagrindžiančius dokumentus (PVM sąskait</w:t>
      </w:r>
      <w:r w:rsidR="00C92A44" w:rsidRPr="004243A3">
        <w:rPr>
          <w:rFonts w:ascii="Times New Roman" w:hAnsi="Times New Roman"/>
          <w:szCs w:val="24"/>
        </w:rPr>
        <w:t xml:space="preserve">ų </w:t>
      </w:r>
      <w:r w:rsidR="00807D4B" w:rsidRPr="004243A3">
        <w:rPr>
          <w:rFonts w:ascii="Times New Roman" w:hAnsi="Times New Roman"/>
          <w:szCs w:val="24"/>
        </w:rPr>
        <w:t>faktūr</w:t>
      </w:r>
      <w:r w:rsidR="00C92A44" w:rsidRPr="004243A3">
        <w:rPr>
          <w:rFonts w:ascii="Times New Roman" w:hAnsi="Times New Roman"/>
          <w:szCs w:val="24"/>
        </w:rPr>
        <w:t>ų</w:t>
      </w:r>
      <w:r w:rsidR="00807D4B" w:rsidRPr="004243A3">
        <w:rPr>
          <w:rFonts w:ascii="Times New Roman" w:hAnsi="Times New Roman"/>
          <w:szCs w:val="24"/>
        </w:rPr>
        <w:t xml:space="preserve"> ir</w:t>
      </w:r>
      <w:r w:rsidR="00C866F2" w:rsidRPr="004243A3">
        <w:rPr>
          <w:rFonts w:ascii="Times New Roman" w:hAnsi="Times New Roman"/>
          <w:szCs w:val="24"/>
        </w:rPr>
        <w:t xml:space="preserve"> (</w:t>
      </w:r>
      <w:r w:rsidR="00807D4B" w:rsidRPr="004243A3">
        <w:rPr>
          <w:rFonts w:ascii="Times New Roman" w:hAnsi="Times New Roman"/>
          <w:szCs w:val="24"/>
        </w:rPr>
        <w:t>ar</w:t>
      </w:r>
      <w:r w:rsidR="00C866F2" w:rsidRPr="004243A3">
        <w:rPr>
          <w:rFonts w:ascii="Times New Roman" w:hAnsi="Times New Roman"/>
          <w:szCs w:val="24"/>
        </w:rPr>
        <w:t>)</w:t>
      </w:r>
      <w:r w:rsidR="00807D4B" w:rsidRPr="004243A3">
        <w:rPr>
          <w:rFonts w:ascii="Times New Roman" w:hAnsi="Times New Roman"/>
          <w:szCs w:val="24"/>
        </w:rPr>
        <w:t xml:space="preserve"> k</w:t>
      </w:r>
      <w:r w:rsidR="00C92A44" w:rsidRPr="004243A3">
        <w:rPr>
          <w:rFonts w:ascii="Times New Roman" w:hAnsi="Times New Roman"/>
          <w:szCs w:val="24"/>
        </w:rPr>
        <w:t>i</w:t>
      </w:r>
      <w:r w:rsidR="00807D4B" w:rsidRPr="004243A3">
        <w:rPr>
          <w:rFonts w:ascii="Times New Roman" w:hAnsi="Times New Roman"/>
          <w:szCs w:val="24"/>
        </w:rPr>
        <w:t>t</w:t>
      </w:r>
      <w:r w:rsidR="00C92A44" w:rsidRPr="004243A3">
        <w:rPr>
          <w:rFonts w:ascii="Times New Roman" w:hAnsi="Times New Roman"/>
          <w:szCs w:val="24"/>
        </w:rPr>
        <w:t>ų dokumentų tinkamai patvirtintas kopijas</w:t>
      </w:r>
      <w:r w:rsidR="00AF6B95" w:rsidRPr="004243A3">
        <w:rPr>
          <w:rFonts w:ascii="Times New Roman" w:hAnsi="Times New Roman"/>
          <w:szCs w:val="24"/>
        </w:rPr>
        <w:t>)</w:t>
      </w:r>
      <w:r w:rsidR="00457ADC" w:rsidRPr="004243A3">
        <w:rPr>
          <w:rFonts w:ascii="Times New Roman" w:hAnsi="Times New Roman"/>
          <w:szCs w:val="24"/>
        </w:rPr>
        <w:t>, su skolų pagal Problemin</w:t>
      </w:r>
      <w:r w:rsidR="00684464" w:rsidRPr="004243A3">
        <w:rPr>
          <w:rFonts w:ascii="Times New Roman" w:hAnsi="Times New Roman"/>
          <w:szCs w:val="24"/>
        </w:rPr>
        <w:t>iu</w:t>
      </w:r>
      <w:r w:rsidR="00457ADC" w:rsidRPr="004243A3">
        <w:rPr>
          <w:rFonts w:ascii="Times New Roman" w:hAnsi="Times New Roman"/>
          <w:szCs w:val="24"/>
        </w:rPr>
        <w:t xml:space="preserve">s </w:t>
      </w:r>
      <w:r w:rsidR="00BE1664" w:rsidRPr="004243A3">
        <w:rPr>
          <w:rFonts w:ascii="Times New Roman" w:hAnsi="Times New Roman"/>
          <w:szCs w:val="24"/>
        </w:rPr>
        <w:t>Faktoringo sandori</w:t>
      </w:r>
      <w:r w:rsidR="00684464" w:rsidRPr="004243A3">
        <w:rPr>
          <w:rFonts w:ascii="Times New Roman" w:hAnsi="Times New Roman"/>
          <w:szCs w:val="24"/>
        </w:rPr>
        <w:t>u</w:t>
      </w:r>
      <w:r w:rsidR="00457ADC" w:rsidRPr="004243A3">
        <w:rPr>
          <w:rFonts w:ascii="Times New Roman" w:hAnsi="Times New Roman"/>
          <w:szCs w:val="24"/>
        </w:rPr>
        <w:t>s išieškojimu susijusius dokumentu</w:t>
      </w:r>
      <w:r w:rsidR="00C65F64" w:rsidRPr="004243A3">
        <w:rPr>
          <w:rFonts w:ascii="Times New Roman" w:hAnsi="Times New Roman"/>
          <w:szCs w:val="24"/>
        </w:rPr>
        <w:t>s</w:t>
      </w:r>
      <w:r w:rsidR="00457ADC" w:rsidRPr="004243A3">
        <w:rPr>
          <w:rFonts w:ascii="Times New Roman" w:hAnsi="Times New Roman"/>
          <w:szCs w:val="24"/>
        </w:rPr>
        <w:t xml:space="preserve"> </w:t>
      </w:r>
      <w:r w:rsidR="007E3E6D" w:rsidRPr="004243A3">
        <w:rPr>
          <w:rFonts w:ascii="Times New Roman" w:hAnsi="Times New Roman"/>
          <w:szCs w:val="24"/>
        </w:rPr>
        <w:t>(</w:t>
      </w:r>
      <w:r w:rsidR="00105C5D" w:rsidRPr="004243A3">
        <w:rPr>
          <w:rFonts w:ascii="Times New Roman" w:hAnsi="Times New Roman"/>
          <w:szCs w:val="24"/>
        </w:rPr>
        <w:t>išieškotą sumą patvirtinan</w:t>
      </w:r>
      <w:r w:rsidR="00C92A44" w:rsidRPr="004243A3">
        <w:rPr>
          <w:rFonts w:ascii="Times New Roman" w:hAnsi="Times New Roman"/>
          <w:szCs w:val="24"/>
        </w:rPr>
        <w:t>čius</w:t>
      </w:r>
      <w:r w:rsidR="00105C5D" w:rsidRPr="004243A3">
        <w:rPr>
          <w:rFonts w:ascii="Times New Roman" w:hAnsi="Times New Roman"/>
          <w:szCs w:val="24"/>
        </w:rPr>
        <w:t xml:space="preserve"> dokument</w:t>
      </w:r>
      <w:r w:rsidR="00C92A44" w:rsidRPr="004243A3">
        <w:rPr>
          <w:rFonts w:ascii="Times New Roman" w:hAnsi="Times New Roman"/>
          <w:szCs w:val="24"/>
        </w:rPr>
        <w:t>us</w:t>
      </w:r>
      <w:r w:rsidR="00105C5D" w:rsidRPr="004243A3">
        <w:rPr>
          <w:rFonts w:ascii="Times New Roman" w:hAnsi="Times New Roman"/>
          <w:szCs w:val="24"/>
        </w:rPr>
        <w:t>,</w:t>
      </w:r>
      <w:r w:rsidR="00C65F64" w:rsidRPr="004243A3">
        <w:rPr>
          <w:rFonts w:ascii="Times New Roman" w:hAnsi="Times New Roman"/>
          <w:szCs w:val="24"/>
        </w:rPr>
        <w:t xml:space="preserve"> tretiesiems asmenims </w:t>
      </w:r>
      <w:r w:rsidR="003732CD" w:rsidRPr="004243A3">
        <w:rPr>
          <w:rFonts w:ascii="Times New Roman" w:hAnsi="Times New Roman"/>
          <w:szCs w:val="24"/>
        </w:rPr>
        <w:t xml:space="preserve">sumokėtų išlaidų ir </w:t>
      </w:r>
      <w:r w:rsidR="00C65F64" w:rsidRPr="004243A3">
        <w:rPr>
          <w:rFonts w:ascii="Times New Roman" w:hAnsi="Times New Roman"/>
          <w:szCs w:val="24"/>
        </w:rPr>
        <w:t>mokėtinas išieškojimo išlaidas</w:t>
      </w:r>
      <w:r w:rsidR="00105C5D" w:rsidRPr="004243A3">
        <w:rPr>
          <w:rFonts w:ascii="Times New Roman" w:hAnsi="Times New Roman"/>
          <w:szCs w:val="24"/>
        </w:rPr>
        <w:t xml:space="preserve"> </w:t>
      </w:r>
      <w:r w:rsidR="00C502E1" w:rsidRPr="004243A3">
        <w:rPr>
          <w:rFonts w:ascii="Times New Roman" w:hAnsi="Times New Roman"/>
          <w:szCs w:val="24"/>
        </w:rPr>
        <w:t>patvirtinan</w:t>
      </w:r>
      <w:r w:rsidR="00C92A44" w:rsidRPr="004243A3">
        <w:rPr>
          <w:rFonts w:ascii="Times New Roman" w:hAnsi="Times New Roman"/>
          <w:szCs w:val="24"/>
        </w:rPr>
        <w:t>čius</w:t>
      </w:r>
      <w:r w:rsidR="007E3E6D" w:rsidRPr="004243A3">
        <w:rPr>
          <w:rFonts w:ascii="Times New Roman" w:hAnsi="Times New Roman"/>
          <w:szCs w:val="24"/>
        </w:rPr>
        <w:t xml:space="preserve"> dokument</w:t>
      </w:r>
      <w:r w:rsidR="00C92A44" w:rsidRPr="004243A3">
        <w:rPr>
          <w:rFonts w:ascii="Times New Roman" w:hAnsi="Times New Roman"/>
          <w:szCs w:val="24"/>
        </w:rPr>
        <w:t>us</w:t>
      </w:r>
      <w:r w:rsidR="00105C5D" w:rsidRPr="004243A3">
        <w:rPr>
          <w:rFonts w:ascii="Times New Roman" w:hAnsi="Times New Roman"/>
          <w:szCs w:val="24"/>
        </w:rPr>
        <w:t>)</w:t>
      </w:r>
      <w:r w:rsidR="007E3E6D" w:rsidRPr="004243A3">
        <w:rPr>
          <w:rFonts w:ascii="Times New Roman" w:hAnsi="Times New Roman"/>
          <w:szCs w:val="24"/>
        </w:rPr>
        <w:t xml:space="preserve"> </w:t>
      </w:r>
      <w:r w:rsidR="00EB24A8" w:rsidRPr="004243A3">
        <w:rPr>
          <w:rFonts w:ascii="Times New Roman" w:hAnsi="Times New Roman"/>
          <w:szCs w:val="24"/>
        </w:rPr>
        <w:t>bei k</w:t>
      </w:r>
      <w:r w:rsidR="00B93028" w:rsidRPr="004243A3">
        <w:rPr>
          <w:rFonts w:ascii="Times New Roman" w:hAnsi="Times New Roman"/>
          <w:szCs w:val="24"/>
        </w:rPr>
        <w:t>itą</w:t>
      </w:r>
      <w:r w:rsidR="00EB24A8" w:rsidRPr="004243A3">
        <w:rPr>
          <w:rFonts w:ascii="Times New Roman" w:hAnsi="Times New Roman"/>
          <w:szCs w:val="24"/>
        </w:rPr>
        <w:t xml:space="preserve"> su Sutarties įgyvendinimu susijusią informaciją</w:t>
      </w:r>
      <w:r w:rsidR="00380E56" w:rsidRPr="004243A3">
        <w:rPr>
          <w:rFonts w:ascii="Times New Roman" w:hAnsi="Times New Roman"/>
          <w:szCs w:val="24"/>
        </w:rPr>
        <w:t xml:space="preserve">. </w:t>
      </w:r>
      <w:r w:rsidR="00380E56" w:rsidRPr="004243A3">
        <w:t>Ši informacija ir dokumentai ir (ar) jų kopijos teikiami neatlygintinai</w:t>
      </w:r>
      <w:r w:rsidR="0021369B" w:rsidRPr="004243A3">
        <w:rPr>
          <w:rFonts w:ascii="Times New Roman" w:hAnsi="Times New Roman"/>
          <w:szCs w:val="24"/>
        </w:rPr>
        <w:t>;</w:t>
      </w:r>
    </w:p>
    <w:p w14:paraId="5D7588D3" w14:textId="3726A88D" w:rsidR="00550312" w:rsidRPr="000E6046" w:rsidRDefault="00465558" w:rsidP="009B0EE1">
      <w:pPr>
        <w:numPr>
          <w:ilvl w:val="2"/>
          <w:numId w:val="5"/>
        </w:numPr>
        <w:tabs>
          <w:tab w:val="left" w:pos="851"/>
        </w:tabs>
        <w:spacing w:line="276" w:lineRule="auto"/>
        <w:ind w:left="-851" w:firstLine="851"/>
        <w:jc w:val="both"/>
        <w:rPr>
          <w:rFonts w:ascii="Times New Roman" w:hAnsi="Times New Roman"/>
          <w:caps/>
          <w:szCs w:val="24"/>
        </w:rPr>
      </w:pPr>
      <w:r w:rsidRPr="004243A3">
        <w:rPr>
          <w:rFonts w:ascii="Times New Roman" w:hAnsi="Times New Roman"/>
          <w:szCs w:val="24"/>
        </w:rPr>
        <w:t xml:space="preserve">Į </w:t>
      </w:r>
      <w:r w:rsidR="004C7663" w:rsidRPr="004243A3">
        <w:rPr>
          <w:rFonts w:ascii="Times New Roman" w:hAnsi="Times New Roman"/>
          <w:szCs w:val="24"/>
        </w:rPr>
        <w:t xml:space="preserve">Portfelį </w:t>
      </w:r>
      <w:r w:rsidR="00783B65" w:rsidRPr="004243A3">
        <w:rPr>
          <w:rFonts w:ascii="Times New Roman" w:hAnsi="Times New Roman"/>
          <w:szCs w:val="24"/>
        </w:rPr>
        <w:t>į</w:t>
      </w:r>
      <w:r w:rsidR="004C7663" w:rsidRPr="004243A3">
        <w:rPr>
          <w:rFonts w:ascii="Times New Roman" w:hAnsi="Times New Roman"/>
          <w:szCs w:val="24"/>
        </w:rPr>
        <w:t xml:space="preserve">traukti </w:t>
      </w:r>
      <w:r w:rsidR="00783B65" w:rsidRPr="004243A3">
        <w:rPr>
          <w:rFonts w:ascii="Times New Roman" w:hAnsi="Times New Roman"/>
          <w:szCs w:val="24"/>
        </w:rPr>
        <w:t>tik Tinkamumo sąlygas atitinkanči</w:t>
      </w:r>
      <w:r w:rsidR="00684464" w:rsidRPr="004243A3">
        <w:rPr>
          <w:rFonts w:ascii="Times New Roman" w:hAnsi="Times New Roman"/>
          <w:szCs w:val="24"/>
        </w:rPr>
        <w:t>u</w:t>
      </w:r>
      <w:r w:rsidR="00783B65" w:rsidRPr="004243A3">
        <w:rPr>
          <w:rFonts w:ascii="Times New Roman" w:hAnsi="Times New Roman"/>
          <w:szCs w:val="24"/>
        </w:rPr>
        <w:t xml:space="preserve">s </w:t>
      </w:r>
      <w:r w:rsidR="00BE1664" w:rsidRPr="004243A3">
        <w:rPr>
          <w:rFonts w:ascii="Times New Roman" w:hAnsi="Times New Roman"/>
          <w:szCs w:val="24"/>
        </w:rPr>
        <w:t>Faktoringo sandori</w:t>
      </w:r>
      <w:r w:rsidR="00684464" w:rsidRPr="004243A3">
        <w:rPr>
          <w:rFonts w:ascii="Times New Roman" w:hAnsi="Times New Roman"/>
          <w:szCs w:val="24"/>
        </w:rPr>
        <w:t>u</w:t>
      </w:r>
      <w:r w:rsidR="00783B65" w:rsidRPr="004243A3">
        <w:rPr>
          <w:rFonts w:ascii="Times New Roman" w:hAnsi="Times New Roman"/>
          <w:szCs w:val="24"/>
        </w:rPr>
        <w:t xml:space="preserve">s </w:t>
      </w:r>
      <w:r w:rsidR="004C7663" w:rsidRPr="004243A3">
        <w:rPr>
          <w:rFonts w:ascii="Times New Roman" w:hAnsi="Times New Roman"/>
          <w:szCs w:val="24"/>
        </w:rPr>
        <w:t>iki Tinkamumo laikotarpio pabaigos</w:t>
      </w:r>
      <w:r w:rsidR="00DA4B1E" w:rsidRPr="004243A3">
        <w:rPr>
          <w:rFonts w:ascii="Times New Roman" w:hAnsi="Times New Roman"/>
          <w:szCs w:val="24"/>
        </w:rPr>
        <w:t xml:space="preserve">. </w:t>
      </w:r>
      <w:r w:rsidR="00945404" w:rsidRPr="004243A3">
        <w:rPr>
          <w:rFonts w:ascii="Times New Roman" w:hAnsi="Times New Roman"/>
          <w:szCs w:val="24"/>
        </w:rPr>
        <w:t xml:space="preserve">Į Portfelį įtrauktų </w:t>
      </w:r>
      <w:r w:rsidR="00F21757" w:rsidRPr="004243A3">
        <w:rPr>
          <w:rFonts w:ascii="Times New Roman" w:hAnsi="Times New Roman"/>
          <w:szCs w:val="24"/>
        </w:rPr>
        <w:t xml:space="preserve">Faktoringo </w:t>
      </w:r>
      <w:r w:rsidR="00743420" w:rsidRPr="004243A3">
        <w:rPr>
          <w:rFonts w:ascii="Times New Roman" w:hAnsi="Times New Roman"/>
          <w:szCs w:val="24"/>
        </w:rPr>
        <w:t>sandorių limitai</w:t>
      </w:r>
      <w:r w:rsidR="00945404" w:rsidRPr="004243A3">
        <w:rPr>
          <w:rFonts w:ascii="Times New Roman" w:hAnsi="Times New Roman"/>
          <w:szCs w:val="24"/>
        </w:rPr>
        <w:t xml:space="preserve"> negali būti didinam</w:t>
      </w:r>
      <w:r w:rsidR="00743420" w:rsidRPr="004243A3">
        <w:rPr>
          <w:rFonts w:ascii="Times New Roman" w:hAnsi="Times New Roman"/>
          <w:szCs w:val="24"/>
        </w:rPr>
        <w:t>i</w:t>
      </w:r>
      <w:r w:rsidR="00945404" w:rsidRPr="004243A3">
        <w:rPr>
          <w:rFonts w:ascii="Times New Roman" w:hAnsi="Times New Roman"/>
          <w:szCs w:val="24"/>
        </w:rPr>
        <w:t xml:space="preserve"> p</w:t>
      </w:r>
      <w:r w:rsidR="00DA4B1E" w:rsidRPr="004243A3">
        <w:rPr>
          <w:rFonts w:ascii="Times New Roman" w:hAnsi="Times New Roman"/>
          <w:szCs w:val="24"/>
        </w:rPr>
        <w:t xml:space="preserve">asibaigus </w:t>
      </w:r>
      <w:r w:rsidR="00DA4B1E" w:rsidRPr="000E6046">
        <w:rPr>
          <w:rFonts w:ascii="Times New Roman" w:hAnsi="Times New Roman"/>
          <w:szCs w:val="24"/>
        </w:rPr>
        <w:t>T</w:t>
      </w:r>
      <w:r w:rsidR="00945404" w:rsidRPr="000E6046">
        <w:rPr>
          <w:rFonts w:ascii="Times New Roman" w:hAnsi="Times New Roman"/>
          <w:szCs w:val="24"/>
        </w:rPr>
        <w:t>inkamumo laikotarpiui ir, „Invegos“ reikalavimu, įvykus Kontroliniam įvykiui;</w:t>
      </w:r>
    </w:p>
    <w:p w14:paraId="4E34EC51" w14:textId="5885CA78" w:rsidR="00550312" w:rsidRPr="000E6046" w:rsidRDefault="00BE1664" w:rsidP="009B0EE1">
      <w:pPr>
        <w:numPr>
          <w:ilvl w:val="2"/>
          <w:numId w:val="5"/>
        </w:numPr>
        <w:tabs>
          <w:tab w:val="left" w:pos="851"/>
        </w:tabs>
        <w:spacing w:line="276" w:lineRule="auto"/>
        <w:ind w:left="-851" w:firstLine="851"/>
        <w:jc w:val="both"/>
        <w:rPr>
          <w:rFonts w:ascii="Times New Roman" w:hAnsi="Times New Roman"/>
          <w:caps/>
          <w:szCs w:val="24"/>
        </w:rPr>
      </w:pPr>
      <w:r w:rsidRPr="000E6046">
        <w:rPr>
          <w:rFonts w:ascii="Times New Roman" w:hAnsi="Times New Roman"/>
          <w:szCs w:val="24"/>
        </w:rPr>
        <w:t>Faktoring</w:t>
      </w:r>
      <w:r w:rsidR="0033118A" w:rsidRPr="000E6046">
        <w:rPr>
          <w:rFonts w:ascii="Times New Roman" w:hAnsi="Times New Roman"/>
          <w:szCs w:val="24"/>
        </w:rPr>
        <w:t xml:space="preserve">o avansus </w:t>
      </w:r>
      <w:r w:rsidR="007D65E5" w:rsidRPr="000E6046">
        <w:rPr>
          <w:rFonts w:ascii="Times New Roman" w:hAnsi="Times New Roman"/>
          <w:szCs w:val="24"/>
        </w:rPr>
        <w:t>išmokėti ne vėli</w:t>
      </w:r>
      <w:r w:rsidR="00AA1A71" w:rsidRPr="000E6046">
        <w:rPr>
          <w:rFonts w:ascii="Times New Roman" w:hAnsi="Times New Roman"/>
          <w:szCs w:val="24"/>
        </w:rPr>
        <w:t>a</w:t>
      </w:r>
      <w:r w:rsidR="007D65E5" w:rsidRPr="000E6046">
        <w:rPr>
          <w:rFonts w:ascii="Times New Roman" w:hAnsi="Times New Roman"/>
          <w:szCs w:val="24"/>
        </w:rPr>
        <w:t xml:space="preserve">u kaip iki </w:t>
      </w:r>
      <w:r w:rsidR="00A741BF" w:rsidRPr="000E6046">
        <w:rPr>
          <w:rFonts w:ascii="Times New Roman" w:hAnsi="Times New Roman"/>
          <w:szCs w:val="24"/>
        </w:rPr>
        <w:t>Faktoringo avansų i</w:t>
      </w:r>
      <w:r w:rsidR="009125C3" w:rsidRPr="000E6046">
        <w:rPr>
          <w:rFonts w:ascii="Times New Roman" w:hAnsi="Times New Roman"/>
          <w:szCs w:val="24"/>
        </w:rPr>
        <w:t>šmokėjimo laikotarpio pabaigos</w:t>
      </w:r>
      <w:r w:rsidR="00EB7A7B" w:rsidRPr="000E6046">
        <w:rPr>
          <w:rFonts w:ascii="Times New Roman" w:hAnsi="Times New Roman"/>
          <w:szCs w:val="24"/>
        </w:rPr>
        <w:t>;</w:t>
      </w:r>
    </w:p>
    <w:p w14:paraId="43F62F8F" w14:textId="66E9255E" w:rsidR="00550312" w:rsidRPr="000E6046" w:rsidRDefault="00C56298" w:rsidP="009B0EE1">
      <w:pPr>
        <w:numPr>
          <w:ilvl w:val="2"/>
          <w:numId w:val="5"/>
        </w:numPr>
        <w:tabs>
          <w:tab w:val="left" w:pos="851"/>
        </w:tabs>
        <w:spacing w:line="276" w:lineRule="auto"/>
        <w:ind w:left="-851" w:firstLine="851"/>
        <w:jc w:val="both"/>
        <w:rPr>
          <w:rFonts w:ascii="Times New Roman" w:hAnsi="Times New Roman"/>
          <w:caps/>
          <w:szCs w:val="24"/>
        </w:rPr>
      </w:pPr>
      <w:r w:rsidRPr="000E6046">
        <w:rPr>
          <w:rFonts w:ascii="Times New Roman" w:hAnsi="Times New Roman"/>
          <w:szCs w:val="24"/>
        </w:rPr>
        <w:t>Vadovauj</w:t>
      </w:r>
      <w:r w:rsidR="00B94590" w:rsidRPr="000E6046">
        <w:rPr>
          <w:rFonts w:ascii="Times New Roman" w:hAnsi="Times New Roman"/>
          <w:szCs w:val="24"/>
        </w:rPr>
        <w:t>a</w:t>
      </w:r>
      <w:r w:rsidRPr="000E6046">
        <w:rPr>
          <w:rFonts w:ascii="Times New Roman" w:hAnsi="Times New Roman"/>
          <w:szCs w:val="24"/>
        </w:rPr>
        <w:t>ntis vidinėmis tvarkomis a</w:t>
      </w:r>
      <w:r w:rsidR="00E61DD3" w:rsidRPr="000E6046">
        <w:rPr>
          <w:rFonts w:ascii="Times New Roman" w:hAnsi="Times New Roman"/>
          <w:szCs w:val="24"/>
        </w:rPr>
        <w:t>tlikti skolų išieškojimą</w:t>
      </w:r>
      <w:r w:rsidR="00516968" w:rsidRPr="000E6046">
        <w:rPr>
          <w:rFonts w:ascii="Times New Roman" w:hAnsi="Times New Roman"/>
          <w:szCs w:val="24"/>
        </w:rPr>
        <w:t xml:space="preserve"> </w:t>
      </w:r>
      <w:r w:rsidR="00BB52AC" w:rsidRPr="000E6046">
        <w:rPr>
          <w:rFonts w:ascii="Times New Roman" w:hAnsi="Times New Roman"/>
          <w:szCs w:val="24"/>
        </w:rPr>
        <w:t>pagal P</w:t>
      </w:r>
      <w:r w:rsidR="00945404" w:rsidRPr="000E6046">
        <w:rPr>
          <w:rFonts w:ascii="Times New Roman" w:hAnsi="Times New Roman"/>
          <w:szCs w:val="24"/>
        </w:rPr>
        <w:t>roblemin</w:t>
      </w:r>
      <w:r w:rsidR="00684464" w:rsidRPr="000E6046">
        <w:rPr>
          <w:rFonts w:ascii="Times New Roman" w:hAnsi="Times New Roman"/>
          <w:szCs w:val="24"/>
        </w:rPr>
        <w:t>iu</w:t>
      </w:r>
      <w:r w:rsidR="00945404" w:rsidRPr="000E6046">
        <w:rPr>
          <w:rFonts w:ascii="Times New Roman" w:hAnsi="Times New Roman"/>
          <w:szCs w:val="24"/>
        </w:rPr>
        <w:t xml:space="preserve">s </w:t>
      </w:r>
      <w:r w:rsidR="00BE1664" w:rsidRPr="000E6046">
        <w:rPr>
          <w:rFonts w:ascii="Times New Roman" w:hAnsi="Times New Roman"/>
          <w:szCs w:val="24"/>
        </w:rPr>
        <w:t xml:space="preserve">Faktoringo </w:t>
      </w:r>
      <w:r w:rsidR="00684464" w:rsidRPr="000E6046">
        <w:rPr>
          <w:rFonts w:ascii="Times New Roman" w:hAnsi="Times New Roman"/>
          <w:szCs w:val="24"/>
        </w:rPr>
        <w:t>sandorius</w:t>
      </w:r>
      <w:r w:rsidR="009C08BB" w:rsidRPr="000E6046">
        <w:rPr>
          <w:rFonts w:ascii="Times New Roman" w:hAnsi="Times New Roman"/>
          <w:szCs w:val="24"/>
        </w:rPr>
        <w:t>,</w:t>
      </w:r>
      <w:r w:rsidR="00BB52AC" w:rsidRPr="000E6046">
        <w:rPr>
          <w:rFonts w:ascii="Times New Roman" w:hAnsi="Times New Roman"/>
          <w:szCs w:val="24"/>
        </w:rPr>
        <w:t xml:space="preserve"> už kuri</w:t>
      </w:r>
      <w:r w:rsidR="004F60F4" w:rsidRPr="000E6046">
        <w:rPr>
          <w:rFonts w:ascii="Times New Roman" w:hAnsi="Times New Roman"/>
          <w:szCs w:val="24"/>
        </w:rPr>
        <w:t>uo</w:t>
      </w:r>
      <w:r w:rsidR="00BB52AC" w:rsidRPr="000E6046">
        <w:rPr>
          <w:rFonts w:ascii="Times New Roman" w:hAnsi="Times New Roman"/>
          <w:szCs w:val="24"/>
        </w:rPr>
        <w:t xml:space="preserve">s </w:t>
      </w:r>
      <w:r w:rsidR="00A476AD" w:rsidRPr="000E6046">
        <w:rPr>
          <w:rFonts w:ascii="Times New Roman" w:hAnsi="Times New Roman"/>
          <w:szCs w:val="24"/>
        </w:rPr>
        <w:t>išmokėta</w:t>
      </w:r>
      <w:r w:rsidR="00BB52AC" w:rsidRPr="000E6046">
        <w:rPr>
          <w:rFonts w:ascii="Times New Roman" w:hAnsi="Times New Roman"/>
          <w:szCs w:val="24"/>
        </w:rPr>
        <w:t xml:space="preserve"> Garantijos išmoka</w:t>
      </w:r>
      <w:r w:rsidR="009C08BB" w:rsidRPr="000E6046">
        <w:rPr>
          <w:rFonts w:ascii="Times New Roman" w:hAnsi="Times New Roman"/>
          <w:szCs w:val="24"/>
        </w:rPr>
        <w:t>,</w:t>
      </w:r>
      <w:r w:rsidR="00945404" w:rsidRPr="000E6046">
        <w:rPr>
          <w:rFonts w:ascii="Times New Roman" w:hAnsi="Times New Roman"/>
          <w:szCs w:val="24"/>
        </w:rPr>
        <w:t xml:space="preserve"> ir</w:t>
      </w:r>
      <w:r w:rsidR="00BB52AC" w:rsidRPr="000E6046">
        <w:rPr>
          <w:rFonts w:ascii="Times New Roman" w:hAnsi="Times New Roman"/>
          <w:szCs w:val="24"/>
        </w:rPr>
        <w:t xml:space="preserve"> Sutartyje nustatyta</w:t>
      </w:r>
      <w:r w:rsidR="00C07530" w:rsidRPr="000E6046">
        <w:rPr>
          <w:rFonts w:ascii="Times New Roman" w:hAnsi="Times New Roman"/>
          <w:szCs w:val="24"/>
        </w:rPr>
        <w:t>is dydžiais bei</w:t>
      </w:r>
      <w:r w:rsidR="00BB52AC" w:rsidRPr="000E6046">
        <w:rPr>
          <w:rFonts w:ascii="Times New Roman" w:hAnsi="Times New Roman"/>
          <w:szCs w:val="24"/>
        </w:rPr>
        <w:t xml:space="preserve"> tvarka </w:t>
      </w:r>
      <w:r w:rsidR="00516968" w:rsidRPr="000E6046">
        <w:rPr>
          <w:rFonts w:ascii="Times New Roman" w:hAnsi="Times New Roman"/>
          <w:szCs w:val="24"/>
        </w:rPr>
        <w:t>pervesti išieškotas suma</w:t>
      </w:r>
      <w:r w:rsidR="00BB52AC" w:rsidRPr="000E6046">
        <w:rPr>
          <w:rFonts w:ascii="Times New Roman" w:hAnsi="Times New Roman"/>
          <w:szCs w:val="24"/>
        </w:rPr>
        <w:t>s į Einamąją sąskaitą;</w:t>
      </w:r>
    </w:p>
    <w:p w14:paraId="7DB414F1" w14:textId="79A841BE" w:rsidR="00550312" w:rsidRPr="000E6046" w:rsidRDefault="00A75D10" w:rsidP="009B0EE1">
      <w:pPr>
        <w:numPr>
          <w:ilvl w:val="2"/>
          <w:numId w:val="5"/>
        </w:numPr>
        <w:tabs>
          <w:tab w:val="left" w:pos="851"/>
        </w:tabs>
        <w:spacing w:line="276" w:lineRule="auto"/>
        <w:ind w:left="-851" w:firstLine="851"/>
        <w:jc w:val="both"/>
        <w:rPr>
          <w:rFonts w:ascii="Times New Roman" w:hAnsi="Times New Roman"/>
          <w:caps/>
          <w:szCs w:val="24"/>
        </w:rPr>
      </w:pPr>
      <w:r w:rsidRPr="00A75D10">
        <w:rPr>
          <w:rFonts w:ascii="Times New Roman" w:eastAsia="Calibri" w:hAnsi="Times New Roman"/>
          <w:szCs w:val="24"/>
        </w:rPr>
        <w:t>neperleisti savo teisių ir prievolių pagal Sutartį negav</w:t>
      </w:r>
      <w:r>
        <w:rPr>
          <w:rFonts w:ascii="Times New Roman" w:eastAsia="Calibri" w:hAnsi="Times New Roman"/>
          <w:szCs w:val="24"/>
        </w:rPr>
        <w:t>u</w:t>
      </w:r>
      <w:r w:rsidRPr="00A75D10">
        <w:rPr>
          <w:rFonts w:ascii="Times New Roman" w:eastAsia="Calibri" w:hAnsi="Times New Roman"/>
          <w:szCs w:val="24"/>
        </w:rPr>
        <w:t>s išankstinio rašytinio „Invegos“ sutikimo</w:t>
      </w:r>
      <w:r w:rsidR="00516968" w:rsidRPr="000E6046">
        <w:rPr>
          <w:rFonts w:ascii="Times New Roman" w:hAnsi="Times New Roman"/>
          <w:szCs w:val="24"/>
        </w:rPr>
        <w:t>;</w:t>
      </w:r>
    </w:p>
    <w:p w14:paraId="6A0305B9" w14:textId="078E3127" w:rsidR="00550312" w:rsidRPr="00CF556D" w:rsidRDefault="00465558" w:rsidP="009B0EE1">
      <w:pPr>
        <w:numPr>
          <w:ilvl w:val="2"/>
          <w:numId w:val="5"/>
        </w:numPr>
        <w:tabs>
          <w:tab w:val="left" w:pos="851"/>
        </w:tabs>
        <w:spacing w:line="276" w:lineRule="auto"/>
        <w:ind w:left="-851" w:firstLine="851"/>
        <w:jc w:val="both"/>
        <w:rPr>
          <w:rStyle w:val="CommentReference"/>
          <w:rFonts w:ascii="Times New Roman" w:hAnsi="Times New Roman"/>
          <w:caps/>
          <w:sz w:val="24"/>
          <w:szCs w:val="24"/>
        </w:rPr>
      </w:pPr>
      <w:r w:rsidRPr="000E6046">
        <w:rPr>
          <w:rFonts w:ascii="Times New Roman" w:hAnsi="Times New Roman"/>
          <w:szCs w:val="24"/>
        </w:rPr>
        <w:t>L</w:t>
      </w:r>
      <w:r w:rsidR="002C7D81" w:rsidRPr="000E6046">
        <w:rPr>
          <w:rFonts w:ascii="Times New Roman" w:hAnsi="Times New Roman"/>
          <w:szCs w:val="24"/>
        </w:rPr>
        <w:t xml:space="preserve">eisti </w:t>
      </w:r>
      <w:r w:rsidR="008E5685" w:rsidRPr="000E6046">
        <w:rPr>
          <w:rFonts w:ascii="Times New Roman" w:hAnsi="Times New Roman"/>
          <w:szCs w:val="24"/>
        </w:rPr>
        <w:t>Audito institucijų atstovams</w:t>
      </w:r>
      <w:r w:rsidR="008E5685" w:rsidRPr="00127BA3">
        <w:rPr>
          <w:rFonts w:ascii="Times New Roman" w:hAnsi="Times New Roman"/>
          <w:szCs w:val="24"/>
        </w:rPr>
        <w:t xml:space="preserve"> </w:t>
      </w:r>
      <w:r w:rsidR="002C7D81" w:rsidRPr="00127BA3">
        <w:rPr>
          <w:rFonts w:ascii="Times New Roman" w:hAnsi="Times New Roman"/>
          <w:szCs w:val="24"/>
        </w:rPr>
        <w:t xml:space="preserve">atlikti </w:t>
      </w:r>
      <w:r w:rsidR="00C51F33" w:rsidRPr="00127BA3">
        <w:rPr>
          <w:rFonts w:ascii="Times New Roman" w:hAnsi="Times New Roman"/>
          <w:szCs w:val="24"/>
        </w:rPr>
        <w:t>PGF</w:t>
      </w:r>
      <w:r w:rsidR="00AA43FC" w:rsidRPr="00127BA3">
        <w:rPr>
          <w:rFonts w:ascii="Times New Roman" w:hAnsi="Times New Roman"/>
          <w:szCs w:val="24"/>
        </w:rPr>
        <w:t>2</w:t>
      </w:r>
      <w:r w:rsidR="00B05BD3" w:rsidRPr="00127BA3">
        <w:rPr>
          <w:rFonts w:ascii="Times New Roman" w:hAnsi="Times New Roman"/>
          <w:szCs w:val="24"/>
        </w:rPr>
        <w:t xml:space="preserve"> priemonės</w:t>
      </w:r>
      <w:r w:rsidR="00FD432D" w:rsidRPr="00127BA3">
        <w:rPr>
          <w:rFonts w:ascii="Times New Roman" w:hAnsi="Times New Roman"/>
          <w:szCs w:val="24"/>
        </w:rPr>
        <w:t xml:space="preserve"> auditą ir (ar</w:t>
      </w:r>
      <w:r w:rsidR="00EA00DD">
        <w:rPr>
          <w:rFonts w:ascii="Times New Roman" w:hAnsi="Times New Roman"/>
          <w:szCs w:val="24"/>
        </w:rPr>
        <w:t>ba</w:t>
      </w:r>
      <w:r w:rsidR="00FD432D" w:rsidRPr="00127BA3">
        <w:rPr>
          <w:rFonts w:ascii="Times New Roman" w:hAnsi="Times New Roman"/>
          <w:szCs w:val="24"/>
        </w:rPr>
        <w:t>) patikr</w:t>
      </w:r>
      <w:r w:rsidR="00EA00DD">
        <w:rPr>
          <w:rFonts w:ascii="Times New Roman" w:hAnsi="Times New Roman"/>
          <w:szCs w:val="24"/>
        </w:rPr>
        <w:t>inim</w:t>
      </w:r>
      <w:r w:rsidR="00FD432D" w:rsidRPr="00127BA3">
        <w:rPr>
          <w:rFonts w:ascii="Times New Roman" w:hAnsi="Times New Roman"/>
          <w:szCs w:val="24"/>
        </w:rPr>
        <w:t xml:space="preserve">ą, </w:t>
      </w:r>
      <w:r w:rsidR="00EA00DD" w:rsidRPr="00EA00DD">
        <w:rPr>
          <w:rFonts w:ascii="Times New Roman" w:hAnsi="Times New Roman"/>
          <w:szCs w:val="24"/>
        </w:rPr>
        <w:t>iki Faktoringo gavėjo lygmens</w:t>
      </w:r>
      <w:r w:rsidR="00905ACB">
        <w:rPr>
          <w:rFonts w:ascii="Times New Roman" w:hAnsi="Times New Roman"/>
          <w:szCs w:val="24"/>
        </w:rPr>
        <w:t xml:space="preserve"> (</w:t>
      </w:r>
      <w:r w:rsidR="00905ACB" w:rsidRPr="00905ACB">
        <w:rPr>
          <w:rFonts w:ascii="Times New Roman" w:hAnsi="Times New Roman"/>
          <w:szCs w:val="24"/>
        </w:rPr>
        <w:t>PGF2 priemonės valdytojo sudaromose Faktoringo sandorių sutartyse turi būti nustatyta analogiška pareiga Faktoringo gavėjui</w:t>
      </w:r>
      <w:r w:rsidR="00905ACB">
        <w:rPr>
          <w:rFonts w:ascii="Times New Roman" w:hAnsi="Times New Roman"/>
          <w:szCs w:val="24"/>
        </w:rPr>
        <w:t>)</w:t>
      </w:r>
      <w:r w:rsidR="001625A2">
        <w:rPr>
          <w:rFonts w:ascii="Times New Roman" w:hAnsi="Times New Roman"/>
          <w:szCs w:val="24"/>
        </w:rPr>
        <w:t xml:space="preserve">, </w:t>
      </w:r>
      <w:r w:rsidR="00FD432D" w:rsidRPr="00127BA3">
        <w:rPr>
          <w:rFonts w:ascii="Times New Roman" w:hAnsi="Times New Roman"/>
          <w:szCs w:val="24"/>
        </w:rPr>
        <w:t>kontroliuoti Sutarties vykdymą bei vykdyti gautas Audito institucijų rekomendacijas;</w:t>
      </w:r>
      <w:r w:rsidR="00905ACB" w:rsidRPr="00127BA3" w:rsidDel="00905ACB">
        <w:rPr>
          <w:rStyle w:val="CommentReference"/>
          <w:lang w:val="x-none"/>
        </w:rPr>
        <w:t xml:space="preserve"> </w:t>
      </w:r>
    </w:p>
    <w:p w14:paraId="752EE7B5" w14:textId="46EF1374" w:rsidR="004473FE" w:rsidRPr="00F31A6E" w:rsidRDefault="004473FE" w:rsidP="00E534C5">
      <w:pPr>
        <w:numPr>
          <w:ilvl w:val="2"/>
          <w:numId w:val="5"/>
        </w:numPr>
        <w:tabs>
          <w:tab w:val="left" w:pos="851"/>
        </w:tabs>
        <w:spacing w:line="276" w:lineRule="auto"/>
        <w:ind w:left="-851" w:firstLine="851"/>
        <w:jc w:val="both"/>
        <w:rPr>
          <w:rFonts w:ascii="Times New Roman" w:hAnsi="Times New Roman"/>
          <w:szCs w:val="24"/>
        </w:rPr>
      </w:pPr>
      <w:r>
        <w:rPr>
          <w:rFonts w:ascii="Times New Roman" w:hAnsi="Times New Roman"/>
          <w:szCs w:val="24"/>
        </w:rPr>
        <w:t>„Invegai“ paprašius pateikt</w:t>
      </w:r>
      <w:r w:rsidR="00013EC5">
        <w:rPr>
          <w:rFonts w:ascii="Times New Roman" w:hAnsi="Times New Roman"/>
          <w:szCs w:val="24"/>
        </w:rPr>
        <w:t>i</w:t>
      </w:r>
      <w:r>
        <w:rPr>
          <w:rFonts w:ascii="Times New Roman" w:hAnsi="Times New Roman"/>
          <w:szCs w:val="24"/>
        </w:rPr>
        <w:t xml:space="preserve"> įrodymus, kad </w:t>
      </w:r>
      <w:r w:rsidRPr="00F31A6E">
        <w:rPr>
          <w:rFonts w:ascii="Times New Roman" w:hAnsi="Times New Roman"/>
          <w:szCs w:val="24"/>
        </w:rPr>
        <w:t>PGF2 priemonės valdytojui mokami Faktoringo sandorio mokesčiai</w:t>
      </w:r>
      <w:r>
        <w:rPr>
          <w:rFonts w:ascii="Times New Roman" w:hAnsi="Times New Roman"/>
          <w:szCs w:val="24"/>
        </w:rPr>
        <w:t xml:space="preserve"> už Faktoringo sandorius atitinka</w:t>
      </w:r>
      <w:r w:rsidRPr="00F31A6E">
        <w:rPr>
          <w:rFonts w:ascii="Times New Roman" w:hAnsi="Times New Roman"/>
          <w:szCs w:val="24"/>
        </w:rPr>
        <w:t xml:space="preserve"> PGF2 priemonės valdytojo rinkos praktiką ir įprasta veiklą</w:t>
      </w:r>
      <w:r>
        <w:rPr>
          <w:rFonts w:ascii="Times New Roman" w:hAnsi="Times New Roman"/>
          <w:szCs w:val="24"/>
        </w:rPr>
        <w:t>;</w:t>
      </w:r>
    </w:p>
    <w:p w14:paraId="2A4E071D" w14:textId="5CCA25AD" w:rsidR="008331DB" w:rsidRPr="00D43E36" w:rsidRDefault="008331DB" w:rsidP="009B0EE1">
      <w:pPr>
        <w:numPr>
          <w:ilvl w:val="2"/>
          <w:numId w:val="5"/>
        </w:numPr>
        <w:tabs>
          <w:tab w:val="left" w:pos="851"/>
        </w:tabs>
        <w:spacing w:line="276" w:lineRule="auto"/>
        <w:ind w:left="-851" w:firstLine="851"/>
        <w:jc w:val="both"/>
        <w:rPr>
          <w:rFonts w:ascii="Times New Roman" w:hAnsi="Times New Roman"/>
          <w:caps/>
          <w:szCs w:val="24"/>
        </w:rPr>
      </w:pPr>
      <w:r w:rsidRPr="006E3FF7">
        <w:rPr>
          <w:rFonts w:ascii="Times New Roman" w:hAnsi="Times New Roman"/>
          <w:szCs w:val="24"/>
        </w:rPr>
        <w:t>PGF priemon</w:t>
      </w:r>
      <w:r w:rsidRPr="006E3FF7">
        <w:rPr>
          <w:rFonts w:ascii="Times New Roman" w:hAnsi="Times New Roman" w:hint="eastAsia"/>
          <w:szCs w:val="24"/>
        </w:rPr>
        <w:t>ė</w:t>
      </w:r>
      <w:r w:rsidRPr="006E3FF7">
        <w:rPr>
          <w:rFonts w:ascii="Times New Roman" w:hAnsi="Times New Roman"/>
          <w:szCs w:val="24"/>
        </w:rPr>
        <w:t>s valdytojas privalo saugoti visus su Faktoringo sandoriais</w:t>
      </w:r>
      <w:r w:rsidR="00F53BA4" w:rsidRPr="006E3FF7">
        <w:rPr>
          <w:rFonts w:ascii="Times New Roman" w:hAnsi="Times New Roman"/>
          <w:szCs w:val="24"/>
        </w:rPr>
        <w:t>,</w:t>
      </w:r>
      <w:r w:rsidRPr="006E3FF7">
        <w:rPr>
          <w:rFonts w:ascii="Times New Roman" w:hAnsi="Times New Roman"/>
          <w:szCs w:val="24"/>
        </w:rPr>
        <w:t xml:space="preserve"> Faktoringo gav</w:t>
      </w:r>
      <w:r w:rsidRPr="006E3FF7">
        <w:rPr>
          <w:rFonts w:ascii="Times New Roman" w:hAnsi="Times New Roman" w:hint="eastAsia"/>
          <w:szCs w:val="24"/>
        </w:rPr>
        <w:t>ė</w:t>
      </w:r>
      <w:r w:rsidRPr="006E3FF7">
        <w:rPr>
          <w:rFonts w:ascii="Times New Roman" w:hAnsi="Times New Roman"/>
          <w:szCs w:val="24"/>
        </w:rPr>
        <w:t>jais</w:t>
      </w:r>
      <w:r w:rsidR="00F53BA4" w:rsidRPr="006E3FF7">
        <w:rPr>
          <w:rFonts w:ascii="Times New Roman" w:hAnsi="Times New Roman"/>
          <w:szCs w:val="24"/>
        </w:rPr>
        <w:t xml:space="preserve"> ir PGF</w:t>
      </w:r>
      <w:r w:rsidR="001B2818" w:rsidRPr="006E3FF7">
        <w:rPr>
          <w:rFonts w:ascii="Times New Roman" w:hAnsi="Times New Roman"/>
          <w:szCs w:val="24"/>
        </w:rPr>
        <w:t>2</w:t>
      </w:r>
      <w:r w:rsidR="00F53BA4" w:rsidRPr="006E3FF7">
        <w:rPr>
          <w:rFonts w:ascii="Times New Roman" w:hAnsi="Times New Roman"/>
          <w:szCs w:val="24"/>
        </w:rPr>
        <w:t xml:space="preserve"> priemonės įgyvendinimu</w:t>
      </w:r>
      <w:r w:rsidRPr="006E3FF7">
        <w:rPr>
          <w:rFonts w:ascii="Times New Roman" w:hAnsi="Times New Roman"/>
          <w:szCs w:val="24"/>
        </w:rPr>
        <w:t xml:space="preserve"> susijusius dokumentus ne trumpesniu nei 1 met</w:t>
      </w:r>
      <w:r w:rsidRPr="006E3FF7">
        <w:rPr>
          <w:rFonts w:ascii="Times New Roman" w:hAnsi="Times New Roman" w:hint="eastAsia"/>
          <w:szCs w:val="24"/>
        </w:rPr>
        <w:t>ų</w:t>
      </w:r>
      <w:r w:rsidRPr="006E3FF7">
        <w:rPr>
          <w:rFonts w:ascii="Times New Roman" w:hAnsi="Times New Roman"/>
          <w:szCs w:val="24"/>
        </w:rPr>
        <w:t xml:space="preserve"> laikotarpiu po PGF</w:t>
      </w:r>
      <w:r w:rsidR="001B2818" w:rsidRPr="006E3FF7">
        <w:rPr>
          <w:rFonts w:ascii="Times New Roman" w:hAnsi="Times New Roman"/>
          <w:szCs w:val="24"/>
        </w:rPr>
        <w:t>2</w:t>
      </w:r>
      <w:r w:rsidRPr="006E3FF7">
        <w:rPr>
          <w:rFonts w:ascii="Times New Roman" w:hAnsi="Times New Roman"/>
          <w:szCs w:val="24"/>
        </w:rPr>
        <w:t xml:space="preserve"> priemon</w:t>
      </w:r>
      <w:r w:rsidRPr="006E3FF7">
        <w:rPr>
          <w:rFonts w:ascii="Times New Roman" w:hAnsi="Times New Roman" w:hint="eastAsia"/>
          <w:szCs w:val="24"/>
        </w:rPr>
        <w:t>ė</w:t>
      </w:r>
      <w:r w:rsidRPr="006E3FF7">
        <w:rPr>
          <w:rFonts w:ascii="Times New Roman" w:hAnsi="Times New Roman"/>
          <w:szCs w:val="24"/>
        </w:rPr>
        <w:t>s uždarymo</w:t>
      </w:r>
      <w:r w:rsidR="00E35A87" w:rsidRPr="006E3FF7">
        <w:rPr>
          <w:rFonts w:ascii="Times New Roman" w:hAnsi="Times New Roman"/>
          <w:szCs w:val="24"/>
        </w:rPr>
        <w:t xml:space="preserve"> (apie PGF</w:t>
      </w:r>
      <w:r w:rsidR="001B2818" w:rsidRPr="006E3FF7">
        <w:rPr>
          <w:rFonts w:ascii="Times New Roman" w:hAnsi="Times New Roman"/>
          <w:szCs w:val="24"/>
        </w:rPr>
        <w:t>2</w:t>
      </w:r>
      <w:r w:rsidR="00E35A87" w:rsidRPr="006E3FF7">
        <w:rPr>
          <w:rFonts w:ascii="Times New Roman" w:hAnsi="Times New Roman"/>
          <w:szCs w:val="24"/>
        </w:rPr>
        <w:t xml:space="preserve"> priemonės uždarymą „Invega“ įsipareigoja raštu informuoti PGF</w:t>
      </w:r>
      <w:r w:rsidR="001B2818" w:rsidRPr="006E3FF7">
        <w:rPr>
          <w:rFonts w:ascii="Times New Roman" w:hAnsi="Times New Roman"/>
          <w:szCs w:val="24"/>
        </w:rPr>
        <w:t>2</w:t>
      </w:r>
      <w:r w:rsidR="00E35A87" w:rsidRPr="006E3FF7">
        <w:rPr>
          <w:rFonts w:ascii="Times New Roman" w:hAnsi="Times New Roman"/>
          <w:szCs w:val="24"/>
        </w:rPr>
        <w:t xml:space="preserve"> priemonės valdytoją)</w:t>
      </w:r>
      <w:r w:rsidR="00F53BA4" w:rsidRPr="006E3FF7">
        <w:rPr>
          <w:rFonts w:ascii="Times New Roman" w:hAnsi="Times New Roman"/>
          <w:szCs w:val="24"/>
        </w:rPr>
        <w:t xml:space="preserve"> </w:t>
      </w:r>
      <w:r w:rsidR="00F53BA4" w:rsidRPr="001E1E18">
        <w:rPr>
          <w:rFonts w:ascii="Times New Roman" w:hAnsi="Times New Roman"/>
          <w:szCs w:val="24"/>
        </w:rPr>
        <w:t xml:space="preserve">arba, </w:t>
      </w:r>
      <w:r w:rsidR="00F53BA4" w:rsidRPr="00D43E36">
        <w:rPr>
          <w:rFonts w:ascii="Times New Roman" w:hAnsi="Times New Roman"/>
          <w:szCs w:val="24"/>
        </w:rPr>
        <w:t xml:space="preserve">„Invegai“ </w:t>
      </w:r>
      <w:r w:rsidR="00AB26AE" w:rsidRPr="00D43E36">
        <w:rPr>
          <w:rFonts w:ascii="Times New Roman" w:hAnsi="Times New Roman"/>
          <w:szCs w:val="24"/>
        </w:rPr>
        <w:t>nurodžius,</w:t>
      </w:r>
      <w:r w:rsidR="00F53BA4" w:rsidRPr="00D43E36">
        <w:rPr>
          <w:rFonts w:ascii="Times New Roman" w:hAnsi="Times New Roman"/>
          <w:szCs w:val="24"/>
        </w:rPr>
        <w:t xml:space="preserve"> ilgesniu</w:t>
      </w:r>
      <w:r w:rsidR="00AB26AE" w:rsidRPr="00D43E36">
        <w:rPr>
          <w:rFonts w:ascii="Times New Roman" w:hAnsi="Times New Roman"/>
          <w:szCs w:val="24"/>
        </w:rPr>
        <w:t xml:space="preserve"> laikotarpiu</w:t>
      </w:r>
      <w:r w:rsidR="00C008EB" w:rsidRPr="00D43E36">
        <w:rPr>
          <w:rFonts w:ascii="Times New Roman" w:hAnsi="Times New Roman"/>
          <w:szCs w:val="24"/>
        </w:rPr>
        <w:t xml:space="preserve">, o </w:t>
      </w:r>
      <w:r w:rsidRPr="00D43E36">
        <w:rPr>
          <w:rFonts w:ascii="Times New Roman" w:hAnsi="Times New Roman"/>
          <w:szCs w:val="24"/>
        </w:rPr>
        <w:t xml:space="preserve">visus dokumentus ir informaciją, reikalingą pagrįsti, kad </w:t>
      </w:r>
      <w:r w:rsidRPr="00D43E36">
        <w:rPr>
          <w:rFonts w:ascii="Times New Roman" w:hAnsi="Times New Roman"/>
          <w:i/>
          <w:szCs w:val="24"/>
        </w:rPr>
        <w:t>de minimis</w:t>
      </w:r>
      <w:r w:rsidRPr="00D43E36">
        <w:rPr>
          <w:rFonts w:ascii="Times New Roman" w:hAnsi="Times New Roman"/>
          <w:szCs w:val="24"/>
        </w:rPr>
        <w:t xml:space="preserve"> pagalba Faktoringo gavėjui buvo suteikta laikantis </w:t>
      </w:r>
      <w:r w:rsidRPr="00D43E36">
        <w:rPr>
          <w:rFonts w:ascii="Times New Roman" w:hAnsi="Times New Roman"/>
          <w:i/>
          <w:szCs w:val="24"/>
        </w:rPr>
        <w:t xml:space="preserve">De minimis </w:t>
      </w:r>
      <w:r w:rsidRPr="00D43E36">
        <w:rPr>
          <w:rFonts w:ascii="Times New Roman" w:hAnsi="Times New Roman"/>
          <w:szCs w:val="24"/>
        </w:rPr>
        <w:t>reglamento nuostatų,</w:t>
      </w:r>
      <w:r w:rsidR="00C008EB" w:rsidRPr="00D43E36">
        <w:rPr>
          <w:rFonts w:ascii="Times New Roman" w:hAnsi="Times New Roman"/>
          <w:szCs w:val="24"/>
        </w:rPr>
        <w:t xml:space="preserve"> saugoti </w:t>
      </w:r>
      <w:r w:rsidRPr="00D43E36">
        <w:rPr>
          <w:rFonts w:ascii="Times New Roman" w:hAnsi="Times New Roman"/>
          <w:szCs w:val="24"/>
        </w:rPr>
        <w:t xml:space="preserve">10 (dešimt) metų nuo paskutinio Faktoringo sandorio sudarymo ir </w:t>
      </w:r>
      <w:r w:rsidRPr="00D43E36">
        <w:rPr>
          <w:rFonts w:ascii="Times New Roman" w:hAnsi="Times New Roman"/>
          <w:i/>
          <w:szCs w:val="24"/>
        </w:rPr>
        <w:t>de minimis</w:t>
      </w:r>
      <w:r w:rsidRPr="00D43E36">
        <w:rPr>
          <w:rFonts w:ascii="Times New Roman" w:hAnsi="Times New Roman"/>
          <w:szCs w:val="24"/>
        </w:rPr>
        <w:t xml:space="preserve"> pagalbos suteikimo dienos, kaip tai nu</w:t>
      </w:r>
      <w:r w:rsidR="008B4FBB">
        <w:rPr>
          <w:rFonts w:ascii="Times New Roman" w:hAnsi="Times New Roman"/>
          <w:szCs w:val="24"/>
        </w:rPr>
        <w:t>st</w:t>
      </w:r>
      <w:r w:rsidRPr="00D43E36">
        <w:rPr>
          <w:rFonts w:ascii="Times New Roman" w:hAnsi="Times New Roman"/>
          <w:szCs w:val="24"/>
        </w:rPr>
        <w:t xml:space="preserve">atyta </w:t>
      </w:r>
      <w:r w:rsidRPr="00D43E36">
        <w:rPr>
          <w:rFonts w:ascii="Times New Roman" w:hAnsi="Times New Roman"/>
          <w:i/>
          <w:szCs w:val="24"/>
        </w:rPr>
        <w:t>De minimis</w:t>
      </w:r>
      <w:r w:rsidRPr="00D43E36">
        <w:rPr>
          <w:rFonts w:ascii="Times New Roman" w:hAnsi="Times New Roman"/>
          <w:szCs w:val="24"/>
        </w:rPr>
        <w:t xml:space="preserve"> reglamento 6 straipsnio 4 dalyje. Dokumentai gali būti saugomi bendrai priimtinose duomenų laikmenose, įskaitant elektronines dokumentų originalų versijas ar dokumentus, kurių versijos yra tik elektroninės;</w:t>
      </w:r>
    </w:p>
    <w:p w14:paraId="67F4C272" w14:textId="49AFD8A2" w:rsidR="00550312" w:rsidRPr="00EC012C" w:rsidRDefault="00465558" w:rsidP="009B0EE1">
      <w:pPr>
        <w:numPr>
          <w:ilvl w:val="2"/>
          <w:numId w:val="5"/>
        </w:numPr>
        <w:tabs>
          <w:tab w:val="left" w:pos="851"/>
        </w:tabs>
        <w:spacing w:line="276" w:lineRule="auto"/>
        <w:ind w:left="-851" w:firstLine="851"/>
        <w:jc w:val="both"/>
        <w:rPr>
          <w:rFonts w:ascii="Times New Roman" w:hAnsi="Times New Roman"/>
          <w:caps/>
          <w:szCs w:val="24"/>
        </w:rPr>
      </w:pPr>
      <w:r w:rsidRPr="00EC012C">
        <w:rPr>
          <w:rFonts w:ascii="Times New Roman" w:hAnsi="Times New Roman"/>
          <w:szCs w:val="24"/>
        </w:rPr>
        <w:t>D</w:t>
      </w:r>
      <w:r w:rsidR="00B05BD3" w:rsidRPr="00EC012C">
        <w:rPr>
          <w:rFonts w:ascii="Times New Roman" w:hAnsi="Times New Roman"/>
          <w:szCs w:val="24"/>
        </w:rPr>
        <w:t>okumentus</w:t>
      </w:r>
      <w:r w:rsidR="000408A2" w:rsidRPr="00EC012C">
        <w:rPr>
          <w:rFonts w:ascii="Times New Roman" w:hAnsi="Times New Roman"/>
          <w:szCs w:val="24"/>
        </w:rPr>
        <w:t>,</w:t>
      </w:r>
      <w:r w:rsidR="00B05BD3" w:rsidRPr="00EC012C">
        <w:rPr>
          <w:rFonts w:ascii="Times New Roman" w:hAnsi="Times New Roman"/>
          <w:szCs w:val="24"/>
        </w:rPr>
        <w:t xml:space="preserve"> reikalingus atlikti </w:t>
      </w:r>
      <w:r w:rsidR="00F2303B" w:rsidRPr="00EC012C">
        <w:rPr>
          <w:rFonts w:ascii="Times New Roman" w:hAnsi="Times New Roman"/>
          <w:szCs w:val="24"/>
        </w:rPr>
        <w:t xml:space="preserve">auditą </w:t>
      </w:r>
      <w:r w:rsidR="009C08BB" w:rsidRPr="00EC012C">
        <w:rPr>
          <w:rFonts w:ascii="Times New Roman" w:hAnsi="Times New Roman"/>
          <w:szCs w:val="24"/>
        </w:rPr>
        <w:t>ir (</w:t>
      </w:r>
      <w:r w:rsidR="00B05BD3" w:rsidRPr="00EC012C">
        <w:rPr>
          <w:rFonts w:ascii="Times New Roman" w:hAnsi="Times New Roman"/>
          <w:szCs w:val="24"/>
        </w:rPr>
        <w:t>ar</w:t>
      </w:r>
      <w:r w:rsidR="009C08BB" w:rsidRPr="00EC012C">
        <w:rPr>
          <w:rFonts w:ascii="Times New Roman" w:hAnsi="Times New Roman"/>
          <w:szCs w:val="24"/>
        </w:rPr>
        <w:t>)</w:t>
      </w:r>
      <w:r w:rsidR="00B05BD3" w:rsidRPr="00EC012C">
        <w:rPr>
          <w:rFonts w:ascii="Times New Roman" w:hAnsi="Times New Roman"/>
          <w:szCs w:val="24"/>
        </w:rPr>
        <w:t xml:space="preserve"> </w:t>
      </w:r>
      <w:r w:rsidR="00F2303B" w:rsidRPr="00EC012C">
        <w:rPr>
          <w:rFonts w:ascii="Times New Roman" w:hAnsi="Times New Roman"/>
          <w:szCs w:val="24"/>
        </w:rPr>
        <w:t>patikras</w:t>
      </w:r>
      <w:r w:rsidR="000408A2" w:rsidRPr="00EC012C">
        <w:rPr>
          <w:rFonts w:ascii="Times New Roman" w:hAnsi="Times New Roman"/>
          <w:szCs w:val="24"/>
        </w:rPr>
        <w:t>,</w:t>
      </w:r>
      <w:r w:rsidR="00B05BD3" w:rsidRPr="00EC012C">
        <w:rPr>
          <w:rFonts w:ascii="Times New Roman" w:hAnsi="Times New Roman"/>
          <w:szCs w:val="24"/>
        </w:rPr>
        <w:t xml:space="preserve"> </w:t>
      </w:r>
      <w:r w:rsidR="009C08BB" w:rsidRPr="00EC012C">
        <w:rPr>
          <w:rFonts w:ascii="Times New Roman" w:hAnsi="Times New Roman"/>
          <w:szCs w:val="24"/>
        </w:rPr>
        <w:t xml:space="preserve">Audito institucijoms </w:t>
      </w:r>
      <w:r w:rsidR="000408A2" w:rsidRPr="00EC012C">
        <w:rPr>
          <w:rFonts w:ascii="Times New Roman" w:hAnsi="Times New Roman"/>
          <w:szCs w:val="24"/>
        </w:rPr>
        <w:t xml:space="preserve">pateikti </w:t>
      </w:r>
      <w:r w:rsidR="00B05BD3" w:rsidRPr="00EC012C">
        <w:rPr>
          <w:rFonts w:ascii="Times New Roman" w:hAnsi="Times New Roman"/>
          <w:szCs w:val="24"/>
        </w:rPr>
        <w:t>neatlygintinai;</w:t>
      </w:r>
    </w:p>
    <w:p w14:paraId="4FB52CB4" w14:textId="211049CE" w:rsidR="00550312" w:rsidRPr="00A5113C" w:rsidRDefault="007D65E5" w:rsidP="009B0EE1">
      <w:pPr>
        <w:numPr>
          <w:ilvl w:val="2"/>
          <w:numId w:val="5"/>
        </w:numPr>
        <w:tabs>
          <w:tab w:val="left" w:pos="851"/>
        </w:tabs>
        <w:spacing w:line="276" w:lineRule="auto"/>
        <w:ind w:left="-851" w:firstLine="851"/>
        <w:jc w:val="both"/>
        <w:rPr>
          <w:rFonts w:ascii="Times New Roman" w:hAnsi="Times New Roman"/>
          <w:caps/>
          <w:szCs w:val="24"/>
        </w:rPr>
      </w:pPr>
      <w:r w:rsidRPr="00EC012C">
        <w:rPr>
          <w:rFonts w:ascii="Times New Roman" w:hAnsi="Times New Roman"/>
          <w:szCs w:val="24"/>
        </w:rPr>
        <w:lastRenderedPageBreak/>
        <w:t>Tinkamumo</w:t>
      </w:r>
      <w:r w:rsidR="00AA1A71" w:rsidRPr="00EC012C">
        <w:rPr>
          <w:rFonts w:ascii="Times New Roman" w:hAnsi="Times New Roman"/>
          <w:szCs w:val="24"/>
        </w:rPr>
        <w:t xml:space="preserve"> </w:t>
      </w:r>
      <w:r w:rsidR="00412FD7" w:rsidRPr="00EC012C">
        <w:rPr>
          <w:rFonts w:ascii="Times New Roman" w:hAnsi="Times New Roman"/>
          <w:szCs w:val="24"/>
        </w:rPr>
        <w:t xml:space="preserve">laikotarpiu aktyviai viešinti </w:t>
      </w:r>
      <w:r w:rsidR="003666B4" w:rsidRPr="00EC012C">
        <w:rPr>
          <w:rFonts w:ascii="Times New Roman" w:hAnsi="Times New Roman"/>
          <w:szCs w:val="24"/>
        </w:rPr>
        <w:t xml:space="preserve">informaciją apie </w:t>
      </w:r>
      <w:r w:rsidR="00B31434" w:rsidRPr="00EC012C">
        <w:rPr>
          <w:rFonts w:ascii="Times New Roman" w:hAnsi="Times New Roman"/>
          <w:szCs w:val="24"/>
        </w:rPr>
        <w:t>PGF2</w:t>
      </w:r>
      <w:r w:rsidR="00B31434">
        <w:t> </w:t>
      </w:r>
      <w:r w:rsidR="00412FD7" w:rsidRPr="00EC012C">
        <w:rPr>
          <w:rFonts w:ascii="Times New Roman" w:hAnsi="Times New Roman"/>
          <w:szCs w:val="24"/>
        </w:rPr>
        <w:t>priemonę</w:t>
      </w:r>
      <w:r w:rsidR="000612B8" w:rsidRPr="00EC012C">
        <w:rPr>
          <w:rFonts w:ascii="Times New Roman" w:hAnsi="Times New Roman"/>
          <w:szCs w:val="24"/>
        </w:rPr>
        <w:t>,</w:t>
      </w:r>
      <w:r w:rsidR="00412FD7" w:rsidRPr="00EC012C">
        <w:rPr>
          <w:rFonts w:ascii="Times New Roman" w:hAnsi="Times New Roman"/>
          <w:szCs w:val="24"/>
        </w:rPr>
        <w:t xml:space="preserve"> </w:t>
      </w:r>
      <w:r w:rsidR="00524D32" w:rsidRPr="00EC012C">
        <w:rPr>
          <w:rFonts w:ascii="Times New Roman" w:hAnsi="Times New Roman"/>
          <w:szCs w:val="24"/>
        </w:rPr>
        <w:t>nurodant kad ji finansuojama INVEGOS fondo</w:t>
      </w:r>
      <w:r w:rsidR="006514A5" w:rsidRPr="00EC012C">
        <w:rPr>
          <w:rFonts w:ascii="Times New Roman" w:hAnsi="Times New Roman"/>
          <w:szCs w:val="24"/>
        </w:rPr>
        <w:t xml:space="preserve"> grįžusiomis ir (ar) grįšiančiomis</w:t>
      </w:r>
      <w:r w:rsidR="00524D32" w:rsidRPr="00EC012C">
        <w:rPr>
          <w:rFonts w:ascii="Times New Roman" w:hAnsi="Times New Roman"/>
          <w:szCs w:val="24"/>
        </w:rPr>
        <w:t xml:space="preserve"> lėšomis, </w:t>
      </w:r>
      <w:r w:rsidR="00412FD7" w:rsidRPr="00EC012C">
        <w:rPr>
          <w:rFonts w:ascii="Times New Roman" w:hAnsi="Times New Roman"/>
          <w:szCs w:val="24"/>
        </w:rPr>
        <w:t xml:space="preserve">ir </w:t>
      </w:r>
      <w:r w:rsidR="00C51F33" w:rsidRPr="00EC012C">
        <w:rPr>
          <w:rFonts w:ascii="Times New Roman" w:hAnsi="Times New Roman"/>
          <w:szCs w:val="24"/>
        </w:rPr>
        <w:t>PGF</w:t>
      </w:r>
      <w:r w:rsidR="003666B4" w:rsidRPr="00EC012C">
        <w:rPr>
          <w:rFonts w:ascii="Times New Roman" w:hAnsi="Times New Roman"/>
          <w:szCs w:val="24"/>
        </w:rPr>
        <w:t>2</w:t>
      </w:r>
      <w:r w:rsidR="00010FB1" w:rsidRPr="00EC012C">
        <w:rPr>
          <w:rFonts w:ascii="Times New Roman" w:hAnsi="Times New Roman"/>
          <w:szCs w:val="24"/>
        </w:rPr>
        <w:t xml:space="preserve"> priemone </w:t>
      </w:r>
      <w:r w:rsidR="00213CE3" w:rsidRPr="00EC012C">
        <w:rPr>
          <w:rFonts w:ascii="Times New Roman" w:hAnsi="Times New Roman"/>
          <w:szCs w:val="24"/>
        </w:rPr>
        <w:t xml:space="preserve">garantuojamus </w:t>
      </w:r>
      <w:r w:rsidR="000778E5" w:rsidRPr="00EC012C">
        <w:rPr>
          <w:rFonts w:ascii="Times New Roman" w:hAnsi="Times New Roman"/>
          <w:szCs w:val="24"/>
        </w:rPr>
        <w:t>Faktoringo sandori</w:t>
      </w:r>
      <w:r w:rsidR="00213CE3" w:rsidRPr="00EC012C">
        <w:rPr>
          <w:rFonts w:ascii="Times New Roman" w:hAnsi="Times New Roman"/>
          <w:szCs w:val="24"/>
        </w:rPr>
        <w:t>us</w:t>
      </w:r>
      <w:r w:rsidR="00A741BF" w:rsidRPr="00EC012C">
        <w:rPr>
          <w:rFonts w:ascii="Times New Roman" w:hAnsi="Times New Roman"/>
          <w:szCs w:val="24"/>
        </w:rPr>
        <w:t>,</w:t>
      </w:r>
      <w:r w:rsidR="00524D32" w:rsidRPr="00EC012C">
        <w:rPr>
          <w:rFonts w:ascii="Times New Roman" w:hAnsi="Times New Roman"/>
          <w:szCs w:val="24"/>
        </w:rPr>
        <w:t xml:space="preserve"> </w:t>
      </w:r>
      <w:r w:rsidRPr="00EC012C">
        <w:rPr>
          <w:rFonts w:ascii="Times New Roman" w:hAnsi="Times New Roman"/>
          <w:szCs w:val="24"/>
        </w:rPr>
        <w:t xml:space="preserve">o </w:t>
      </w:r>
      <w:r w:rsidR="00412FD7" w:rsidRPr="00EC012C">
        <w:rPr>
          <w:rFonts w:ascii="Times New Roman" w:hAnsi="Times New Roman"/>
          <w:szCs w:val="24"/>
        </w:rPr>
        <w:t xml:space="preserve">informaciją apie </w:t>
      </w:r>
      <w:r w:rsidR="00C51F33" w:rsidRPr="00EC012C">
        <w:rPr>
          <w:rFonts w:ascii="Times New Roman" w:hAnsi="Times New Roman"/>
          <w:szCs w:val="24"/>
        </w:rPr>
        <w:t>PGF</w:t>
      </w:r>
      <w:r w:rsidR="003666B4" w:rsidRPr="00EC012C">
        <w:rPr>
          <w:rFonts w:ascii="Times New Roman" w:hAnsi="Times New Roman"/>
          <w:szCs w:val="24"/>
        </w:rPr>
        <w:t>2</w:t>
      </w:r>
      <w:r w:rsidR="00412FD7" w:rsidRPr="00EC012C">
        <w:rPr>
          <w:rFonts w:ascii="Times New Roman" w:hAnsi="Times New Roman"/>
          <w:szCs w:val="24"/>
        </w:rPr>
        <w:t xml:space="preserve"> priemonės sąlygas paskelbti savo interneto svetainėje. </w:t>
      </w:r>
      <w:r w:rsidR="00C51F33" w:rsidRPr="00EC012C">
        <w:rPr>
          <w:rFonts w:ascii="Times New Roman" w:hAnsi="Times New Roman"/>
          <w:szCs w:val="24"/>
        </w:rPr>
        <w:t>PGF</w:t>
      </w:r>
      <w:r w:rsidR="003666B4" w:rsidRPr="00EC012C">
        <w:rPr>
          <w:rFonts w:ascii="Times New Roman" w:hAnsi="Times New Roman"/>
          <w:szCs w:val="24"/>
        </w:rPr>
        <w:t>2</w:t>
      </w:r>
      <w:r w:rsidR="00495A3F" w:rsidRPr="00EC012C">
        <w:rPr>
          <w:rFonts w:ascii="Times New Roman" w:hAnsi="Times New Roman"/>
          <w:szCs w:val="24"/>
        </w:rPr>
        <w:t xml:space="preserve"> priemonės valdytojas savo</w:t>
      </w:r>
      <w:r w:rsidR="00412FD7" w:rsidRPr="00EC012C">
        <w:rPr>
          <w:rFonts w:ascii="Times New Roman" w:hAnsi="Times New Roman"/>
          <w:szCs w:val="24"/>
        </w:rPr>
        <w:t xml:space="preserve"> iniciatyva </w:t>
      </w:r>
      <w:r w:rsidR="00636F72" w:rsidRPr="00EC012C">
        <w:rPr>
          <w:rFonts w:ascii="Times New Roman" w:hAnsi="Times New Roman"/>
          <w:szCs w:val="24"/>
        </w:rPr>
        <w:t xml:space="preserve">gali </w:t>
      </w:r>
      <w:r w:rsidR="00495A3F" w:rsidRPr="00EC012C">
        <w:rPr>
          <w:rFonts w:ascii="Times New Roman" w:hAnsi="Times New Roman"/>
          <w:szCs w:val="24"/>
        </w:rPr>
        <w:t>taikyti ir kita</w:t>
      </w:r>
      <w:r w:rsidR="00412FD7" w:rsidRPr="00EC012C">
        <w:rPr>
          <w:rFonts w:ascii="Times New Roman" w:hAnsi="Times New Roman"/>
          <w:szCs w:val="24"/>
        </w:rPr>
        <w:t xml:space="preserve">s </w:t>
      </w:r>
      <w:r w:rsidR="00C51F33" w:rsidRPr="00EC012C">
        <w:rPr>
          <w:rFonts w:ascii="Times New Roman" w:hAnsi="Times New Roman"/>
          <w:szCs w:val="24"/>
        </w:rPr>
        <w:t>PGF</w:t>
      </w:r>
      <w:r w:rsidR="003666B4" w:rsidRPr="00EC012C">
        <w:rPr>
          <w:rFonts w:ascii="Times New Roman" w:hAnsi="Times New Roman"/>
          <w:szCs w:val="24"/>
        </w:rPr>
        <w:t>2</w:t>
      </w:r>
      <w:r w:rsidR="009C08BB" w:rsidRPr="00EC012C">
        <w:rPr>
          <w:rFonts w:ascii="Times New Roman" w:hAnsi="Times New Roman"/>
          <w:szCs w:val="24"/>
        </w:rPr>
        <w:t xml:space="preserve"> priemonės </w:t>
      </w:r>
      <w:r w:rsidR="00412FD7" w:rsidRPr="00EC012C">
        <w:rPr>
          <w:rFonts w:ascii="Times New Roman" w:hAnsi="Times New Roman"/>
          <w:szCs w:val="24"/>
        </w:rPr>
        <w:t>viešinimo priemon</w:t>
      </w:r>
      <w:r w:rsidRPr="00EC012C">
        <w:rPr>
          <w:rFonts w:ascii="Times New Roman" w:hAnsi="Times New Roman"/>
          <w:szCs w:val="24"/>
        </w:rPr>
        <w:t>e</w:t>
      </w:r>
      <w:r w:rsidR="00412FD7" w:rsidRPr="00EC012C">
        <w:rPr>
          <w:rFonts w:ascii="Times New Roman" w:hAnsi="Times New Roman"/>
          <w:szCs w:val="24"/>
        </w:rPr>
        <w:t>s</w:t>
      </w:r>
      <w:r w:rsidR="00EC012C" w:rsidRPr="00EC012C">
        <w:rPr>
          <w:rFonts w:ascii="Times New Roman" w:hAnsi="Times New Roman"/>
          <w:szCs w:val="24"/>
        </w:rPr>
        <w:t xml:space="preserve">. Sudarant Faktoringo sandorius su Faktoringo sandorių gavėjais, PGF2 priemonės valdytojas į Faktoringo sandorio sutartį privalo įtraukti nuostatą, kad Faktoringo sandoris yra garantuojamas pagal PGF2 priemonės sąlygas ir iš INVEGOS fondo lėšų. Teikiant konsultacijas ir viešinant </w:t>
      </w:r>
      <w:r w:rsidR="00EC012C" w:rsidRPr="00A5113C">
        <w:rPr>
          <w:rFonts w:ascii="Times New Roman" w:hAnsi="Times New Roman"/>
          <w:szCs w:val="24"/>
        </w:rPr>
        <w:t>PGF2 priemonę kitomis viešinimo priemonėmis, PGF2 priemonės valdytojas privalo informuoti, kad PGF2 priemonė yra finansuojama INVEGOS fondo lėšomis</w:t>
      </w:r>
      <w:r w:rsidR="00412FD7" w:rsidRPr="00A5113C">
        <w:rPr>
          <w:rFonts w:ascii="Times New Roman" w:hAnsi="Times New Roman"/>
          <w:szCs w:val="24"/>
        </w:rPr>
        <w:t>;</w:t>
      </w:r>
    </w:p>
    <w:p w14:paraId="7602D79E" w14:textId="43E7AFC8" w:rsidR="00550312" w:rsidRPr="00A5113C" w:rsidRDefault="00465558" w:rsidP="009B0EE1">
      <w:pPr>
        <w:numPr>
          <w:ilvl w:val="2"/>
          <w:numId w:val="5"/>
        </w:numPr>
        <w:tabs>
          <w:tab w:val="left" w:pos="851"/>
        </w:tabs>
        <w:spacing w:line="276" w:lineRule="auto"/>
        <w:ind w:left="-851" w:firstLine="851"/>
        <w:jc w:val="both"/>
        <w:rPr>
          <w:rFonts w:ascii="Times New Roman" w:hAnsi="Times New Roman"/>
          <w:caps/>
          <w:szCs w:val="24"/>
        </w:rPr>
      </w:pPr>
      <w:bookmarkStart w:id="5" w:name="_Hlk37862622"/>
      <w:r w:rsidRPr="00A5113C">
        <w:rPr>
          <w:rFonts w:ascii="Times New Roman" w:hAnsi="Times New Roman"/>
          <w:szCs w:val="24"/>
        </w:rPr>
        <w:t>N</w:t>
      </w:r>
      <w:r w:rsidR="00412FD7" w:rsidRPr="00A5113C">
        <w:rPr>
          <w:rFonts w:ascii="Times New Roman" w:hAnsi="Times New Roman"/>
          <w:szCs w:val="24"/>
        </w:rPr>
        <w:t xml:space="preserve">audoti </w:t>
      </w:r>
      <w:r w:rsidR="00213CE3" w:rsidRPr="00A5113C">
        <w:rPr>
          <w:rFonts w:ascii="Times New Roman" w:hAnsi="Times New Roman"/>
          <w:szCs w:val="24"/>
        </w:rPr>
        <w:t>„</w:t>
      </w:r>
      <w:r w:rsidR="005A0831" w:rsidRPr="00A5113C">
        <w:rPr>
          <w:rFonts w:ascii="Times New Roman" w:hAnsi="Times New Roman"/>
          <w:szCs w:val="24"/>
        </w:rPr>
        <w:t>Invegos“</w:t>
      </w:r>
      <w:r w:rsidR="00F356AF" w:rsidRPr="00A5113C">
        <w:rPr>
          <w:rFonts w:ascii="Times New Roman" w:hAnsi="Times New Roman"/>
          <w:szCs w:val="24"/>
        </w:rPr>
        <w:t xml:space="preserve"> logotipą </w:t>
      </w:r>
      <w:r w:rsidR="002C7D81" w:rsidRPr="00A5113C">
        <w:rPr>
          <w:rFonts w:ascii="Times New Roman" w:hAnsi="Times New Roman"/>
          <w:szCs w:val="24"/>
        </w:rPr>
        <w:t xml:space="preserve">sudarant </w:t>
      </w:r>
      <w:r w:rsidR="00F21757" w:rsidRPr="00A5113C">
        <w:rPr>
          <w:rFonts w:ascii="Times New Roman" w:hAnsi="Times New Roman"/>
          <w:szCs w:val="24"/>
        </w:rPr>
        <w:t xml:space="preserve">Faktoringo </w:t>
      </w:r>
      <w:r w:rsidR="00765D6F" w:rsidRPr="00A5113C">
        <w:rPr>
          <w:rFonts w:ascii="Times New Roman" w:hAnsi="Times New Roman"/>
          <w:szCs w:val="24"/>
        </w:rPr>
        <w:t>sutartis</w:t>
      </w:r>
      <w:r w:rsidR="00F2303B" w:rsidRPr="00A5113C">
        <w:rPr>
          <w:rFonts w:ascii="Times New Roman" w:hAnsi="Times New Roman"/>
          <w:szCs w:val="24"/>
        </w:rPr>
        <w:t>,</w:t>
      </w:r>
      <w:r w:rsidR="002C7D81" w:rsidRPr="00A5113C">
        <w:rPr>
          <w:rFonts w:ascii="Times New Roman" w:hAnsi="Times New Roman"/>
          <w:szCs w:val="24"/>
        </w:rPr>
        <w:t xml:space="preserve"> viešinant </w:t>
      </w:r>
      <w:r w:rsidR="00C51F33" w:rsidRPr="00A5113C">
        <w:rPr>
          <w:rFonts w:ascii="Times New Roman" w:hAnsi="Times New Roman"/>
          <w:szCs w:val="24"/>
        </w:rPr>
        <w:t>PGF</w:t>
      </w:r>
      <w:r w:rsidR="00365947" w:rsidRPr="00A5113C">
        <w:rPr>
          <w:rFonts w:ascii="Times New Roman" w:hAnsi="Times New Roman"/>
          <w:szCs w:val="24"/>
        </w:rPr>
        <w:t xml:space="preserve"> </w:t>
      </w:r>
      <w:r w:rsidR="002C7D81" w:rsidRPr="00A5113C">
        <w:rPr>
          <w:rFonts w:ascii="Times New Roman" w:hAnsi="Times New Roman"/>
          <w:szCs w:val="24"/>
        </w:rPr>
        <w:t xml:space="preserve">priemonę </w:t>
      </w:r>
      <w:r w:rsidR="007569D4" w:rsidRPr="00A5113C">
        <w:rPr>
          <w:rFonts w:ascii="Times New Roman" w:hAnsi="Times New Roman"/>
          <w:szCs w:val="24"/>
        </w:rPr>
        <w:t xml:space="preserve">savo interneto svetainėje bei </w:t>
      </w:r>
      <w:r w:rsidR="00F2303B" w:rsidRPr="00A5113C">
        <w:rPr>
          <w:rFonts w:ascii="Times New Roman" w:hAnsi="Times New Roman"/>
          <w:szCs w:val="24"/>
        </w:rPr>
        <w:t xml:space="preserve">vykdant </w:t>
      </w:r>
      <w:r w:rsidR="002C7D81" w:rsidRPr="00A5113C">
        <w:rPr>
          <w:rFonts w:ascii="Times New Roman" w:hAnsi="Times New Roman"/>
          <w:szCs w:val="24"/>
        </w:rPr>
        <w:t>kit</w:t>
      </w:r>
      <w:r w:rsidR="00F2303B" w:rsidRPr="00A5113C">
        <w:rPr>
          <w:rFonts w:ascii="Times New Roman" w:hAnsi="Times New Roman"/>
          <w:szCs w:val="24"/>
        </w:rPr>
        <w:t>a</w:t>
      </w:r>
      <w:r w:rsidR="002C7D81" w:rsidRPr="00A5113C">
        <w:rPr>
          <w:rFonts w:ascii="Times New Roman" w:hAnsi="Times New Roman"/>
          <w:szCs w:val="24"/>
        </w:rPr>
        <w:t xml:space="preserve">s viešinimo </w:t>
      </w:r>
      <w:r w:rsidR="00F2303B" w:rsidRPr="00A5113C">
        <w:rPr>
          <w:rFonts w:ascii="Times New Roman" w:hAnsi="Times New Roman"/>
          <w:szCs w:val="24"/>
        </w:rPr>
        <w:t>veiklas</w:t>
      </w:r>
      <w:r w:rsidR="00636F72" w:rsidRPr="00A5113C">
        <w:rPr>
          <w:rFonts w:ascii="Times New Roman" w:hAnsi="Times New Roman"/>
          <w:szCs w:val="24"/>
        </w:rPr>
        <w:t>;</w:t>
      </w:r>
    </w:p>
    <w:bookmarkEnd w:id="5"/>
    <w:p w14:paraId="0DAFCA61" w14:textId="15DB6A9D" w:rsidR="00924261" w:rsidRPr="00A5113C" w:rsidRDefault="00465558" w:rsidP="009B0EE1">
      <w:pPr>
        <w:numPr>
          <w:ilvl w:val="2"/>
          <w:numId w:val="5"/>
        </w:numPr>
        <w:tabs>
          <w:tab w:val="left" w:pos="851"/>
        </w:tabs>
        <w:spacing w:line="276" w:lineRule="auto"/>
        <w:ind w:left="-851" w:firstLine="851"/>
        <w:jc w:val="both"/>
        <w:rPr>
          <w:rFonts w:ascii="Times New Roman" w:hAnsi="Times New Roman"/>
          <w:caps/>
          <w:szCs w:val="24"/>
        </w:rPr>
      </w:pPr>
      <w:r w:rsidRPr="00A5113C">
        <w:rPr>
          <w:rFonts w:ascii="Times New Roman" w:hAnsi="Times New Roman"/>
          <w:szCs w:val="24"/>
        </w:rPr>
        <w:t>U</w:t>
      </w:r>
      <w:r w:rsidR="00924261" w:rsidRPr="00A5113C">
        <w:rPr>
          <w:rFonts w:ascii="Times New Roman" w:hAnsi="Times New Roman"/>
          <w:szCs w:val="24"/>
        </w:rPr>
        <w:t xml:space="preserve">žtikrinti, kad </w:t>
      </w:r>
      <w:r w:rsidR="00F21757" w:rsidRPr="00A5113C">
        <w:rPr>
          <w:rFonts w:ascii="Times New Roman" w:hAnsi="Times New Roman"/>
          <w:szCs w:val="24"/>
        </w:rPr>
        <w:t xml:space="preserve">Faktoringo </w:t>
      </w:r>
      <w:r w:rsidR="00924261" w:rsidRPr="00A5113C">
        <w:rPr>
          <w:rFonts w:ascii="Times New Roman" w:hAnsi="Times New Roman"/>
          <w:szCs w:val="24"/>
        </w:rPr>
        <w:t>sutarty</w:t>
      </w:r>
      <w:r w:rsidR="00CF01EE" w:rsidRPr="00A5113C">
        <w:rPr>
          <w:rFonts w:ascii="Times New Roman" w:hAnsi="Times New Roman"/>
          <w:szCs w:val="24"/>
        </w:rPr>
        <w:t>j</w:t>
      </w:r>
      <w:r w:rsidR="00924261" w:rsidRPr="00A5113C">
        <w:rPr>
          <w:rFonts w:ascii="Times New Roman" w:hAnsi="Times New Roman"/>
          <w:szCs w:val="24"/>
        </w:rPr>
        <w:t xml:space="preserve">e </w:t>
      </w:r>
      <w:r w:rsidR="00924261" w:rsidRPr="00A5113C">
        <w:rPr>
          <w:rFonts w:ascii="Times New Roman" w:hAnsi="Times New Roman"/>
          <w:i/>
          <w:szCs w:val="24"/>
        </w:rPr>
        <w:t xml:space="preserve">inter alia </w:t>
      </w:r>
      <w:r w:rsidR="00924261" w:rsidRPr="00A5113C">
        <w:rPr>
          <w:rFonts w:ascii="Times New Roman" w:hAnsi="Times New Roman"/>
          <w:szCs w:val="24"/>
        </w:rPr>
        <w:t>būtų nustatyta</w:t>
      </w:r>
      <w:r w:rsidR="00677D8B" w:rsidRPr="00A5113C">
        <w:rPr>
          <w:rFonts w:ascii="Times New Roman" w:hAnsi="Times New Roman"/>
          <w:szCs w:val="24"/>
        </w:rPr>
        <w:t xml:space="preserve">, </w:t>
      </w:r>
      <w:r w:rsidR="009C08BB" w:rsidRPr="00A5113C">
        <w:rPr>
          <w:rFonts w:ascii="Times New Roman" w:hAnsi="Times New Roman"/>
          <w:szCs w:val="24"/>
        </w:rPr>
        <w:t>jog</w:t>
      </w:r>
      <w:r w:rsidR="00924261" w:rsidRPr="00A5113C">
        <w:rPr>
          <w:rFonts w:ascii="Times New Roman" w:hAnsi="Times New Roman"/>
          <w:szCs w:val="24"/>
        </w:rPr>
        <w:t>:</w:t>
      </w:r>
    </w:p>
    <w:p w14:paraId="2D43F941" w14:textId="2DF8A847" w:rsidR="00EB7A7B" w:rsidRPr="0084637A" w:rsidRDefault="00A741BF" w:rsidP="009B0EE1">
      <w:pPr>
        <w:numPr>
          <w:ilvl w:val="3"/>
          <w:numId w:val="5"/>
        </w:numPr>
        <w:tabs>
          <w:tab w:val="left" w:pos="851"/>
        </w:tabs>
        <w:spacing w:line="276" w:lineRule="auto"/>
        <w:ind w:left="-851" w:firstLine="851"/>
        <w:jc w:val="both"/>
        <w:rPr>
          <w:rFonts w:ascii="Times New Roman" w:hAnsi="Times New Roman"/>
          <w:szCs w:val="24"/>
        </w:rPr>
      </w:pPr>
      <w:r w:rsidRPr="00A5113C">
        <w:rPr>
          <w:rFonts w:ascii="Times New Roman" w:hAnsi="Times New Roman"/>
          <w:szCs w:val="24"/>
        </w:rPr>
        <w:t xml:space="preserve"> </w:t>
      </w:r>
      <w:r w:rsidR="00BE1664" w:rsidRPr="00A5113C">
        <w:rPr>
          <w:rFonts w:ascii="Times New Roman" w:hAnsi="Times New Roman"/>
          <w:szCs w:val="24"/>
        </w:rPr>
        <w:t>Faktoringo sandoris</w:t>
      </w:r>
      <w:r w:rsidR="00C17DB9" w:rsidRPr="00A5113C">
        <w:rPr>
          <w:rFonts w:ascii="Times New Roman" w:hAnsi="Times New Roman"/>
          <w:szCs w:val="24"/>
        </w:rPr>
        <w:t xml:space="preserve"> yra garantuota</w:t>
      </w:r>
      <w:r w:rsidR="00765D6F" w:rsidRPr="00A5113C">
        <w:rPr>
          <w:rFonts w:ascii="Times New Roman" w:hAnsi="Times New Roman"/>
          <w:szCs w:val="24"/>
        </w:rPr>
        <w:t>s</w:t>
      </w:r>
      <w:r w:rsidR="00C17DB9" w:rsidRPr="00A5113C">
        <w:rPr>
          <w:rFonts w:ascii="Times New Roman" w:hAnsi="Times New Roman"/>
          <w:szCs w:val="24"/>
        </w:rPr>
        <w:t xml:space="preserve"> </w:t>
      </w:r>
      <w:r w:rsidR="000D3355" w:rsidRPr="00A5113C">
        <w:rPr>
          <w:rFonts w:ascii="Times New Roman" w:hAnsi="Times New Roman"/>
          <w:szCs w:val="24"/>
        </w:rPr>
        <w:t>INVEGOS</w:t>
      </w:r>
      <w:r w:rsidR="00C17DB9" w:rsidRPr="00A5113C">
        <w:rPr>
          <w:rFonts w:ascii="Times New Roman" w:hAnsi="Times New Roman"/>
          <w:szCs w:val="24"/>
        </w:rPr>
        <w:t xml:space="preserve"> fondo</w:t>
      </w:r>
      <w:r w:rsidR="00F85DA7" w:rsidRPr="00A5113C">
        <w:rPr>
          <w:rFonts w:ascii="Times New Roman" w:hAnsi="Times New Roman"/>
          <w:szCs w:val="24"/>
        </w:rPr>
        <w:t xml:space="preserve"> grįžusiomis</w:t>
      </w:r>
      <w:r w:rsidR="00765D6F" w:rsidRPr="00A5113C">
        <w:rPr>
          <w:rFonts w:ascii="Times New Roman" w:hAnsi="Times New Roman"/>
          <w:szCs w:val="24"/>
        </w:rPr>
        <w:t xml:space="preserve"> ir (ar) </w:t>
      </w:r>
      <w:r w:rsidR="00765D6F" w:rsidRPr="0084637A">
        <w:rPr>
          <w:rFonts w:ascii="Times New Roman" w:hAnsi="Times New Roman"/>
          <w:szCs w:val="24"/>
        </w:rPr>
        <w:t>grįšiančiomis</w:t>
      </w:r>
      <w:r w:rsidR="00C17DB9" w:rsidRPr="0084637A">
        <w:rPr>
          <w:rFonts w:ascii="Times New Roman" w:hAnsi="Times New Roman"/>
          <w:szCs w:val="24"/>
        </w:rPr>
        <w:t xml:space="preserve"> lėšomis</w:t>
      </w:r>
      <w:r w:rsidR="003B7859" w:rsidRPr="0084637A">
        <w:rPr>
          <w:rFonts w:ascii="Times New Roman" w:hAnsi="Times New Roman"/>
          <w:szCs w:val="24"/>
        </w:rPr>
        <w:t>;</w:t>
      </w:r>
    </w:p>
    <w:p w14:paraId="0D1A829C" w14:textId="375C6FC1" w:rsidR="00EB7A7B" w:rsidRPr="0084637A" w:rsidRDefault="00A741BF" w:rsidP="009B0EE1">
      <w:pPr>
        <w:numPr>
          <w:ilvl w:val="3"/>
          <w:numId w:val="5"/>
        </w:numPr>
        <w:tabs>
          <w:tab w:val="left" w:pos="851"/>
        </w:tabs>
        <w:spacing w:line="276" w:lineRule="auto"/>
        <w:ind w:left="-851" w:firstLine="851"/>
        <w:jc w:val="both"/>
        <w:rPr>
          <w:rFonts w:ascii="Times New Roman" w:hAnsi="Times New Roman"/>
          <w:szCs w:val="24"/>
        </w:rPr>
      </w:pPr>
      <w:r w:rsidRPr="0084637A">
        <w:rPr>
          <w:rFonts w:ascii="Times New Roman" w:eastAsia="Calibri" w:hAnsi="Times New Roman"/>
          <w:szCs w:val="24"/>
        </w:rPr>
        <w:t xml:space="preserve"> </w:t>
      </w:r>
      <w:r w:rsidR="00F21757" w:rsidRPr="0084637A">
        <w:rPr>
          <w:rFonts w:ascii="Times New Roman" w:eastAsia="Calibri" w:hAnsi="Times New Roman"/>
          <w:szCs w:val="24"/>
        </w:rPr>
        <w:t>Faktoringo</w:t>
      </w:r>
      <w:r w:rsidR="00926204" w:rsidRPr="0084637A">
        <w:rPr>
          <w:rFonts w:ascii="Times New Roman" w:eastAsia="Calibri" w:hAnsi="Times New Roman"/>
          <w:szCs w:val="24"/>
        </w:rPr>
        <w:t xml:space="preserve"> gavėjui yra žinoma, kad</w:t>
      </w:r>
      <w:r w:rsidR="00BB52AC" w:rsidRPr="0084637A">
        <w:rPr>
          <w:rFonts w:ascii="Times New Roman" w:eastAsia="Calibri" w:hAnsi="Times New Roman"/>
          <w:szCs w:val="24"/>
        </w:rPr>
        <w:t xml:space="preserve"> Portfeline garantija garantuota</w:t>
      </w:r>
      <w:r w:rsidR="00F85DA7" w:rsidRPr="0084637A">
        <w:rPr>
          <w:rFonts w:ascii="Times New Roman" w:eastAsia="Calibri" w:hAnsi="Times New Roman"/>
          <w:szCs w:val="24"/>
        </w:rPr>
        <w:t>s</w:t>
      </w:r>
      <w:r w:rsidR="00926204" w:rsidRPr="0084637A">
        <w:rPr>
          <w:rFonts w:ascii="Times New Roman" w:eastAsia="Calibri" w:hAnsi="Times New Roman"/>
          <w:szCs w:val="24"/>
        </w:rPr>
        <w:t xml:space="preserve"> </w:t>
      </w:r>
      <w:r w:rsidR="00BE1664" w:rsidRPr="0084637A">
        <w:rPr>
          <w:rFonts w:ascii="Times New Roman" w:eastAsia="Calibri" w:hAnsi="Times New Roman"/>
          <w:szCs w:val="24"/>
        </w:rPr>
        <w:t>Faktoringo sandoris</w:t>
      </w:r>
      <w:r w:rsidR="00926204" w:rsidRPr="0084637A">
        <w:rPr>
          <w:rFonts w:ascii="Times New Roman" w:eastAsia="Calibri" w:hAnsi="Times New Roman"/>
          <w:szCs w:val="24"/>
        </w:rPr>
        <w:t xml:space="preserve"> yra suteikiama</w:t>
      </w:r>
      <w:r w:rsidR="00F85DA7" w:rsidRPr="0084637A">
        <w:rPr>
          <w:rFonts w:ascii="Times New Roman" w:eastAsia="Calibri" w:hAnsi="Times New Roman"/>
          <w:szCs w:val="24"/>
        </w:rPr>
        <w:t>s</w:t>
      </w:r>
      <w:r w:rsidR="00926204" w:rsidRPr="0084637A">
        <w:rPr>
          <w:rFonts w:ascii="Times New Roman" w:eastAsia="Calibri" w:hAnsi="Times New Roman"/>
          <w:szCs w:val="24"/>
        </w:rPr>
        <w:t xml:space="preserve"> su </w:t>
      </w:r>
      <w:r w:rsidR="00D67D75" w:rsidRPr="0084637A">
        <w:rPr>
          <w:rFonts w:ascii="Times New Roman" w:eastAsia="Calibri" w:hAnsi="Times New Roman"/>
          <w:i/>
          <w:szCs w:val="24"/>
        </w:rPr>
        <w:t xml:space="preserve">de </w:t>
      </w:r>
      <w:r w:rsidR="00926204" w:rsidRPr="0084637A">
        <w:rPr>
          <w:rFonts w:ascii="Times New Roman" w:eastAsia="Calibri" w:hAnsi="Times New Roman"/>
          <w:i/>
          <w:szCs w:val="24"/>
        </w:rPr>
        <w:t>minimis</w:t>
      </w:r>
      <w:r w:rsidR="00C17DB9" w:rsidRPr="0084637A">
        <w:rPr>
          <w:rFonts w:ascii="Times New Roman" w:eastAsia="Calibri" w:hAnsi="Times New Roman"/>
          <w:szCs w:val="24"/>
        </w:rPr>
        <w:t xml:space="preserve"> pagalba</w:t>
      </w:r>
      <w:r w:rsidR="00926204" w:rsidRPr="0084637A">
        <w:rPr>
          <w:rFonts w:ascii="Times New Roman" w:eastAsia="Calibri" w:hAnsi="Times New Roman"/>
          <w:szCs w:val="24"/>
        </w:rPr>
        <w:t>;</w:t>
      </w:r>
    </w:p>
    <w:p w14:paraId="5B7C07F4" w14:textId="1644901B" w:rsidR="00EB7A7B" w:rsidRPr="000E4EF4" w:rsidRDefault="00A741BF" w:rsidP="009B0EE1">
      <w:pPr>
        <w:numPr>
          <w:ilvl w:val="3"/>
          <w:numId w:val="5"/>
        </w:numPr>
        <w:tabs>
          <w:tab w:val="left" w:pos="851"/>
        </w:tabs>
        <w:spacing w:line="276" w:lineRule="auto"/>
        <w:ind w:left="-851" w:firstLine="851"/>
        <w:jc w:val="both"/>
        <w:rPr>
          <w:rFonts w:ascii="Times New Roman" w:hAnsi="Times New Roman"/>
          <w:szCs w:val="24"/>
        </w:rPr>
      </w:pPr>
      <w:r w:rsidRPr="0084637A">
        <w:rPr>
          <w:rFonts w:ascii="Times New Roman" w:hAnsi="Times New Roman"/>
          <w:szCs w:val="24"/>
        </w:rPr>
        <w:t xml:space="preserve"> </w:t>
      </w:r>
      <w:r w:rsidR="00C51F33" w:rsidRPr="000E4EF4">
        <w:rPr>
          <w:rFonts w:ascii="Times New Roman" w:hAnsi="Times New Roman"/>
          <w:szCs w:val="24"/>
        </w:rPr>
        <w:t>PGF</w:t>
      </w:r>
      <w:r w:rsidR="0084637A" w:rsidRPr="000E4EF4">
        <w:rPr>
          <w:rFonts w:ascii="Times New Roman" w:hAnsi="Times New Roman"/>
          <w:szCs w:val="24"/>
        </w:rPr>
        <w:t>2</w:t>
      </w:r>
      <w:r w:rsidR="005D516C" w:rsidRPr="000E4EF4">
        <w:rPr>
          <w:rFonts w:ascii="Times New Roman" w:hAnsi="Times New Roman"/>
          <w:szCs w:val="24"/>
        </w:rPr>
        <w:t xml:space="preserve"> priemonės valdytojas turi teisę</w:t>
      </w:r>
      <w:r w:rsidR="0074300A" w:rsidRPr="000E4EF4">
        <w:rPr>
          <w:rFonts w:ascii="Times New Roman" w:hAnsi="Times New Roman"/>
          <w:szCs w:val="24"/>
        </w:rPr>
        <w:t xml:space="preserve"> iš </w:t>
      </w:r>
      <w:r w:rsidR="00F21757" w:rsidRPr="000E4EF4">
        <w:rPr>
          <w:rFonts w:ascii="Times New Roman" w:hAnsi="Times New Roman"/>
          <w:szCs w:val="24"/>
        </w:rPr>
        <w:t>Faktoringo sandorio</w:t>
      </w:r>
      <w:r w:rsidR="005D516C" w:rsidRPr="000E4EF4">
        <w:rPr>
          <w:rFonts w:ascii="Times New Roman" w:hAnsi="Times New Roman"/>
          <w:szCs w:val="24"/>
        </w:rPr>
        <w:t xml:space="preserve"> gavėjo išieškoti nuostolius, kylančius dėl netinkamo </w:t>
      </w:r>
      <w:r w:rsidR="00F21757" w:rsidRPr="000E4EF4">
        <w:rPr>
          <w:rFonts w:ascii="Times New Roman" w:hAnsi="Times New Roman"/>
          <w:szCs w:val="24"/>
        </w:rPr>
        <w:t xml:space="preserve">Faktoringo </w:t>
      </w:r>
      <w:r w:rsidR="005D516C" w:rsidRPr="000E4EF4">
        <w:rPr>
          <w:rFonts w:ascii="Times New Roman" w:hAnsi="Times New Roman"/>
          <w:szCs w:val="24"/>
        </w:rPr>
        <w:t>sutar</w:t>
      </w:r>
      <w:r w:rsidR="00D67D75" w:rsidRPr="000E4EF4">
        <w:rPr>
          <w:rFonts w:ascii="Times New Roman" w:hAnsi="Times New Roman"/>
          <w:szCs w:val="24"/>
        </w:rPr>
        <w:t>ties</w:t>
      </w:r>
      <w:r w:rsidR="005D516C" w:rsidRPr="000E4EF4">
        <w:rPr>
          <w:rFonts w:ascii="Times New Roman" w:hAnsi="Times New Roman"/>
          <w:szCs w:val="24"/>
        </w:rPr>
        <w:t xml:space="preserve"> vykdymo;</w:t>
      </w:r>
    </w:p>
    <w:p w14:paraId="7BA0D131" w14:textId="6384D653" w:rsidR="00EB7A7B" w:rsidRPr="000E4EF4" w:rsidRDefault="00A741BF" w:rsidP="009B0EE1">
      <w:pPr>
        <w:numPr>
          <w:ilvl w:val="3"/>
          <w:numId w:val="5"/>
        </w:numPr>
        <w:tabs>
          <w:tab w:val="left" w:pos="851"/>
        </w:tabs>
        <w:spacing w:line="276" w:lineRule="auto"/>
        <w:ind w:left="-851" w:firstLine="851"/>
        <w:jc w:val="both"/>
        <w:rPr>
          <w:rFonts w:ascii="Times New Roman" w:hAnsi="Times New Roman"/>
          <w:szCs w:val="24"/>
        </w:rPr>
      </w:pPr>
      <w:r w:rsidRPr="000E4EF4">
        <w:rPr>
          <w:rFonts w:ascii="Times New Roman" w:hAnsi="Times New Roman"/>
          <w:szCs w:val="24"/>
        </w:rPr>
        <w:t xml:space="preserve"> </w:t>
      </w:r>
      <w:r w:rsidR="00F21757" w:rsidRPr="000E4EF4">
        <w:rPr>
          <w:rFonts w:ascii="Times New Roman" w:hAnsi="Times New Roman"/>
          <w:szCs w:val="24"/>
        </w:rPr>
        <w:t xml:space="preserve">Faktoringo </w:t>
      </w:r>
      <w:r w:rsidR="005D516C" w:rsidRPr="000E4EF4">
        <w:rPr>
          <w:rFonts w:ascii="Times New Roman" w:hAnsi="Times New Roman"/>
          <w:szCs w:val="24"/>
        </w:rPr>
        <w:t>gavėjas neprieštaraus, kad duomenis</w:t>
      </w:r>
      <w:r w:rsidR="000C5F92" w:rsidRPr="000E4EF4">
        <w:rPr>
          <w:rFonts w:ascii="Times New Roman" w:hAnsi="Times New Roman"/>
          <w:szCs w:val="24"/>
        </w:rPr>
        <w:t xml:space="preserve"> </w:t>
      </w:r>
      <w:r w:rsidR="005D516C" w:rsidRPr="000E4EF4">
        <w:rPr>
          <w:rFonts w:ascii="Times New Roman" w:hAnsi="Times New Roman"/>
          <w:szCs w:val="24"/>
        </w:rPr>
        <w:t xml:space="preserve">apie </w:t>
      </w:r>
      <w:r w:rsidR="00F21757" w:rsidRPr="000E4EF4">
        <w:rPr>
          <w:rFonts w:ascii="Times New Roman" w:hAnsi="Times New Roman"/>
          <w:szCs w:val="24"/>
        </w:rPr>
        <w:t>Faktoringo sandorio</w:t>
      </w:r>
      <w:r w:rsidR="005D516C" w:rsidRPr="000E4EF4">
        <w:rPr>
          <w:rFonts w:ascii="Times New Roman" w:hAnsi="Times New Roman"/>
          <w:szCs w:val="24"/>
        </w:rPr>
        <w:t xml:space="preserve"> lėš</w:t>
      </w:r>
      <w:r w:rsidR="00765D6F" w:rsidRPr="000E4EF4">
        <w:rPr>
          <w:rFonts w:ascii="Times New Roman" w:hAnsi="Times New Roman"/>
          <w:szCs w:val="24"/>
        </w:rPr>
        <w:t>omis</w:t>
      </w:r>
      <w:r w:rsidR="005D516C" w:rsidRPr="000E4EF4">
        <w:rPr>
          <w:rFonts w:ascii="Times New Roman" w:hAnsi="Times New Roman"/>
          <w:szCs w:val="24"/>
        </w:rPr>
        <w:t xml:space="preserve"> įgyvendinamą ar įgyvendintą projektą</w:t>
      </w:r>
      <w:r w:rsidR="000C5F92" w:rsidRPr="000E4EF4">
        <w:rPr>
          <w:rFonts w:ascii="Times New Roman" w:hAnsi="Times New Roman"/>
          <w:szCs w:val="24"/>
        </w:rPr>
        <w:t xml:space="preserve"> (Faktoringo gavėjo pavadinimą, veiklą, Faktoringo limito sumą)</w:t>
      </w:r>
      <w:r w:rsidR="007F42AD" w:rsidRPr="000E4EF4">
        <w:rPr>
          <w:rFonts w:ascii="Times New Roman" w:hAnsi="Times New Roman"/>
          <w:szCs w:val="24"/>
        </w:rPr>
        <w:t xml:space="preserve"> </w:t>
      </w:r>
      <w:r w:rsidR="005D516C" w:rsidRPr="000E4EF4">
        <w:rPr>
          <w:rFonts w:ascii="Times New Roman" w:hAnsi="Times New Roman"/>
          <w:szCs w:val="24"/>
        </w:rPr>
        <w:t>„Invega“ naudos viešinimo tikslais;</w:t>
      </w:r>
    </w:p>
    <w:p w14:paraId="4E36D3F3" w14:textId="2CDCECA2" w:rsidR="00EB7A7B" w:rsidRPr="000E4EF4" w:rsidRDefault="00A741BF" w:rsidP="009B0EE1">
      <w:pPr>
        <w:numPr>
          <w:ilvl w:val="3"/>
          <w:numId w:val="5"/>
        </w:numPr>
        <w:tabs>
          <w:tab w:val="left" w:pos="851"/>
        </w:tabs>
        <w:spacing w:line="276" w:lineRule="auto"/>
        <w:ind w:left="-851" w:firstLine="851"/>
        <w:jc w:val="both"/>
        <w:rPr>
          <w:rFonts w:ascii="Times New Roman" w:hAnsi="Times New Roman"/>
          <w:szCs w:val="24"/>
        </w:rPr>
      </w:pPr>
      <w:r w:rsidRPr="000E4EF4">
        <w:rPr>
          <w:rFonts w:ascii="Times New Roman" w:hAnsi="Times New Roman"/>
          <w:szCs w:val="24"/>
        </w:rPr>
        <w:t xml:space="preserve"> </w:t>
      </w:r>
      <w:r w:rsidR="00F21757" w:rsidRPr="000E4EF4">
        <w:rPr>
          <w:rFonts w:ascii="Times New Roman" w:hAnsi="Times New Roman"/>
          <w:szCs w:val="24"/>
        </w:rPr>
        <w:t xml:space="preserve">Faktoringo </w:t>
      </w:r>
      <w:r w:rsidR="005D516C" w:rsidRPr="000E4EF4">
        <w:rPr>
          <w:rFonts w:ascii="Times New Roman" w:hAnsi="Times New Roman"/>
          <w:szCs w:val="24"/>
        </w:rPr>
        <w:t>gavėjas negali imtis jokių veiksmų ir negali priimti jokių sprendimų, prieštaraujančių nacionaliniams teisės aktams;</w:t>
      </w:r>
    </w:p>
    <w:p w14:paraId="3BF9C31E" w14:textId="326ECE15" w:rsidR="00550312" w:rsidRPr="00376CFB" w:rsidRDefault="00A741BF" w:rsidP="009B0EE1">
      <w:pPr>
        <w:numPr>
          <w:ilvl w:val="3"/>
          <w:numId w:val="5"/>
        </w:numPr>
        <w:tabs>
          <w:tab w:val="left" w:pos="851"/>
        </w:tabs>
        <w:spacing w:line="276" w:lineRule="auto"/>
        <w:ind w:left="-851" w:firstLine="851"/>
        <w:jc w:val="both"/>
        <w:rPr>
          <w:rFonts w:ascii="Times New Roman" w:hAnsi="Times New Roman"/>
          <w:szCs w:val="24"/>
        </w:rPr>
      </w:pPr>
      <w:r w:rsidRPr="000E4EF4">
        <w:rPr>
          <w:rFonts w:ascii="Times New Roman" w:hAnsi="Times New Roman"/>
          <w:szCs w:val="24"/>
        </w:rPr>
        <w:t xml:space="preserve"> </w:t>
      </w:r>
      <w:r w:rsidR="00F21757" w:rsidRPr="000E4EF4">
        <w:rPr>
          <w:rFonts w:ascii="Times New Roman" w:hAnsi="Times New Roman"/>
          <w:szCs w:val="24"/>
        </w:rPr>
        <w:t xml:space="preserve">Faktoringo </w:t>
      </w:r>
      <w:r w:rsidR="00677D8B" w:rsidRPr="000E4EF4">
        <w:rPr>
          <w:rFonts w:ascii="Times New Roman" w:hAnsi="Times New Roman"/>
          <w:szCs w:val="24"/>
        </w:rPr>
        <w:t>gavėjas įsipareigoj</w:t>
      </w:r>
      <w:r w:rsidR="00924261" w:rsidRPr="000E4EF4">
        <w:rPr>
          <w:rFonts w:ascii="Times New Roman" w:hAnsi="Times New Roman"/>
          <w:szCs w:val="24"/>
        </w:rPr>
        <w:t xml:space="preserve">a į savo patalpas įsileisti </w:t>
      </w:r>
      <w:r w:rsidR="00C17DB9" w:rsidRPr="000E4EF4">
        <w:rPr>
          <w:rFonts w:ascii="Times New Roman" w:hAnsi="Times New Roman"/>
          <w:szCs w:val="24"/>
        </w:rPr>
        <w:t>Audito</w:t>
      </w:r>
      <w:r w:rsidR="004659EF" w:rsidRPr="000E4EF4">
        <w:rPr>
          <w:rFonts w:ascii="Times New Roman" w:hAnsi="Times New Roman"/>
          <w:szCs w:val="24"/>
        </w:rPr>
        <w:t xml:space="preserve"> institucijų atstovus </w:t>
      </w:r>
      <w:r w:rsidR="00924261" w:rsidRPr="000E4EF4">
        <w:rPr>
          <w:rFonts w:ascii="Times New Roman" w:hAnsi="Times New Roman"/>
          <w:szCs w:val="24"/>
        </w:rPr>
        <w:t xml:space="preserve">ir </w:t>
      </w:r>
      <w:r w:rsidR="00924261" w:rsidRPr="00376CFB">
        <w:rPr>
          <w:rFonts w:ascii="Times New Roman" w:hAnsi="Times New Roman"/>
          <w:szCs w:val="24"/>
        </w:rPr>
        <w:t>leisti jiems susipažinti</w:t>
      </w:r>
      <w:r w:rsidR="002E3662" w:rsidRPr="00376CFB">
        <w:rPr>
          <w:rFonts w:ascii="Times New Roman" w:hAnsi="Times New Roman"/>
          <w:szCs w:val="24"/>
        </w:rPr>
        <w:t xml:space="preserve"> </w:t>
      </w:r>
      <w:r w:rsidR="001F27CD" w:rsidRPr="00376CFB">
        <w:rPr>
          <w:rFonts w:ascii="Times New Roman" w:hAnsi="Times New Roman"/>
          <w:szCs w:val="24"/>
        </w:rPr>
        <w:t xml:space="preserve">su </w:t>
      </w:r>
      <w:r w:rsidR="00ED4DA4" w:rsidRPr="00376CFB">
        <w:rPr>
          <w:rFonts w:ascii="Times New Roman" w:hAnsi="Times New Roman"/>
          <w:szCs w:val="24"/>
        </w:rPr>
        <w:t>dokumentais ir informacija,</w:t>
      </w:r>
      <w:r w:rsidR="00924261" w:rsidRPr="00376CFB">
        <w:rPr>
          <w:rFonts w:ascii="Times New Roman" w:hAnsi="Times New Roman"/>
          <w:szCs w:val="24"/>
        </w:rPr>
        <w:t xml:space="preserve"> susijusia</w:t>
      </w:r>
      <w:r w:rsidR="006E3EA4" w:rsidRPr="00376CFB">
        <w:rPr>
          <w:rFonts w:ascii="Times New Roman" w:hAnsi="Times New Roman"/>
          <w:szCs w:val="24"/>
        </w:rPr>
        <w:t>is</w:t>
      </w:r>
      <w:r w:rsidR="00924261" w:rsidRPr="00376CFB">
        <w:rPr>
          <w:rFonts w:ascii="Times New Roman" w:hAnsi="Times New Roman"/>
          <w:szCs w:val="24"/>
        </w:rPr>
        <w:t xml:space="preserve"> su </w:t>
      </w:r>
      <w:r w:rsidR="00F21757" w:rsidRPr="00376CFB">
        <w:rPr>
          <w:rFonts w:ascii="Times New Roman" w:hAnsi="Times New Roman"/>
          <w:szCs w:val="24"/>
        </w:rPr>
        <w:t>Faktoringo sandorio</w:t>
      </w:r>
      <w:r w:rsidR="00924261" w:rsidRPr="00376CFB">
        <w:rPr>
          <w:rFonts w:ascii="Times New Roman" w:hAnsi="Times New Roman"/>
          <w:szCs w:val="24"/>
        </w:rPr>
        <w:t xml:space="preserve"> </w:t>
      </w:r>
      <w:r w:rsidR="00573232" w:rsidRPr="00376CFB">
        <w:rPr>
          <w:rFonts w:ascii="Times New Roman" w:hAnsi="Times New Roman"/>
          <w:szCs w:val="24"/>
        </w:rPr>
        <w:t>pa</w:t>
      </w:r>
      <w:r w:rsidR="00924261" w:rsidRPr="00376CFB">
        <w:rPr>
          <w:rFonts w:ascii="Times New Roman" w:hAnsi="Times New Roman"/>
          <w:szCs w:val="24"/>
        </w:rPr>
        <w:t>naudojimu</w:t>
      </w:r>
      <w:r w:rsidR="006E3EA4" w:rsidRPr="00376CFB">
        <w:rPr>
          <w:rFonts w:ascii="Times New Roman" w:hAnsi="Times New Roman"/>
          <w:szCs w:val="24"/>
        </w:rPr>
        <w:t>,</w:t>
      </w:r>
      <w:r w:rsidR="00FD432D" w:rsidRPr="00376CFB">
        <w:rPr>
          <w:rFonts w:ascii="Times New Roman" w:hAnsi="Times New Roman"/>
          <w:szCs w:val="24"/>
        </w:rPr>
        <w:t xml:space="preserve"> bei </w:t>
      </w:r>
      <w:r w:rsidR="006E3EA4" w:rsidRPr="00376CFB">
        <w:rPr>
          <w:rFonts w:ascii="Times New Roman" w:hAnsi="Times New Roman"/>
          <w:szCs w:val="24"/>
        </w:rPr>
        <w:t xml:space="preserve">leisti jiems </w:t>
      </w:r>
      <w:r w:rsidR="00FD432D" w:rsidRPr="00376CFB">
        <w:rPr>
          <w:rFonts w:ascii="Times New Roman" w:hAnsi="Times New Roman"/>
          <w:szCs w:val="24"/>
        </w:rPr>
        <w:t>atlikti kitus patikrinimus</w:t>
      </w:r>
      <w:r w:rsidR="00924261" w:rsidRPr="00376CFB">
        <w:rPr>
          <w:rFonts w:ascii="Times New Roman" w:hAnsi="Times New Roman"/>
          <w:szCs w:val="24"/>
        </w:rPr>
        <w:t>;</w:t>
      </w:r>
    </w:p>
    <w:p w14:paraId="1A8E7AFF" w14:textId="774E6851" w:rsidR="00550312" w:rsidRDefault="00A741BF" w:rsidP="009B0EE1">
      <w:pPr>
        <w:numPr>
          <w:ilvl w:val="3"/>
          <w:numId w:val="5"/>
        </w:numPr>
        <w:tabs>
          <w:tab w:val="left" w:pos="851"/>
        </w:tabs>
        <w:spacing w:line="276" w:lineRule="auto"/>
        <w:ind w:left="-851" w:firstLine="851"/>
        <w:jc w:val="both"/>
        <w:rPr>
          <w:rFonts w:ascii="Times New Roman" w:hAnsi="Times New Roman"/>
          <w:szCs w:val="24"/>
        </w:rPr>
      </w:pPr>
      <w:r w:rsidRPr="00376CFB">
        <w:rPr>
          <w:rFonts w:ascii="Times New Roman" w:hAnsi="Times New Roman"/>
          <w:szCs w:val="24"/>
        </w:rPr>
        <w:t xml:space="preserve"> </w:t>
      </w:r>
      <w:r w:rsidR="00600CF5" w:rsidRPr="00376CFB">
        <w:rPr>
          <w:rFonts w:ascii="Times New Roman" w:hAnsi="Times New Roman"/>
          <w:szCs w:val="24"/>
        </w:rPr>
        <w:t>P</w:t>
      </w:r>
      <w:r w:rsidR="0082539D" w:rsidRPr="00376CFB">
        <w:rPr>
          <w:rFonts w:ascii="Times New Roman" w:hAnsi="Times New Roman"/>
          <w:szCs w:val="24"/>
        </w:rPr>
        <w:t>ortfelinė</w:t>
      </w:r>
      <w:r w:rsidR="00600CF5" w:rsidRPr="00376CFB">
        <w:rPr>
          <w:rFonts w:ascii="Times New Roman" w:hAnsi="Times New Roman"/>
          <w:szCs w:val="24"/>
        </w:rPr>
        <w:t xml:space="preserve"> garantija, suteikiama </w:t>
      </w:r>
      <w:r w:rsidR="00BE1664" w:rsidRPr="00376CFB">
        <w:rPr>
          <w:rFonts w:ascii="Times New Roman" w:hAnsi="Times New Roman"/>
          <w:szCs w:val="24"/>
        </w:rPr>
        <w:t>Faktoringo sandori</w:t>
      </w:r>
      <w:r w:rsidR="00765D6F" w:rsidRPr="00376CFB">
        <w:rPr>
          <w:rFonts w:ascii="Times New Roman" w:hAnsi="Times New Roman"/>
          <w:szCs w:val="24"/>
        </w:rPr>
        <w:t>u</w:t>
      </w:r>
      <w:r w:rsidR="00863CCE" w:rsidRPr="00376CFB">
        <w:rPr>
          <w:rFonts w:ascii="Times New Roman" w:hAnsi="Times New Roman"/>
          <w:szCs w:val="24"/>
        </w:rPr>
        <w:t>i</w:t>
      </w:r>
      <w:r w:rsidR="00600CF5" w:rsidRPr="00376CFB">
        <w:rPr>
          <w:rFonts w:ascii="Times New Roman" w:hAnsi="Times New Roman"/>
          <w:szCs w:val="24"/>
        </w:rPr>
        <w:t xml:space="preserve">, nėra </w:t>
      </w:r>
      <w:r w:rsidR="00F21757" w:rsidRPr="00376CFB">
        <w:rPr>
          <w:rFonts w:ascii="Times New Roman" w:hAnsi="Times New Roman"/>
          <w:szCs w:val="24"/>
        </w:rPr>
        <w:t xml:space="preserve">Faktoringo </w:t>
      </w:r>
      <w:r w:rsidR="00863CCE" w:rsidRPr="00376CFB">
        <w:rPr>
          <w:rFonts w:ascii="Times New Roman" w:hAnsi="Times New Roman"/>
          <w:szCs w:val="24"/>
        </w:rPr>
        <w:t xml:space="preserve">gavėjo </w:t>
      </w:r>
      <w:r w:rsidR="00600CF5" w:rsidRPr="00376CFB">
        <w:rPr>
          <w:rFonts w:ascii="Times New Roman" w:hAnsi="Times New Roman"/>
          <w:szCs w:val="24"/>
        </w:rPr>
        <w:t xml:space="preserve">prievolių </w:t>
      </w:r>
      <w:r w:rsidR="007D2341" w:rsidRPr="00376CFB">
        <w:rPr>
          <w:rFonts w:ascii="Times New Roman" w:hAnsi="Times New Roman"/>
          <w:szCs w:val="24"/>
        </w:rPr>
        <w:t xml:space="preserve">įvykdymo </w:t>
      </w:r>
      <w:r w:rsidR="00600CF5" w:rsidRPr="00376CFB">
        <w:rPr>
          <w:rFonts w:ascii="Times New Roman" w:hAnsi="Times New Roman"/>
          <w:szCs w:val="24"/>
        </w:rPr>
        <w:t xml:space="preserve">užtikrinimo garantija Lietuvos Respublikos civilinio kodekso 6.90 straipsnio prasme. </w:t>
      </w:r>
      <w:r w:rsidR="0082539D" w:rsidRPr="00376CFB">
        <w:rPr>
          <w:rFonts w:ascii="Times New Roman" w:hAnsi="Times New Roman"/>
          <w:szCs w:val="24"/>
        </w:rPr>
        <w:t xml:space="preserve">Portfelinės </w:t>
      </w:r>
      <w:r w:rsidR="00600CF5" w:rsidRPr="00376CFB">
        <w:rPr>
          <w:rFonts w:ascii="Times New Roman" w:hAnsi="Times New Roman"/>
          <w:szCs w:val="24"/>
        </w:rPr>
        <w:t>garantijos suteikimas ir panaudojimas nekeičia</w:t>
      </w:r>
      <w:r w:rsidR="00863CCE" w:rsidRPr="00376CFB">
        <w:rPr>
          <w:rFonts w:ascii="Times New Roman" w:hAnsi="Times New Roman"/>
          <w:szCs w:val="24"/>
        </w:rPr>
        <w:t xml:space="preserve"> </w:t>
      </w:r>
      <w:r w:rsidR="00F21757" w:rsidRPr="00376CFB">
        <w:rPr>
          <w:rFonts w:ascii="Times New Roman" w:hAnsi="Times New Roman"/>
          <w:szCs w:val="24"/>
        </w:rPr>
        <w:t xml:space="preserve">Faktoringo </w:t>
      </w:r>
      <w:r w:rsidR="00863CCE" w:rsidRPr="00376CFB">
        <w:rPr>
          <w:rFonts w:ascii="Times New Roman" w:hAnsi="Times New Roman"/>
          <w:szCs w:val="24"/>
        </w:rPr>
        <w:t>gavėjo</w:t>
      </w:r>
      <w:r w:rsidR="00600CF5" w:rsidRPr="00376CFB">
        <w:rPr>
          <w:rFonts w:ascii="Times New Roman" w:hAnsi="Times New Roman"/>
          <w:szCs w:val="24"/>
        </w:rPr>
        <w:t xml:space="preserve"> prievolių </w:t>
      </w:r>
      <w:r w:rsidR="0076613C" w:rsidRPr="00376CFB">
        <w:rPr>
          <w:rFonts w:ascii="Times New Roman" w:hAnsi="Times New Roman"/>
          <w:szCs w:val="24"/>
        </w:rPr>
        <w:t>PGF2</w:t>
      </w:r>
      <w:r w:rsidR="0076613C">
        <w:rPr>
          <w:rFonts w:ascii="Times New Roman" w:hAnsi="Times New Roman"/>
          <w:szCs w:val="24"/>
        </w:rPr>
        <w:t> </w:t>
      </w:r>
      <w:r w:rsidR="00600CF5" w:rsidRPr="00376CFB">
        <w:rPr>
          <w:rFonts w:ascii="Times New Roman" w:hAnsi="Times New Roman"/>
          <w:szCs w:val="24"/>
        </w:rPr>
        <w:t>priemonės valdytojui apimties, turinio ir vykdymo sąlygų</w:t>
      </w:r>
      <w:r w:rsidR="0076613C">
        <w:rPr>
          <w:rFonts w:ascii="Times New Roman" w:hAnsi="Times New Roman"/>
          <w:szCs w:val="24"/>
        </w:rPr>
        <w:t>,</w:t>
      </w:r>
      <w:r w:rsidR="00600CF5" w:rsidRPr="00376CFB">
        <w:rPr>
          <w:rFonts w:ascii="Times New Roman" w:hAnsi="Times New Roman"/>
          <w:szCs w:val="24"/>
        </w:rPr>
        <w:t xml:space="preserve"> t. y. </w:t>
      </w:r>
      <w:r w:rsidR="00C51F33" w:rsidRPr="00376CFB">
        <w:rPr>
          <w:rFonts w:ascii="Times New Roman" w:hAnsi="Times New Roman"/>
          <w:szCs w:val="24"/>
        </w:rPr>
        <w:t>PGF</w:t>
      </w:r>
      <w:r w:rsidR="00376CFB" w:rsidRPr="00376CFB">
        <w:rPr>
          <w:rFonts w:ascii="Times New Roman" w:hAnsi="Times New Roman"/>
          <w:szCs w:val="24"/>
        </w:rPr>
        <w:t>2</w:t>
      </w:r>
      <w:r w:rsidR="00600CF5" w:rsidRPr="00376CFB">
        <w:rPr>
          <w:rFonts w:ascii="Times New Roman" w:hAnsi="Times New Roman"/>
          <w:szCs w:val="24"/>
        </w:rPr>
        <w:t xml:space="preserve"> priemonės valdytojas vykdy</w:t>
      </w:r>
      <w:r w:rsidR="00A9119A" w:rsidRPr="00376CFB">
        <w:rPr>
          <w:rFonts w:ascii="Times New Roman" w:hAnsi="Times New Roman"/>
          <w:szCs w:val="24"/>
        </w:rPr>
        <w:t>s</w:t>
      </w:r>
      <w:r w:rsidR="00600CF5" w:rsidRPr="00376CFB">
        <w:rPr>
          <w:rFonts w:ascii="Times New Roman" w:hAnsi="Times New Roman"/>
          <w:szCs w:val="24"/>
        </w:rPr>
        <w:t xml:space="preserve"> skolos </w:t>
      </w:r>
      <w:r w:rsidR="00600CF5" w:rsidRPr="008F6A48">
        <w:rPr>
          <w:rFonts w:ascii="Times New Roman" w:hAnsi="Times New Roman"/>
          <w:szCs w:val="24"/>
        </w:rPr>
        <w:t xml:space="preserve">pagal visą </w:t>
      </w:r>
      <w:r w:rsidR="00013C53" w:rsidRPr="008F6A48">
        <w:rPr>
          <w:rFonts w:ascii="Times New Roman" w:hAnsi="Times New Roman"/>
          <w:szCs w:val="24"/>
        </w:rPr>
        <w:t>Faktoringo sandorį</w:t>
      </w:r>
      <w:r w:rsidR="00600CF5" w:rsidRPr="008F6A48">
        <w:rPr>
          <w:rFonts w:ascii="Times New Roman" w:hAnsi="Times New Roman"/>
          <w:szCs w:val="24"/>
        </w:rPr>
        <w:t>, už kur</w:t>
      </w:r>
      <w:r w:rsidR="00942BD3" w:rsidRPr="008F6A48">
        <w:rPr>
          <w:rFonts w:ascii="Times New Roman" w:hAnsi="Times New Roman"/>
          <w:szCs w:val="24"/>
        </w:rPr>
        <w:t>į</w:t>
      </w:r>
      <w:r w:rsidR="00600CF5" w:rsidRPr="008F6A48">
        <w:rPr>
          <w:rFonts w:ascii="Times New Roman" w:hAnsi="Times New Roman"/>
          <w:szCs w:val="24"/>
        </w:rPr>
        <w:t xml:space="preserve"> </w:t>
      </w:r>
      <w:r w:rsidR="00942BD3" w:rsidRPr="008F6A48">
        <w:rPr>
          <w:rFonts w:ascii="Times New Roman" w:hAnsi="Times New Roman"/>
          <w:szCs w:val="24"/>
        </w:rPr>
        <w:t>su</w:t>
      </w:r>
      <w:r w:rsidR="00600CF5" w:rsidRPr="008F6A48">
        <w:rPr>
          <w:rFonts w:ascii="Times New Roman" w:hAnsi="Times New Roman"/>
          <w:szCs w:val="24"/>
        </w:rPr>
        <w:t xml:space="preserve">mokėta Garantijos išmoka, išieškojimo iš </w:t>
      </w:r>
      <w:r w:rsidR="00F21757" w:rsidRPr="008F6A48">
        <w:rPr>
          <w:rFonts w:ascii="Times New Roman" w:hAnsi="Times New Roman"/>
          <w:szCs w:val="24"/>
        </w:rPr>
        <w:t xml:space="preserve">Faktoringo </w:t>
      </w:r>
      <w:r w:rsidR="00863CCE" w:rsidRPr="008F6A48">
        <w:rPr>
          <w:rFonts w:ascii="Times New Roman" w:hAnsi="Times New Roman"/>
          <w:szCs w:val="24"/>
        </w:rPr>
        <w:t>gavėjo</w:t>
      </w:r>
      <w:r w:rsidR="002C3CD8" w:rsidRPr="008F6A48">
        <w:rPr>
          <w:rFonts w:ascii="Times New Roman" w:hAnsi="Times New Roman"/>
          <w:szCs w:val="24"/>
        </w:rPr>
        <w:t xml:space="preserve"> veiksmus</w:t>
      </w:r>
      <w:r w:rsidR="0082539D" w:rsidRPr="008F6A48">
        <w:rPr>
          <w:rFonts w:ascii="Times New Roman" w:hAnsi="Times New Roman"/>
          <w:szCs w:val="24"/>
        </w:rPr>
        <w:t>;</w:t>
      </w:r>
    </w:p>
    <w:p w14:paraId="284A3EF2" w14:textId="2C88325A" w:rsidR="0075321D" w:rsidRPr="008F6A48" w:rsidRDefault="0076613C" w:rsidP="009B0EE1">
      <w:pPr>
        <w:numPr>
          <w:ilvl w:val="3"/>
          <w:numId w:val="5"/>
        </w:numPr>
        <w:tabs>
          <w:tab w:val="left" w:pos="851"/>
        </w:tabs>
        <w:spacing w:line="276" w:lineRule="auto"/>
        <w:ind w:left="-851" w:firstLine="851"/>
        <w:jc w:val="both"/>
        <w:rPr>
          <w:rFonts w:ascii="Times New Roman" w:hAnsi="Times New Roman"/>
          <w:szCs w:val="24"/>
        </w:rPr>
      </w:pPr>
      <w:r>
        <w:rPr>
          <w:rFonts w:ascii="Times New Roman" w:eastAsia="Calibri" w:hAnsi="Times New Roman"/>
          <w:szCs w:val="24"/>
        </w:rPr>
        <w:t xml:space="preserve">vykdyti </w:t>
      </w:r>
      <w:r w:rsidR="0075321D" w:rsidRPr="005E506E">
        <w:rPr>
          <w:rFonts w:ascii="Times New Roman" w:eastAsia="Calibri" w:hAnsi="Times New Roman"/>
          <w:szCs w:val="24"/>
        </w:rPr>
        <w:t>kit</w:t>
      </w:r>
      <w:r>
        <w:rPr>
          <w:rFonts w:ascii="Times New Roman" w:eastAsia="Calibri" w:hAnsi="Times New Roman"/>
          <w:szCs w:val="24"/>
        </w:rPr>
        <w:t>us</w:t>
      </w:r>
      <w:r w:rsidR="0075321D" w:rsidRPr="005E506E">
        <w:rPr>
          <w:rFonts w:ascii="Times New Roman" w:eastAsia="Calibri" w:hAnsi="Times New Roman"/>
          <w:szCs w:val="24"/>
        </w:rPr>
        <w:t xml:space="preserve"> įsipareigojim</w:t>
      </w:r>
      <w:r>
        <w:rPr>
          <w:rFonts w:ascii="Times New Roman" w:eastAsia="Calibri" w:hAnsi="Times New Roman"/>
          <w:szCs w:val="24"/>
        </w:rPr>
        <w:t>us</w:t>
      </w:r>
      <w:r w:rsidR="0075321D" w:rsidRPr="005E506E">
        <w:rPr>
          <w:rFonts w:ascii="Times New Roman" w:eastAsia="Calibri" w:hAnsi="Times New Roman"/>
          <w:szCs w:val="24"/>
        </w:rPr>
        <w:t>, kylan</w:t>
      </w:r>
      <w:r>
        <w:rPr>
          <w:rFonts w:ascii="Times New Roman" w:eastAsia="Calibri" w:hAnsi="Times New Roman"/>
          <w:szCs w:val="24"/>
        </w:rPr>
        <w:t>čius</w:t>
      </w:r>
      <w:r w:rsidR="0075321D" w:rsidRPr="005E506E">
        <w:rPr>
          <w:rFonts w:ascii="Times New Roman" w:eastAsia="Calibri" w:hAnsi="Times New Roman"/>
          <w:szCs w:val="24"/>
        </w:rPr>
        <w:t xml:space="preserve"> iš PGF2 priemonės įgyvendinimo sąlygų, nustatytų Apraše.</w:t>
      </w:r>
    </w:p>
    <w:p w14:paraId="23CB374E" w14:textId="37B22EEC" w:rsidR="004F6A05" w:rsidRPr="008F6A48" w:rsidRDefault="00A741BF" w:rsidP="009B0EE1">
      <w:pPr>
        <w:pStyle w:val="NormalWeb"/>
        <w:numPr>
          <w:ilvl w:val="2"/>
          <w:numId w:val="5"/>
        </w:numPr>
        <w:tabs>
          <w:tab w:val="left" w:pos="142"/>
          <w:tab w:val="left" w:pos="426"/>
          <w:tab w:val="left" w:pos="709"/>
        </w:tabs>
        <w:spacing w:line="276" w:lineRule="auto"/>
        <w:ind w:left="-851" w:firstLine="851"/>
        <w:jc w:val="both"/>
        <w:rPr>
          <w:lang w:val="lt-LT"/>
        </w:rPr>
      </w:pPr>
      <w:r w:rsidRPr="008F6A48">
        <w:rPr>
          <w:lang w:val="lt-LT"/>
        </w:rPr>
        <w:t xml:space="preserve"> </w:t>
      </w:r>
      <w:r w:rsidR="004F6A05" w:rsidRPr="008F6A48">
        <w:rPr>
          <w:lang w:val="lt-LT"/>
        </w:rPr>
        <w:t>Faktoringo gavėjas turi veikti Lietuvos Respublikoje. MVĮ laikomas veikiančiu Lietuvos Respublikoje tuo atveju, jei jis kuria darbo vietas Lietuvos Respublikoje ir (arba) nuo savo vykdomos veiklos moka mokesčius arba Valstybinio socialinio draudimo fondo valdybos prie Socialinės apsaugos ir darbo ministerijos įmokas į Lietuvos Respublikos biudžetą;</w:t>
      </w:r>
    </w:p>
    <w:p w14:paraId="56F98A03" w14:textId="62DD1BE2" w:rsidR="00550312" w:rsidRPr="008F6A48" w:rsidRDefault="00C51F33" w:rsidP="009B0EE1">
      <w:pPr>
        <w:numPr>
          <w:ilvl w:val="2"/>
          <w:numId w:val="5"/>
        </w:numPr>
        <w:tabs>
          <w:tab w:val="left" w:pos="851"/>
        </w:tabs>
        <w:spacing w:line="276" w:lineRule="auto"/>
        <w:ind w:left="-851" w:firstLine="851"/>
        <w:jc w:val="both"/>
        <w:rPr>
          <w:rFonts w:ascii="Times New Roman" w:hAnsi="Times New Roman"/>
          <w:caps/>
          <w:szCs w:val="24"/>
        </w:rPr>
      </w:pPr>
      <w:r w:rsidRPr="008F6A48">
        <w:rPr>
          <w:rFonts w:ascii="Times New Roman" w:hAnsi="Times New Roman"/>
          <w:szCs w:val="24"/>
        </w:rPr>
        <w:t>PGF</w:t>
      </w:r>
      <w:r w:rsidR="008F6A48" w:rsidRPr="008F6A48">
        <w:rPr>
          <w:rFonts w:ascii="Times New Roman" w:hAnsi="Times New Roman"/>
          <w:szCs w:val="24"/>
        </w:rPr>
        <w:t>2</w:t>
      </w:r>
      <w:r w:rsidR="009C0181" w:rsidRPr="008F6A48">
        <w:rPr>
          <w:rFonts w:ascii="Times New Roman" w:hAnsi="Times New Roman"/>
          <w:szCs w:val="24"/>
        </w:rPr>
        <w:t xml:space="preserve"> priemonės valdytoj</w:t>
      </w:r>
      <w:r w:rsidR="009D4518" w:rsidRPr="008F6A48">
        <w:rPr>
          <w:rFonts w:ascii="Times New Roman" w:hAnsi="Times New Roman"/>
          <w:szCs w:val="24"/>
        </w:rPr>
        <w:t>ui</w:t>
      </w:r>
      <w:r w:rsidR="00677D8B" w:rsidRPr="008F6A48">
        <w:rPr>
          <w:rFonts w:ascii="Times New Roman" w:hAnsi="Times New Roman"/>
          <w:szCs w:val="24"/>
        </w:rPr>
        <w:t xml:space="preserve"> </w:t>
      </w:r>
      <w:r w:rsidR="00677D8B" w:rsidRPr="008F6A48">
        <w:rPr>
          <w:rFonts w:ascii="Times New Roman" w:hAnsi="Times New Roman"/>
          <w:szCs w:val="24"/>
          <w:lang w:eastAsia="lt-LT"/>
        </w:rPr>
        <w:t>dėl savo kaltės</w:t>
      </w:r>
      <w:r w:rsidR="009D0FD1" w:rsidRPr="008F6A48">
        <w:rPr>
          <w:rFonts w:ascii="Times New Roman" w:hAnsi="Times New Roman"/>
          <w:szCs w:val="24"/>
        </w:rPr>
        <w:t xml:space="preserve"> </w:t>
      </w:r>
      <w:r w:rsidR="009D4518" w:rsidRPr="008F6A48">
        <w:rPr>
          <w:rFonts w:ascii="Times New Roman" w:hAnsi="Times New Roman"/>
          <w:szCs w:val="24"/>
        </w:rPr>
        <w:t xml:space="preserve">laiku </w:t>
      </w:r>
      <w:r w:rsidR="009D0FD1" w:rsidRPr="008F6A48">
        <w:rPr>
          <w:rFonts w:ascii="Times New Roman" w:hAnsi="Times New Roman"/>
          <w:szCs w:val="24"/>
        </w:rPr>
        <w:t>neįvykd</w:t>
      </w:r>
      <w:r w:rsidR="009D4518" w:rsidRPr="008F6A48">
        <w:rPr>
          <w:rFonts w:ascii="Times New Roman" w:hAnsi="Times New Roman"/>
          <w:szCs w:val="24"/>
        </w:rPr>
        <w:t>žius</w:t>
      </w:r>
      <w:r w:rsidR="009D0FD1" w:rsidRPr="008F6A48">
        <w:rPr>
          <w:rFonts w:ascii="Times New Roman" w:hAnsi="Times New Roman"/>
          <w:szCs w:val="24"/>
        </w:rPr>
        <w:t xml:space="preserve"> ar netinkamai įvykd</w:t>
      </w:r>
      <w:r w:rsidR="009D4518" w:rsidRPr="008F6A48">
        <w:rPr>
          <w:rFonts w:ascii="Times New Roman" w:hAnsi="Times New Roman"/>
          <w:szCs w:val="24"/>
        </w:rPr>
        <w:t>žius</w:t>
      </w:r>
      <w:r w:rsidR="009D0FD1" w:rsidRPr="008F6A48">
        <w:rPr>
          <w:rFonts w:ascii="Times New Roman" w:hAnsi="Times New Roman"/>
          <w:szCs w:val="24"/>
        </w:rPr>
        <w:t xml:space="preserve"> Sutartyje nustatytus įsipareigojimus, kurie gali turėti esminės įtakos </w:t>
      </w:r>
      <w:r w:rsidR="00F45231" w:rsidRPr="008F6A48">
        <w:rPr>
          <w:rFonts w:ascii="Times New Roman" w:hAnsi="Times New Roman"/>
          <w:szCs w:val="24"/>
        </w:rPr>
        <w:t>PGF2</w:t>
      </w:r>
      <w:r w:rsidR="00F45231">
        <w:rPr>
          <w:rFonts w:ascii="Times New Roman" w:hAnsi="Times New Roman"/>
          <w:szCs w:val="24"/>
        </w:rPr>
        <w:t> </w:t>
      </w:r>
      <w:r w:rsidR="009D0FD1" w:rsidRPr="008F6A48">
        <w:rPr>
          <w:rFonts w:ascii="Times New Roman" w:hAnsi="Times New Roman"/>
          <w:szCs w:val="24"/>
        </w:rPr>
        <w:t>priemonės įgyvendinimui</w:t>
      </w:r>
      <w:r w:rsidR="00631298" w:rsidRPr="008F6A48">
        <w:rPr>
          <w:rFonts w:ascii="Times New Roman" w:hAnsi="Times New Roman"/>
          <w:szCs w:val="24"/>
        </w:rPr>
        <w:t>,</w:t>
      </w:r>
      <w:r w:rsidR="009D0FD1" w:rsidRPr="008F6A48">
        <w:rPr>
          <w:rFonts w:ascii="Times New Roman" w:hAnsi="Times New Roman"/>
          <w:szCs w:val="24"/>
        </w:rPr>
        <w:t xml:space="preserve"> </w:t>
      </w:r>
      <w:r w:rsidR="009D4518" w:rsidRPr="008F6A48">
        <w:rPr>
          <w:rFonts w:ascii="Times New Roman" w:hAnsi="Times New Roman"/>
          <w:szCs w:val="24"/>
        </w:rPr>
        <w:t xml:space="preserve">ir </w:t>
      </w:r>
      <w:r w:rsidR="009D0FD1" w:rsidRPr="008F6A48">
        <w:rPr>
          <w:rFonts w:ascii="Times New Roman" w:hAnsi="Times New Roman"/>
          <w:szCs w:val="24"/>
        </w:rPr>
        <w:t>„Invega</w:t>
      </w:r>
      <w:r w:rsidR="00DF2B5C" w:rsidRPr="008F6A48">
        <w:rPr>
          <w:rFonts w:ascii="Times New Roman" w:hAnsi="Times New Roman"/>
          <w:szCs w:val="24"/>
        </w:rPr>
        <w:t>i</w:t>
      </w:r>
      <w:r w:rsidR="009D0FD1" w:rsidRPr="008F6A48">
        <w:rPr>
          <w:rFonts w:ascii="Times New Roman" w:hAnsi="Times New Roman"/>
          <w:szCs w:val="24"/>
        </w:rPr>
        <w:t>“ pareikalavus</w:t>
      </w:r>
      <w:r w:rsidR="00631298" w:rsidRPr="008F6A48">
        <w:rPr>
          <w:rFonts w:ascii="Times New Roman" w:hAnsi="Times New Roman"/>
          <w:szCs w:val="24"/>
        </w:rPr>
        <w:t>,</w:t>
      </w:r>
      <w:r w:rsidR="009D0FD1" w:rsidRPr="008F6A48">
        <w:rPr>
          <w:rFonts w:ascii="Times New Roman" w:hAnsi="Times New Roman"/>
          <w:szCs w:val="24"/>
        </w:rPr>
        <w:t xml:space="preserve"> sumokėti iki 10 000 (dešimt</w:t>
      </w:r>
      <w:r w:rsidR="009D4518" w:rsidRPr="008F6A48">
        <w:rPr>
          <w:rFonts w:ascii="Times New Roman" w:hAnsi="Times New Roman"/>
          <w:szCs w:val="24"/>
        </w:rPr>
        <w:t>ies</w:t>
      </w:r>
      <w:r w:rsidR="009D0FD1" w:rsidRPr="008F6A48">
        <w:rPr>
          <w:rFonts w:ascii="Times New Roman" w:hAnsi="Times New Roman"/>
          <w:szCs w:val="24"/>
        </w:rPr>
        <w:t xml:space="preserve"> tūkstančių</w:t>
      </w:r>
      <w:r w:rsidR="00F45231" w:rsidRPr="008F6A48">
        <w:rPr>
          <w:rFonts w:ascii="Times New Roman" w:hAnsi="Times New Roman"/>
          <w:szCs w:val="24"/>
        </w:rPr>
        <w:t>)</w:t>
      </w:r>
      <w:r w:rsidR="00F45231">
        <w:rPr>
          <w:rFonts w:ascii="Times New Roman" w:hAnsi="Times New Roman"/>
          <w:szCs w:val="24"/>
        </w:rPr>
        <w:t> </w:t>
      </w:r>
      <w:r w:rsidR="00A741BF" w:rsidRPr="008F6A48">
        <w:rPr>
          <w:rFonts w:ascii="Times New Roman" w:hAnsi="Times New Roman"/>
          <w:szCs w:val="24"/>
        </w:rPr>
        <w:t xml:space="preserve">EUR </w:t>
      </w:r>
      <w:r w:rsidR="009D0FD1" w:rsidRPr="008F6A48">
        <w:rPr>
          <w:rFonts w:ascii="Times New Roman" w:hAnsi="Times New Roman"/>
          <w:szCs w:val="24"/>
        </w:rPr>
        <w:t xml:space="preserve">dydžio baudą </w:t>
      </w:r>
      <w:r w:rsidR="00A741BF" w:rsidRPr="008F6A48">
        <w:rPr>
          <w:rFonts w:ascii="Times New Roman" w:hAnsi="Times New Roman"/>
          <w:szCs w:val="24"/>
        </w:rPr>
        <w:t xml:space="preserve">ir </w:t>
      </w:r>
      <w:r w:rsidR="009D0FD1" w:rsidRPr="008F6A48">
        <w:rPr>
          <w:rFonts w:ascii="Times New Roman" w:hAnsi="Times New Roman"/>
          <w:szCs w:val="24"/>
        </w:rPr>
        <w:t xml:space="preserve">atlyginti „Invegos“ patirtus </w:t>
      </w:r>
      <w:r w:rsidR="00BF3190" w:rsidRPr="008F6A48">
        <w:rPr>
          <w:rFonts w:ascii="Times New Roman" w:hAnsi="Times New Roman"/>
          <w:szCs w:val="24"/>
        </w:rPr>
        <w:t xml:space="preserve">tiesioginius </w:t>
      </w:r>
      <w:r w:rsidR="009D0FD1" w:rsidRPr="008F6A48">
        <w:rPr>
          <w:rFonts w:ascii="Times New Roman" w:hAnsi="Times New Roman"/>
          <w:szCs w:val="24"/>
        </w:rPr>
        <w:t>nuostolius, susijusius su įsipareigojimų</w:t>
      </w:r>
      <w:r w:rsidR="009D4518" w:rsidRPr="008F6A48">
        <w:rPr>
          <w:rFonts w:ascii="Times New Roman" w:hAnsi="Times New Roman"/>
          <w:szCs w:val="24"/>
        </w:rPr>
        <w:t xml:space="preserve"> pagal Sutartį</w:t>
      </w:r>
      <w:r w:rsidR="009D0FD1" w:rsidRPr="008F6A48">
        <w:rPr>
          <w:rFonts w:ascii="Times New Roman" w:hAnsi="Times New Roman"/>
          <w:szCs w:val="24"/>
        </w:rPr>
        <w:t xml:space="preserve"> nevykdymu ar netinkamu vykdymu. Sprendimas taikyti baudą </w:t>
      </w:r>
      <w:r w:rsidR="00A741BF" w:rsidRPr="008F6A48">
        <w:rPr>
          <w:rFonts w:ascii="Times New Roman" w:hAnsi="Times New Roman"/>
          <w:szCs w:val="24"/>
        </w:rPr>
        <w:t>ir</w:t>
      </w:r>
      <w:r w:rsidR="009D0FD1" w:rsidRPr="008F6A48">
        <w:rPr>
          <w:rFonts w:ascii="Times New Roman" w:hAnsi="Times New Roman"/>
          <w:szCs w:val="24"/>
        </w:rPr>
        <w:t xml:space="preserve"> taikomos baudos dydis turi būti proporcingi padarytam </w:t>
      </w:r>
      <w:r w:rsidR="00765D6F" w:rsidRPr="008F6A48">
        <w:rPr>
          <w:rFonts w:ascii="Times New Roman" w:hAnsi="Times New Roman"/>
          <w:szCs w:val="24"/>
        </w:rPr>
        <w:t>pažeidimui</w:t>
      </w:r>
      <w:r w:rsidR="009D0FD1" w:rsidRPr="008F6A48">
        <w:rPr>
          <w:rFonts w:ascii="Times New Roman" w:hAnsi="Times New Roman"/>
          <w:szCs w:val="24"/>
        </w:rPr>
        <w:t>, atitikti protingumo, teisingumo bei sąžiningumo principus;</w:t>
      </w:r>
    </w:p>
    <w:p w14:paraId="604EAF3F" w14:textId="69311F5D" w:rsidR="000B3491" w:rsidRPr="00281D5A" w:rsidRDefault="00C008EB" w:rsidP="009B0EE1">
      <w:pPr>
        <w:numPr>
          <w:ilvl w:val="2"/>
          <w:numId w:val="5"/>
        </w:numPr>
        <w:tabs>
          <w:tab w:val="left" w:pos="567"/>
          <w:tab w:val="left" w:pos="851"/>
          <w:tab w:val="left" w:pos="1560"/>
        </w:tabs>
        <w:spacing w:line="276" w:lineRule="auto"/>
        <w:ind w:left="-851" w:firstLine="851"/>
        <w:jc w:val="both"/>
        <w:rPr>
          <w:rFonts w:ascii="Times New Roman" w:hAnsi="Times New Roman"/>
          <w:caps/>
          <w:szCs w:val="24"/>
        </w:rPr>
      </w:pPr>
      <w:r w:rsidRPr="00281D5A">
        <w:rPr>
          <w:rFonts w:ascii="Times New Roman" w:hAnsi="Times New Roman"/>
          <w:szCs w:val="24"/>
          <w:lang w:eastAsia="lt-LT"/>
        </w:rPr>
        <w:t>N</w:t>
      </w:r>
      <w:r w:rsidR="000B3491" w:rsidRPr="00281D5A">
        <w:rPr>
          <w:rFonts w:ascii="Times New Roman" w:hAnsi="Times New Roman"/>
          <w:szCs w:val="24"/>
          <w:lang w:eastAsia="lt-LT"/>
        </w:rPr>
        <w:t>utraukus Sutartį anksčiau termino</w:t>
      </w:r>
      <w:r w:rsidR="009B27AD" w:rsidRPr="00281D5A">
        <w:rPr>
          <w:rFonts w:ascii="Times New Roman" w:hAnsi="Times New Roman"/>
          <w:szCs w:val="24"/>
          <w:lang w:eastAsia="lt-LT"/>
        </w:rPr>
        <w:t>,</w:t>
      </w:r>
      <w:r w:rsidR="000D4735" w:rsidRPr="00281D5A">
        <w:rPr>
          <w:rFonts w:ascii="Times New Roman" w:hAnsi="Times New Roman"/>
          <w:szCs w:val="24"/>
          <w:lang w:eastAsia="lt-LT"/>
        </w:rPr>
        <w:t xml:space="preserve"> tais atvejais</w:t>
      </w:r>
      <w:r w:rsidR="00A741BF" w:rsidRPr="00281D5A">
        <w:rPr>
          <w:rFonts w:ascii="Times New Roman" w:hAnsi="Times New Roman"/>
          <w:szCs w:val="24"/>
          <w:lang w:eastAsia="lt-LT"/>
        </w:rPr>
        <w:t>,</w:t>
      </w:r>
      <w:r w:rsidR="000D4735" w:rsidRPr="00281D5A">
        <w:rPr>
          <w:rFonts w:ascii="Times New Roman" w:hAnsi="Times New Roman"/>
          <w:szCs w:val="24"/>
          <w:lang w:eastAsia="lt-LT"/>
        </w:rPr>
        <w:t xml:space="preserve"> kai bus kreipiamasi dėl Garantijos išmokų pagal </w:t>
      </w:r>
      <w:r w:rsidR="00746374" w:rsidRPr="00281D5A">
        <w:rPr>
          <w:rFonts w:ascii="Times New Roman" w:hAnsi="Times New Roman"/>
          <w:szCs w:val="24"/>
          <w:lang w:eastAsia="lt-LT"/>
        </w:rPr>
        <w:t>Probleminius</w:t>
      </w:r>
      <w:r w:rsidR="000D4735" w:rsidRPr="00281D5A">
        <w:rPr>
          <w:rFonts w:ascii="Times New Roman" w:hAnsi="Times New Roman"/>
          <w:szCs w:val="24"/>
          <w:lang w:eastAsia="lt-LT"/>
        </w:rPr>
        <w:t xml:space="preserve"> </w:t>
      </w:r>
      <w:r w:rsidR="00BE1664" w:rsidRPr="00281D5A">
        <w:rPr>
          <w:rFonts w:ascii="Times New Roman" w:hAnsi="Times New Roman"/>
          <w:szCs w:val="24"/>
          <w:lang w:eastAsia="lt-LT"/>
        </w:rPr>
        <w:t xml:space="preserve">Faktoringo </w:t>
      </w:r>
      <w:r w:rsidR="003F5C30" w:rsidRPr="00281D5A">
        <w:rPr>
          <w:rFonts w:ascii="Times New Roman" w:hAnsi="Times New Roman"/>
          <w:szCs w:val="24"/>
          <w:lang w:eastAsia="lt-LT"/>
        </w:rPr>
        <w:t>sandorius</w:t>
      </w:r>
      <w:r w:rsidR="00970B90" w:rsidRPr="00281D5A">
        <w:rPr>
          <w:rFonts w:ascii="Times New Roman" w:hAnsi="Times New Roman"/>
          <w:szCs w:val="24"/>
          <w:lang w:eastAsia="lt-LT"/>
        </w:rPr>
        <w:t xml:space="preserve"> po Sutarties nutraukimo</w:t>
      </w:r>
      <w:r w:rsidR="000D4735" w:rsidRPr="00281D5A">
        <w:rPr>
          <w:rFonts w:ascii="Times New Roman" w:hAnsi="Times New Roman"/>
          <w:szCs w:val="24"/>
          <w:lang w:eastAsia="lt-LT"/>
        </w:rPr>
        <w:t>:</w:t>
      </w:r>
      <w:r w:rsidR="009D4518" w:rsidRPr="00281D5A">
        <w:rPr>
          <w:rFonts w:ascii="Times New Roman" w:hAnsi="Times New Roman"/>
          <w:szCs w:val="24"/>
          <w:lang w:eastAsia="lt-LT"/>
        </w:rPr>
        <w:t xml:space="preserve"> </w:t>
      </w:r>
    </w:p>
    <w:p w14:paraId="11C4DF74" w14:textId="1C8D2C8C" w:rsidR="00EB7A7B" w:rsidRPr="00281D5A" w:rsidRDefault="00C008EB" w:rsidP="009B0EE1">
      <w:pPr>
        <w:numPr>
          <w:ilvl w:val="3"/>
          <w:numId w:val="5"/>
        </w:numPr>
        <w:tabs>
          <w:tab w:val="left" w:pos="851"/>
        </w:tabs>
        <w:spacing w:line="276" w:lineRule="auto"/>
        <w:ind w:left="-851" w:firstLine="851"/>
        <w:jc w:val="both"/>
        <w:rPr>
          <w:rFonts w:ascii="Times New Roman" w:hAnsi="Times New Roman"/>
          <w:szCs w:val="24"/>
        </w:rPr>
      </w:pPr>
      <w:r w:rsidRPr="00281D5A">
        <w:rPr>
          <w:rFonts w:ascii="Times New Roman" w:hAnsi="Times New Roman"/>
          <w:szCs w:val="24"/>
        </w:rPr>
        <w:lastRenderedPageBreak/>
        <w:t xml:space="preserve">Savo </w:t>
      </w:r>
      <w:r w:rsidR="000B3491" w:rsidRPr="00281D5A">
        <w:rPr>
          <w:rFonts w:ascii="Times New Roman" w:hAnsi="Times New Roman"/>
          <w:szCs w:val="24"/>
        </w:rPr>
        <w:t xml:space="preserve">lėšomis toliau administruoti </w:t>
      </w:r>
      <w:r w:rsidR="00820E0A" w:rsidRPr="00281D5A">
        <w:rPr>
          <w:rFonts w:ascii="Times New Roman" w:hAnsi="Times New Roman"/>
          <w:szCs w:val="24"/>
        </w:rPr>
        <w:t xml:space="preserve">iki </w:t>
      </w:r>
      <w:r w:rsidR="000B3491" w:rsidRPr="00281D5A">
        <w:rPr>
          <w:rFonts w:ascii="Times New Roman" w:hAnsi="Times New Roman"/>
          <w:szCs w:val="24"/>
        </w:rPr>
        <w:t>Sutarties nutraukimo dien</w:t>
      </w:r>
      <w:r w:rsidR="00820E0A" w:rsidRPr="00281D5A">
        <w:rPr>
          <w:rFonts w:ascii="Times New Roman" w:hAnsi="Times New Roman"/>
          <w:szCs w:val="24"/>
        </w:rPr>
        <w:t>os</w:t>
      </w:r>
      <w:r w:rsidR="000B3491" w:rsidRPr="00281D5A">
        <w:rPr>
          <w:rFonts w:ascii="Times New Roman" w:hAnsi="Times New Roman"/>
          <w:szCs w:val="24"/>
        </w:rPr>
        <w:t xml:space="preserve"> </w:t>
      </w:r>
      <w:r w:rsidR="00CF5075" w:rsidRPr="00281D5A">
        <w:rPr>
          <w:rFonts w:ascii="Times New Roman" w:hAnsi="Times New Roman"/>
          <w:szCs w:val="24"/>
        </w:rPr>
        <w:t>į Portfelį įtraukt</w:t>
      </w:r>
      <w:r w:rsidR="003F5C30" w:rsidRPr="00281D5A">
        <w:rPr>
          <w:rFonts w:ascii="Times New Roman" w:hAnsi="Times New Roman"/>
          <w:szCs w:val="24"/>
        </w:rPr>
        <w:t xml:space="preserve">us </w:t>
      </w:r>
      <w:r w:rsidR="00F21757" w:rsidRPr="00281D5A">
        <w:rPr>
          <w:rFonts w:ascii="Times New Roman" w:hAnsi="Times New Roman"/>
          <w:szCs w:val="24"/>
        </w:rPr>
        <w:t>Faktoringo</w:t>
      </w:r>
      <w:r w:rsidR="000B3491" w:rsidRPr="00281D5A">
        <w:rPr>
          <w:rFonts w:ascii="Times New Roman" w:hAnsi="Times New Roman"/>
          <w:szCs w:val="24"/>
        </w:rPr>
        <w:t xml:space="preserve"> </w:t>
      </w:r>
      <w:r w:rsidR="003F5C30" w:rsidRPr="00281D5A">
        <w:rPr>
          <w:rFonts w:ascii="Times New Roman" w:hAnsi="Times New Roman"/>
          <w:szCs w:val="24"/>
        </w:rPr>
        <w:t xml:space="preserve">sandorius </w:t>
      </w:r>
      <w:r w:rsidR="000B3491" w:rsidRPr="00281D5A">
        <w:rPr>
          <w:rFonts w:ascii="Times New Roman" w:hAnsi="Times New Roman"/>
          <w:szCs w:val="24"/>
        </w:rPr>
        <w:t>ir su j</w:t>
      </w:r>
      <w:r w:rsidR="003F5C30" w:rsidRPr="00281D5A">
        <w:rPr>
          <w:rFonts w:ascii="Times New Roman" w:hAnsi="Times New Roman"/>
          <w:szCs w:val="24"/>
        </w:rPr>
        <w:t>ais</w:t>
      </w:r>
      <w:r w:rsidR="000B3491" w:rsidRPr="00281D5A">
        <w:rPr>
          <w:rFonts w:ascii="Times New Roman" w:hAnsi="Times New Roman"/>
          <w:szCs w:val="24"/>
        </w:rPr>
        <w:t xml:space="preserve"> susijusius dokumentus pagal Sutartį ir kitus galiojančius teisės aktus;</w:t>
      </w:r>
    </w:p>
    <w:p w14:paraId="43601D9B" w14:textId="0A668DB0" w:rsidR="00EB7A7B" w:rsidRPr="001B6E92" w:rsidRDefault="00C008EB" w:rsidP="009B0EE1">
      <w:pPr>
        <w:numPr>
          <w:ilvl w:val="3"/>
          <w:numId w:val="5"/>
        </w:numPr>
        <w:tabs>
          <w:tab w:val="left" w:pos="851"/>
        </w:tabs>
        <w:spacing w:line="276" w:lineRule="auto"/>
        <w:ind w:left="-851" w:firstLine="851"/>
        <w:jc w:val="both"/>
        <w:rPr>
          <w:rFonts w:ascii="Times New Roman" w:hAnsi="Times New Roman"/>
          <w:szCs w:val="24"/>
        </w:rPr>
      </w:pPr>
      <w:r w:rsidRPr="00281D5A">
        <w:rPr>
          <w:rFonts w:ascii="Times New Roman" w:hAnsi="Times New Roman"/>
          <w:szCs w:val="24"/>
        </w:rPr>
        <w:t xml:space="preserve">Vykdyti </w:t>
      </w:r>
      <w:r w:rsidR="002D3EFC" w:rsidRPr="00281D5A">
        <w:rPr>
          <w:rFonts w:ascii="Times New Roman" w:hAnsi="Times New Roman"/>
          <w:szCs w:val="24"/>
        </w:rPr>
        <w:t>skolų išieškojimą</w:t>
      </w:r>
      <w:r w:rsidR="00461A10" w:rsidRPr="00281D5A">
        <w:rPr>
          <w:rFonts w:ascii="Times New Roman" w:hAnsi="Times New Roman"/>
          <w:szCs w:val="24"/>
        </w:rPr>
        <w:t xml:space="preserve"> pagal </w:t>
      </w:r>
      <w:r w:rsidR="00BE1664" w:rsidRPr="00281D5A">
        <w:rPr>
          <w:rFonts w:ascii="Times New Roman" w:hAnsi="Times New Roman"/>
          <w:szCs w:val="24"/>
        </w:rPr>
        <w:t>Faktoringo sandori</w:t>
      </w:r>
      <w:r w:rsidR="003F5C30" w:rsidRPr="00281D5A">
        <w:rPr>
          <w:rFonts w:ascii="Times New Roman" w:hAnsi="Times New Roman"/>
          <w:szCs w:val="24"/>
        </w:rPr>
        <w:t>u</w:t>
      </w:r>
      <w:r w:rsidR="00461A10" w:rsidRPr="00281D5A">
        <w:rPr>
          <w:rFonts w:ascii="Times New Roman" w:hAnsi="Times New Roman"/>
          <w:szCs w:val="24"/>
        </w:rPr>
        <w:t>s</w:t>
      </w:r>
      <w:r w:rsidR="00F768D7" w:rsidRPr="00281D5A">
        <w:rPr>
          <w:rFonts w:ascii="Times New Roman" w:hAnsi="Times New Roman"/>
          <w:szCs w:val="24"/>
        </w:rPr>
        <w:t>,</w:t>
      </w:r>
      <w:r w:rsidR="002D3EFC" w:rsidRPr="00281D5A">
        <w:rPr>
          <w:rFonts w:ascii="Times New Roman" w:hAnsi="Times New Roman"/>
          <w:szCs w:val="24"/>
        </w:rPr>
        <w:t xml:space="preserve"> </w:t>
      </w:r>
      <w:r w:rsidR="00144545" w:rsidRPr="00281D5A">
        <w:rPr>
          <w:rFonts w:ascii="Times New Roman" w:hAnsi="Times New Roman"/>
          <w:szCs w:val="24"/>
        </w:rPr>
        <w:t>už kuri</w:t>
      </w:r>
      <w:r w:rsidR="003F5C30" w:rsidRPr="00281D5A">
        <w:rPr>
          <w:rFonts w:ascii="Times New Roman" w:hAnsi="Times New Roman"/>
          <w:szCs w:val="24"/>
        </w:rPr>
        <w:t>uos</w:t>
      </w:r>
      <w:r w:rsidR="00144545" w:rsidRPr="00281D5A">
        <w:rPr>
          <w:rFonts w:ascii="Times New Roman" w:hAnsi="Times New Roman"/>
          <w:szCs w:val="24"/>
        </w:rPr>
        <w:t xml:space="preserve"> sumokėta </w:t>
      </w:r>
      <w:r w:rsidR="00144545" w:rsidRPr="001B6E92">
        <w:rPr>
          <w:rFonts w:ascii="Times New Roman" w:hAnsi="Times New Roman"/>
          <w:szCs w:val="24"/>
        </w:rPr>
        <w:t>Garantijos išmoka</w:t>
      </w:r>
      <w:r w:rsidR="00F768D7" w:rsidRPr="001B6E92">
        <w:rPr>
          <w:rFonts w:ascii="Times New Roman" w:hAnsi="Times New Roman"/>
          <w:szCs w:val="24"/>
        </w:rPr>
        <w:t>,</w:t>
      </w:r>
      <w:r w:rsidR="00144545" w:rsidRPr="001B6E92">
        <w:rPr>
          <w:rFonts w:ascii="Times New Roman" w:hAnsi="Times New Roman"/>
          <w:szCs w:val="24"/>
        </w:rPr>
        <w:t xml:space="preserve"> </w:t>
      </w:r>
      <w:r w:rsidR="008C405E" w:rsidRPr="001B6E92">
        <w:rPr>
          <w:rFonts w:ascii="Times New Roman" w:hAnsi="Times New Roman"/>
          <w:szCs w:val="24"/>
        </w:rPr>
        <w:t>ir grąžinti</w:t>
      </w:r>
      <w:r w:rsidR="00F768D7" w:rsidRPr="001B6E92">
        <w:rPr>
          <w:rFonts w:ascii="Times New Roman" w:hAnsi="Times New Roman"/>
          <w:szCs w:val="24"/>
        </w:rPr>
        <w:t xml:space="preserve"> </w:t>
      </w:r>
      <w:r w:rsidR="001B6AE8" w:rsidRPr="001B6E92">
        <w:rPr>
          <w:rFonts w:ascii="Times New Roman" w:hAnsi="Times New Roman"/>
          <w:szCs w:val="24"/>
        </w:rPr>
        <w:t xml:space="preserve">išieškotas </w:t>
      </w:r>
      <w:r w:rsidR="008C405E" w:rsidRPr="001B6E92">
        <w:rPr>
          <w:rFonts w:ascii="Times New Roman" w:hAnsi="Times New Roman"/>
          <w:szCs w:val="24"/>
        </w:rPr>
        <w:t xml:space="preserve">lėšas į </w:t>
      </w:r>
      <w:r w:rsidR="00295B88" w:rsidRPr="001B6E92">
        <w:rPr>
          <w:rFonts w:ascii="Times New Roman" w:hAnsi="Times New Roman"/>
          <w:szCs w:val="24"/>
        </w:rPr>
        <w:t>Einamąją sąskaitą</w:t>
      </w:r>
      <w:r w:rsidR="00A741BF" w:rsidRPr="001B6E92">
        <w:rPr>
          <w:rFonts w:ascii="Times New Roman" w:hAnsi="Times New Roman"/>
          <w:szCs w:val="24"/>
        </w:rPr>
        <w:t>,</w:t>
      </w:r>
      <w:r w:rsidR="00295B88" w:rsidRPr="001B6E92">
        <w:rPr>
          <w:rFonts w:ascii="Times New Roman" w:hAnsi="Times New Roman"/>
          <w:szCs w:val="24"/>
        </w:rPr>
        <w:t xml:space="preserve"> </w:t>
      </w:r>
      <w:r w:rsidR="008C405E" w:rsidRPr="001B6E92">
        <w:rPr>
          <w:rFonts w:ascii="Times New Roman" w:hAnsi="Times New Roman"/>
          <w:szCs w:val="24"/>
        </w:rPr>
        <w:t xml:space="preserve">kaip tai nurodyta Sutarties </w:t>
      </w:r>
      <w:r w:rsidR="006A3F75" w:rsidRPr="001B6E92">
        <w:rPr>
          <w:rFonts w:ascii="Times New Roman" w:hAnsi="Times New Roman"/>
          <w:szCs w:val="24"/>
        </w:rPr>
        <w:t>7.</w:t>
      </w:r>
      <w:r w:rsidR="00404F31" w:rsidRPr="001B6E92">
        <w:rPr>
          <w:rFonts w:ascii="Times New Roman" w:hAnsi="Times New Roman"/>
          <w:szCs w:val="24"/>
        </w:rPr>
        <w:t>10</w:t>
      </w:r>
      <w:r w:rsidR="00A741BF" w:rsidRPr="001B6E92">
        <w:rPr>
          <w:rFonts w:ascii="Times New Roman" w:hAnsi="Times New Roman"/>
          <w:szCs w:val="24"/>
        </w:rPr>
        <w:t>–</w:t>
      </w:r>
      <w:r w:rsidR="006A3F75" w:rsidRPr="001B6E92">
        <w:rPr>
          <w:rFonts w:ascii="Times New Roman" w:hAnsi="Times New Roman"/>
          <w:szCs w:val="24"/>
        </w:rPr>
        <w:t>7.1</w:t>
      </w:r>
      <w:r w:rsidR="00404F31" w:rsidRPr="001B6E92">
        <w:rPr>
          <w:rFonts w:ascii="Times New Roman" w:hAnsi="Times New Roman"/>
          <w:szCs w:val="24"/>
        </w:rPr>
        <w:t>4</w:t>
      </w:r>
      <w:r w:rsidR="000D4735" w:rsidRPr="001B6E92">
        <w:rPr>
          <w:rFonts w:ascii="Times New Roman" w:hAnsi="Times New Roman"/>
          <w:szCs w:val="24"/>
        </w:rPr>
        <w:t xml:space="preserve"> </w:t>
      </w:r>
      <w:r w:rsidR="006A3F75" w:rsidRPr="001B6E92">
        <w:rPr>
          <w:rFonts w:ascii="Times New Roman" w:hAnsi="Times New Roman"/>
          <w:szCs w:val="24"/>
        </w:rPr>
        <w:t>punktuose</w:t>
      </w:r>
      <w:r w:rsidR="008C405E" w:rsidRPr="001B6E92">
        <w:rPr>
          <w:rFonts w:ascii="Times New Roman" w:hAnsi="Times New Roman"/>
          <w:szCs w:val="24"/>
        </w:rPr>
        <w:t>;</w:t>
      </w:r>
    </w:p>
    <w:p w14:paraId="65D86AFE" w14:textId="54D85BD1" w:rsidR="00EB7A7B" w:rsidRPr="00BF7887" w:rsidRDefault="00C008EB" w:rsidP="00683183">
      <w:pPr>
        <w:numPr>
          <w:ilvl w:val="3"/>
          <w:numId w:val="5"/>
        </w:numPr>
        <w:tabs>
          <w:tab w:val="left" w:pos="851"/>
        </w:tabs>
        <w:spacing w:line="276" w:lineRule="auto"/>
        <w:ind w:left="-851" w:firstLine="851"/>
        <w:jc w:val="both"/>
        <w:rPr>
          <w:rFonts w:ascii="Times New Roman" w:hAnsi="Times New Roman"/>
          <w:szCs w:val="24"/>
        </w:rPr>
      </w:pPr>
      <w:r w:rsidRPr="00BF7887">
        <w:rPr>
          <w:rFonts w:ascii="Times New Roman" w:hAnsi="Times New Roman"/>
          <w:szCs w:val="24"/>
        </w:rPr>
        <w:t>T</w:t>
      </w:r>
      <w:r w:rsidR="008C405E" w:rsidRPr="00BF7887">
        <w:rPr>
          <w:rFonts w:ascii="Times New Roman" w:hAnsi="Times New Roman"/>
          <w:szCs w:val="24"/>
        </w:rPr>
        <w:t>eikti ataskaitas</w:t>
      </w:r>
      <w:r w:rsidR="00A741BF" w:rsidRPr="00BF7887">
        <w:rPr>
          <w:rFonts w:ascii="Times New Roman" w:hAnsi="Times New Roman"/>
          <w:szCs w:val="24"/>
        </w:rPr>
        <w:t>,</w:t>
      </w:r>
      <w:r w:rsidR="008C405E" w:rsidRPr="00BF7887">
        <w:rPr>
          <w:rFonts w:ascii="Times New Roman" w:hAnsi="Times New Roman"/>
          <w:szCs w:val="24"/>
        </w:rPr>
        <w:t xml:space="preserve"> kaip tai nurodyta</w:t>
      </w:r>
      <w:r w:rsidR="00D04A22" w:rsidRPr="00BF7887">
        <w:rPr>
          <w:rFonts w:ascii="Times New Roman" w:hAnsi="Times New Roman"/>
          <w:szCs w:val="24"/>
        </w:rPr>
        <w:t xml:space="preserve"> Sutarties </w:t>
      </w:r>
      <w:r w:rsidR="006A3F75" w:rsidRPr="00BF7887">
        <w:rPr>
          <w:rFonts w:ascii="Times New Roman" w:hAnsi="Times New Roman"/>
          <w:szCs w:val="24"/>
        </w:rPr>
        <w:t>VIII</w:t>
      </w:r>
      <w:r w:rsidR="00D04A22" w:rsidRPr="00BF7887">
        <w:rPr>
          <w:rFonts w:ascii="Times New Roman" w:hAnsi="Times New Roman"/>
          <w:szCs w:val="24"/>
        </w:rPr>
        <w:t xml:space="preserve"> skyriuje</w:t>
      </w:r>
      <w:r w:rsidR="00942BD3" w:rsidRPr="00BF7887">
        <w:rPr>
          <w:rFonts w:ascii="Times New Roman" w:hAnsi="Times New Roman"/>
          <w:szCs w:val="24"/>
        </w:rPr>
        <w:t>,</w:t>
      </w:r>
      <w:r w:rsidR="005551B1" w:rsidRPr="00BF7887">
        <w:rPr>
          <w:rFonts w:ascii="Times New Roman" w:hAnsi="Times New Roman"/>
          <w:szCs w:val="24"/>
        </w:rPr>
        <w:t xml:space="preserve"> ir </w:t>
      </w:r>
      <w:r w:rsidR="00636DEA" w:rsidRPr="00BF7887">
        <w:rPr>
          <w:rFonts w:ascii="Times New Roman" w:hAnsi="Times New Roman"/>
          <w:szCs w:val="24"/>
        </w:rPr>
        <w:t>vykdyti visas kitas pareigas</w:t>
      </w:r>
      <w:r w:rsidR="00FE44F7" w:rsidRPr="00BF7887">
        <w:rPr>
          <w:rFonts w:ascii="Times New Roman" w:hAnsi="Times New Roman"/>
          <w:szCs w:val="24"/>
        </w:rPr>
        <w:t>,</w:t>
      </w:r>
      <w:r w:rsidR="005551B1" w:rsidRPr="00BF7887">
        <w:rPr>
          <w:rFonts w:ascii="Times New Roman" w:hAnsi="Times New Roman"/>
          <w:szCs w:val="24"/>
        </w:rPr>
        <w:t xml:space="preserve"> kilusi</w:t>
      </w:r>
      <w:r w:rsidR="00636DEA" w:rsidRPr="00BF7887">
        <w:rPr>
          <w:rFonts w:ascii="Times New Roman" w:hAnsi="Times New Roman"/>
          <w:szCs w:val="24"/>
        </w:rPr>
        <w:t>as</w:t>
      </w:r>
      <w:r w:rsidR="005551B1" w:rsidRPr="00BF7887">
        <w:rPr>
          <w:rFonts w:ascii="Times New Roman" w:hAnsi="Times New Roman"/>
          <w:szCs w:val="24"/>
        </w:rPr>
        <w:t xml:space="preserve"> </w:t>
      </w:r>
      <w:r w:rsidR="00636DEA" w:rsidRPr="00BF7887">
        <w:rPr>
          <w:rFonts w:ascii="Times New Roman" w:hAnsi="Times New Roman"/>
          <w:szCs w:val="24"/>
        </w:rPr>
        <w:t xml:space="preserve">pagal šią Sutartį, </w:t>
      </w:r>
      <w:r w:rsidR="005551B1" w:rsidRPr="00BF7887">
        <w:rPr>
          <w:rFonts w:ascii="Times New Roman" w:hAnsi="Times New Roman"/>
          <w:szCs w:val="24"/>
        </w:rPr>
        <w:t>iki Sutarties nutraukimo</w:t>
      </w:r>
      <w:r w:rsidR="00683183" w:rsidRPr="00BF7887">
        <w:rPr>
          <w:rFonts w:ascii="Times New Roman" w:hAnsi="Times New Roman"/>
          <w:szCs w:val="24"/>
        </w:rPr>
        <w:t xml:space="preserve">. Siekdama turėti operatyvią informaciją apie formuojamą Portfelį, „Invega“ gali paprašyti </w:t>
      </w:r>
      <w:r w:rsidR="00E01DA6" w:rsidRPr="00BF7887">
        <w:rPr>
          <w:rFonts w:ascii="Times New Roman" w:hAnsi="Times New Roman"/>
          <w:szCs w:val="24"/>
        </w:rPr>
        <w:t>„</w:t>
      </w:r>
      <w:r w:rsidR="00683183" w:rsidRPr="00BF7887">
        <w:rPr>
          <w:rFonts w:ascii="Times New Roman" w:hAnsi="Times New Roman"/>
          <w:szCs w:val="24"/>
        </w:rPr>
        <w:t>Mėnesio ataskaitą</w:t>
      </w:r>
      <w:r w:rsidR="00E01DA6" w:rsidRPr="00BF7887">
        <w:rPr>
          <w:rFonts w:ascii="Times New Roman" w:hAnsi="Times New Roman"/>
          <w:szCs w:val="24"/>
        </w:rPr>
        <w:t>“</w:t>
      </w:r>
      <w:r w:rsidR="00683183" w:rsidRPr="00BF7887">
        <w:rPr>
          <w:rFonts w:ascii="Times New Roman" w:hAnsi="Times New Roman"/>
          <w:szCs w:val="24"/>
        </w:rPr>
        <w:t xml:space="preserve"> teikti ir dažniau (kas dvi savaites, kas savaitę ir pan</w:t>
      </w:r>
      <w:r w:rsidR="00E01DA6" w:rsidRPr="00BF7887">
        <w:rPr>
          <w:rFonts w:ascii="Times New Roman" w:hAnsi="Times New Roman"/>
          <w:szCs w:val="24"/>
        </w:rPr>
        <w:t>.</w:t>
      </w:r>
      <w:r w:rsidR="00683183" w:rsidRPr="00BF7887">
        <w:rPr>
          <w:rFonts w:ascii="Times New Roman" w:hAnsi="Times New Roman"/>
          <w:szCs w:val="24"/>
        </w:rPr>
        <w:t>)</w:t>
      </w:r>
      <w:r w:rsidR="00E01DA6" w:rsidRPr="00BF7887">
        <w:rPr>
          <w:rFonts w:ascii="Times New Roman" w:hAnsi="Times New Roman"/>
          <w:szCs w:val="24"/>
        </w:rPr>
        <w:t>;</w:t>
      </w:r>
    </w:p>
    <w:p w14:paraId="5B90C9BD" w14:textId="7E6AC51B" w:rsidR="000B3491" w:rsidRPr="00E86E74" w:rsidRDefault="00C008EB" w:rsidP="009B0EE1">
      <w:pPr>
        <w:numPr>
          <w:ilvl w:val="3"/>
          <w:numId w:val="5"/>
        </w:numPr>
        <w:tabs>
          <w:tab w:val="left" w:pos="851"/>
        </w:tabs>
        <w:spacing w:line="276" w:lineRule="auto"/>
        <w:ind w:left="-851" w:firstLine="851"/>
        <w:jc w:val="both"/>
        <w:rPr>
          <w:rFonts w:ascii="Times New Roman" w:hAnsi="Times New Roman"/>
          <w:szCs w:val="24"/>
        </w:rPr>
      </w:pPr>
      <w:r w:rsidRPr="00E86E74">
        <w:rPr>
          <w:rFonts w:ascii="Times New Roman" w:hAnsi="Times New Roman"/>
          <w:szCs w:val="24"/>
        </w:rPr>
        <w:t xml:space="preserve">Įvykdyti </w:t>
      </w:r>
      <w:r w:rsidR="000B3491" w:rsidRPr="00E86E74">
        <w:rPr>
          <w:rFonts w:ascii="Times New Roman" w:hAnsi="Times New Roman"/>
          <w:szCs w:val="24"/>
        </w:rPr>
        <w:t>kitus įsipareigojimus, kurie bus aptarti susitarime dėl Sutarties nutraukimo</w:t>
      </w:r>
      <w:r w:rsidR="00751CDE" w:rsidRPr="00E86E74">
        <w:rPr>
          <w:rFonts w:ascii="Times New Roman" w:hAnsi="Times New Roman"/>
          <w:szCs w:val="24"/>
        </w:rPr>
        <w:t>.</w:t>
      </w:r>
    </w:p>
    <w:p w14:paraId="616E4DEC" w14:textId="50FEE8E4" w:rsidR="00550312" w:rsidRPr="00E86E74" w:rsidRDefault="00C008EB" w:rsidP="009B0EE1">
      <w:pPr>
        <w:numPr>
          <w:ilvl w:val="2"/>
          <w:numId w:val="5"/>
        </w:numPr>
        <w:tabs>
          <w:tab w:val="left" w:pos="851"/>
        </w:tabs>
        <w:spacing w:line="276" w:lineRule="auto"/>
        <w:ind w:left="-851" w:firstLine="851"/>
        <w:jc w:val="both"/>
        <w:rPr>
          <w:rFonts w:ascii="Times New Roman" w:hAnsi="Times New Roman"/>
          <w:szCs w:val="24"/>
        </w:rPr>
      </w:pPr>
      <w:r w:rsidRPr="00E86E74">
        <w:rPr>
          <w:rFonts w:ascii="Times New Roman" w:hAnsi="Times New Roman"/>
          <w:szCs w:val="24"/>
        </w:rPr>
        <w:t>N</w:t>
      </w:r>
      <w:r w:rsidR="00EE4A71" w:rsidRPr="00E86E74">
        <w:rPr>
          <w:rFonts w:ascii="Times New Roman" w:hAnsi="Times New Roman"/>
          <w:szCs w:val="24"/>
        </w:rPr>
        <w:t xml:space="preserve">ustačius </w:t>
      </w:r>
      <w:r w:rsidR="00013C53" w:rsidRPr="00E86E74">
        <w:rPr>
          <w:rFonts w:ascii="Times New Roman" w:hAnsi="Times New Roman"/>
          <w:szCs w:val="24"/>
        </w:rPr>
        <w:t>Neatitikim</w:t>
      </w:r>
      <w:r w:rsidR="00EE4A71" w:rsidRPr="00E86E74">
        <w:rPr>
          <w:rFonts w:ascii="Times New Roman" w:hAnsi="Times New Roman"/>
          <w:szCs w:val="24"/>
        </w:rPr>
        <w:t>ą,</w:t>
      </w:r>
      <w:r w:rsidR="009D3C3B" w:rsidRPr="00E86E74">
        <w:rPr>
          <w:rFonts w:ascii="Times New Roman" w:hAnsi="Times New Roman"/>
          <w:szCs w:val="24"/>
        </w:rPr>
        <w:t xml:space="preserve"> sugrąžinti</w:t>
      </w:r>
      <w:r w:rsidR="00EE4A71" w:rsidRPr="00E86E74">
        <w:rPr>
          <w:rFonts w:ascii="Times New Roman" w:hAnsi="Times New Roman"/>
          <w:szCs w:val="24"/>
        </w:rPr>
        <w:t xml:space="preserve"> </w:t>
      </w:r>
      <w:r w:rsidR="00F76CCA" w:rsidRPr="00E86E74">
        <w:rPr>
          <w:rFonts w:ascii="Times New Roman" w:hAnsi="Times New Roman"/>
          <w:szCs w:val="24"/>
        </w:rPr>
        <w:t xml:space="preserve">„Invegai“ </w:t>
      </w:r>
      <w:r w:rsidR="006A04FC" w:rsidRPr="00E86E74">
        <w:rPr>
          <w:rFonts w:ascii="Times New Roman" w:hAnsi="Times New Roman"/>
          <w:szCs w:val="24"/>
        </w:rPr>
        <w:t>išmokėtas Garantijos išmokas</w:t>
      </w:r>
      <w:r w:rsidR="003E45B9" w:rsidRPr="00E86E74">
        <w:rPr>
          <w:rFonts w:ascii="Times New Roman" w:hAnsi="Times New Roman"/>
          <w:szCs w:val="24"/>
        </w:rPr>
        <w:t xml:space="preserve"> per „Invegos“ nurodytą terminą</w:t>
      </w:r>
      <w:r w:rsidR="000C1BAA" w:rsidRPr="00E86E74">
        <w:rPr>
          <w:rFonts w:ascii="Times New Roman" w:hAnsi="Times New Roman"/>
          <w:szCs w:val="24"/>
        </w:rPr>
        <w:t>;</w:t>
      </w:r>
    </w:p>
    <w:p w14:paraId="39E3D5E1" w14:textId="3A4190BF" w:rsidR="00550312" w:rsidRPr="00E86E74" w:rsidRDefault="00C008EB" w:rsidP="009B0EE1">
      <w:pPr>
        <w:numPr>
          <w:ilvl w:val="2"/>
          <w:numId w:val="5"/>
        </w:numPr>
        <w:tabs>
          <w:tab w:val="left" w:pos="851"/>
        </w:tabs>
        <w:spacing w:line="276" w:lineRule="auto"/>
        <w:ind w:left="-851" w:firstLine="851"/>
        <w:jc w:val="both"/>
        <w:rPr>
          <w:rFonts w:ascii="Times New Roman" w:hAnsi="Times New Roman"/>
          <w:szCs w:val="24"/>
        </w:rPr>
      </w:pPr>
      <w:r w:rsidRPr="00E86E74">
        <w:rPr>
          <w:rFonts w:ascii="Times New Roman" w:hAnsi="Times New Roman"/>
          <w:szCs w:val="24"/>
        </w:rPr>
        <w:t>L</w:t>
      </w:r>
      <w:r w:rsidR="004075AD" w:rsidRPr="00E86E74">
        <w:rPr>
          <w:rFonts w:ascii="Times New Roman" w:hAnsi="Times New Roman"/>
          <w:szCs w:val="24"/>
        </w:rPr>
        <w:t>aikytis atitinkamų standartų ir pinigų plovimo prevencijos, kovos su terorizmu ir mokestiniu sukčiavimu sričių teisės aktų</w:t>
      </w:r>
      <w:r w:rsidR="00024C45" w:rsidRPr="00E86E74">
        <w:rPr>
          <w:rFonts w:ascii="Times New Roman" w:hAnsi="Times New Roman"/>
          <w:szCs w:val="24"/>
        </w:rPr>
        <w:t>,</w:t>
      </w:r>
      <w:r w:rsidR="004075AD" w:rsidRPr="00E86E74">
        <w:rPr>
          <w:rFonts w:ascii="Times New Roman" w:hAnsi="Times New Roman"/>
          <w:szCs w:val="24"/>
        </w:rPr>
        <w:t xml:space="preserve"> </w:t>
      </w:r>
      <w:r w:rsidR="00C51F33" w:rsidRPr="00E86E74">
        <w:rPr>
          <w:rFonts w:ascii="Times New Roman" w:hAnsi="Times New Roman"/>
          <w:szCs w:val="24"/>
        </w:rPr>
        <w:t>PGF</w:t>
      </w:r>
      <w:r w:rsidR="001B6E92" w:rsidRPr="00E86E74">
        <w:rPr>
          <w:rFonts w:ascii="Times New Roman" w:hAnsi="Times New Roman"/>
          <w:szCs w:val="24"/>
        </w:rPr>
        <w:t>2</w:t>
      </w:r>
      <w:r w:rsidR="009C0181" w:rsidRPr="00E86E74">
        <w:rPr>
          <w:rFonts w:ascii="Times New Roman" w:hAnsi="Times New Roman"/>
          <w:szCs w:val="24"/>
        </w:rPr>
        <w:t xml:space="preserve"> </w:t>
      </w:r>
      <w:r w:rsidR="0035443F" w:rsidRPr="00E86E74">
        <w:rPr>
          <w:rFonts w:ascii="Times New Roman" w:hAnsi="Times New Roman"/>
          <w:szCs w:val="24"/>
        </w:rPr>
        <w:t xml:space="preserve">priemonės valdytojas </w:t>
      </w:r>
      <w:r w:rsidR="004075AD" w:rsidRPr="00E86E74">
        <w:rPr>
          <w:rFonts w:ascii="Times New Roman" w:hAnsi="Times New Roman"/>
          <w:szCs w:val="24"/>
        </w:rPr>
        <w:t>negali būti įsteigt</w:t>
      </w:r>
      <w:r w:rsidR="0035443F" w:rsidRPr="00E86E74">
        <w:rPr>
          <w:rFonts w:ascii="Times New Roman" w:hAnsi="Times New Roman"/>
          <w:szCs w:val="24"/>
        </w:rPr>
        <w:t>as</w:t>
      </w:r>
      <w:r w:rsidR="004075AD" w:rsidRPr="00E86E74">
        <w:rPr>
          <w:rFonts w:ascii="Times New Roman" w:hAnsi="Times New Roman"/>
          <w:szCs w:val="24"/>
        </w:rPr>
        <w:t xml:space="preserve"> valstybių, kurios nebendradarbiauja su ES taikant tarptautiniu mastu sutartus mokesčių standartus, jurisdikcijai priklausančiose teritorijose ir neturi palaikyti verslo ryšių su tose teritorijo</w:t>
      </w:r>
      <w:r w:rsidR="006A04FC" w:rsidRPr="00E86E74">
        <w:rPr>
          <w:rFonts w:ascii="Times New Roman" w:hAnsi="Times New Roman"/>
          <w:szCs w:val="24"/>
        </w:rPr>
        <w:t>s</w:t>
      </w:r>
      <w:r w:rsidR="004075AD" w:rsidRPr="00E86E74">
        <w:rPr>
          <w:rFonts w:ascii="Times New Roman" w:hAnsi="Times New Roman"/>
          <w:szCs w:val="24"/>
        </w:rPr>
        <w:t>e įsteig</w:t>
      </w:r>
      <w:r w:rsidR="002C3CD8" w:rsidRPr="00E86E74">
        <w:rPr>
          <w:rFonts w:ascii="Times New Roman" w:hAnsi="Times New Roman"/>
          <w:szCs w:val="24"/>
        </w:rPr>
        <w:t>tais</w:t>
      </w:r>
      <w:r w:rsidR="004075AD" w:rsidRPr="00E86E74">
        <w:rPr>
          <w:rFonts w:ascii="Times New Roman" w:hAnsi="Times New Roman"/>
          <w:szCs w:val="24"/>
        </w:rPr>
        <w:t xml:space="preserve"> subjektais</w:t>
      </w:r>
      <w:r w:rsidR="000C1BAA" w:rsidRPr="00E86E74">
        <w:rPr>
          <w:rFonts w:ascii="Times New Roman" w:hAnsi="Times New Roman"/>
          <w:szCs w:val="24"/>
        </w:rPr>
        <w:t>;</w:t>
      </w:r>
    </w:p>
    <w:p w14:paraId="49474E7B" w14:textId="207E2EEB" w:rsidR="00550312" w:rsidRPr="00E86E74" w:rsidRDefault="00C008EB" w:rsidP="009B0EE1">
      <w:pPr>
        <w:numPr>
          <w:ilvl w:val="2"/>
          <w:numId w:val="5"/>
        </w:numPr>
        <w:tabs>
          <w:tab w:val="left" w:pos="851"/>
        </w:tabs>
        <w:spacing w:line="276" w:lineRule="auto"/>
        <w:ind w:left="-851" w:firstLine="851"/>
        <w:jc w:val="both"/>
        <w:rPr>
          <w:rFonts w:ascii="Times New Roman" w:hAnsi="Times New Roman"/>
          <w:szCs w:val="24"/>
        </w:rPr>
      </w:pPr>
      <w:r w:rsidRPr="00E86E74">
        <w:rPr>
          <w:rFonts w:ascii="Times New Roman" w:hAnsi="Times New Roman"/>
          <w:szCs w:val="24"/>
        </w:rPr>
        <w:t>Įgyvend</w:t>
      </w:r>
      <w:r w:rsidR="00F2303B" w:rsidRPr="00E86E74">
        <w:rPr>
          <w:rFonts w:ascii="Times New Roman" w:hAnsi="Times New Roman"/>
          <w:szCs w:val="24"/>
        </w:rPr>
        <w:t>inant</w:t>
      </w:r>
      <w:r w:rsidRPr="00E86E74">
        <w:rPr>
          <w:rFonts w:ascii="Times New Roman" w:hAnsi="Times New Roman"/>
          <w:szCs w:val="24"/>
        </w:rPr>
        <w:t xml:space="preserve"> </w:t>
      </w:r>
      <w:r w:rsidR="00C51F33" w:rsidRPr="00E86E74">
        <w:rPr>
          <w:rFonts w:ascii="Times New Roman" w:hAnsi="Times New Roman"/>
          <w:szCs w:val="24"/>
        </w:rPr>
        <w:t>PGF</w:t>
      </w:r>
      <w:r w:rsidR="001B6E92" w:rsidRPr="00E86E74">
        <w:rPr>
          <w:rFonts w:ascii="Times New Roman" w:hAnsi="Times New Roman"/>
          <w:szCs w:val="24"/>
        </w:rPr>
        <w:t>2</w:t>
      </w:r>
      <w:r w:rsidR="0035443F" w:rsidRPr="00E86E74">
        <w:rPr>
          <w:rFonts w:ascii="Times New Roman" w:hAnsi="Times New Roman"/>
          <w:szCs w:val="24"/>
        </w:rPr>
        <w:t xml:space="preserve"> </w:t>
      </w:r>
      <w:r w:rsidR="007A5B13" w:rsidRPr="00E86E74">
        <w:rPr>
          <w:rFonts w:ascii="Times New Roman" w:hAnsi="Times New Roman"/>
          <w:szCs w:val="24"/>
        </w:rPr>
        <w:t>priemonę</w:t>
      </w:r>
      <w:r w:rsidR="00F2303B" w:rsidRPr="00E86E74">
        <w:rPr>
          <w:rFonts w:ascii="Times New Roman" w:hAnsi="Times New Roman"/>
          <w:szCs w:val="24"/>
        </w:rPr>
        <w:t xml:space="preserve">, būti </w:t>
      </w:r>
      <w:r w:rsidR="00242F2F" w:rsidRPr="00E86E74">
        <w:rPr>
          <w:rFonts w:ascii="Times New Roman" w:hAnsi="Times New Roman"/>
          <w:szCs w:val="24"/>
        </w:rPr>
        <w:t>nepriklausom</w:t>
      </w:r>
      <w:r w:rsidR="00F2303B" w:rsidRPr="00E86E74">
        <w:rPr>
          <w:rFonts w:ascii="Times New Roman" w:hAnsi="Times New Roman"/>
          <w:szCs w:val="24"/>
        </w:rPr>
        <w:t>u</w:t>
      </w:r>
      <w:r w:rsidR="00242F2F" w:rsidRPr="00E86E74">
        <w:rPr>
          <w:rFonts w:ascii="Times New Roman" w:hAnsi="Times New Roman"/>
          <w:szCs w:val="24"/>
        </w:rPr>
        <w:t>,</w:t>
      </w:r>
      <w:r w:rsidR="007A5B13" w:rsidRPr="00E86E74">
        <w:rPr>
          <w:rFonts w:ascii="Times New Roman" w:hAnsi="Times New Roman"/>
          <w:szCs w:val="24"/>
        </w:rPr>
        <w:t xml:space="preserve"> </w:t>
      </w:r>
      <w:r w:rsidR="002F179D" w:rsidRPr="00E86E74">
        <w:rPr>
          <w:rFonts w:ascii="Times New Roman" w:hAnsi="Times New Roman"/>
          <w:szCs w:val="24"/>
        </w:rPr>
        <w:t>laik</w:t>
      </w:r>
      <w:r w:rsidR="00F2303B" w:rsidRPr="00E86E74">
        <w:rPr>
          <w:rFonts w:ascii="Times New Roman" w:hAnsi="Times New Roman"/>
          <w:szCs w:val="24"/>
        </w:rPr>
        <w:t>ytis</w:t>
      </w:r>
      <w:r w:rsidR="002F179D" w:rsidRPr="00E86E74">
        <w:rPr>
          <w:rFonts w:ascii="Times New Roman" w:hAnsi="Times New Roman"/>
          <w:szCs w:val="24"/>
        </w:rPr>
        <w:t xml:space="preserve"> patikimo finansų valdymo, skaidrumo, proporcingumo, nediskriminavimo, vienodų sąlygų ir subsidiarumo principų, </w:t>
      </w:r>
      <w:r w:rsidR="003A30CE" w:rsidRPr="00E86E74">
        <w:rPr>
          <w:rFonts w:ascii="Times New Roman" w:hAnsi="Times New Roman"/>
          <w:szCs w:val="24"/>
        </w:rPr>
        <w:t>profesinių standartų bei</w:t>
      </w:r>
      <w:r w:rsidR="00455417" w:rsidRPr="00E86E74">
        <w:rPr>
          <w:rFonts w:ascii="Times New Roman" w:hAnsi="Times New Roman"/>
          <w:szCs w:val="24"/>
        </w:rPr>
        <w:t xml:space="preserve"> </w:t>
      </w:r>
      <w:r w:rsidR="003A30CE" w:rsidRPr="00E86E74">
        <w:rPr>
          <w:rFonts w:ascii="Times New Roman" w:hAnsi="Times New Roman"/>
          <w:szCs w:val="24"/>
        </w:rPr>
        <w:t>veik</w:t>
      </w:r>
      <w:r w:rsidR="003D23D8" w:rsidRPr="00E86E74">
        <w:rPr>
          <w:rFonts w:ascii="Times New Roman" w:hAnsi="Times New Roman"/>
          <w:szCs w:val="24"/>
        </w:rPr>
        <w:t>ti</w:t>
      </w:r>
      <w:r w:rsidR="003A30CE" w:rsidRPr="00E86E74">
        <w:rPr>
          <w:rFonts w:ascii="Times New Roman" w:hAnsi="Times New Roman"/>
          <w:szCs w:val="24"/>
        </w:rPr>
        <w:t xml:space="preserve"> </w:t>
      </w:r>
      <w:r w:rsidR="000D3355" w:rsidRPr="00E86E74">
        <w:rPr>
          <w:rFonts w:ascii="Times New Roman" w:hAnsi="Times New Roman"/>
          <w:szCs w:val="24"/>
        </w:rPr>
        <w:t>INVEGOS</w:t>
      </w:r>
      <w:r w:rsidR="0035443F" w:rsidRPr="00E86E74">
        <w:rPr>
          <w:rFonts w:ascii="Times New Roman" w:hAnsi="Times New Roman"/>
          <w:szCs w:val="24"/>
        </w:rPr>
        <w:t xml:space="preserve"> f</w:t>
      </w:r>
      <w:r w:rsidR="006277B0" w:rsidRPr="00E86E74">
        <w:rPr>
          <w:rFonts w:ascii="Times New Roman" w:hAnsi="Times New Roman"/>
          <w:szCs w:val="24"/>
        </w:rPr>
        <w:t>ondo naudai ir interesa</w:t>
      </w:r>
      <w:r w:rsidR="00FF38DF" w:rsidRPr="00E86E74">
        <w:rPr>
          <w:rFonts w:ascii="Times New Roman" w:hAnsi="Times New Roman"/>
          <w:szCs w:val="24"/>
        </w:rPr>
        <w:t>ms</w:t>
      </w:r>
      <w:r w:rsidR="00AE0B7D" w:rsidRPr="00E86E74">
        <w:rPr>
          <w:rFonts w:ascii="Times New Roman" w:hAnsi="Times New Roman"/>
          <w:szCs w:val="24"/>
        </w:rPr>
        <w:t>;</w:t>
      </w:r>
    </w:p>
    <w:p w14:paraId="7DBCE9EB" w14:textId="6985B1AF" w:rsidR="00AE0B7D" w:rsidRPr="00E86E74" w:rsidRDefault="00C008EB" w:rsidP="009B0EE1">
      <w:pPr>
        <w:numPr>
          <w:ilvl w:val="2"/>
          <w:numId w:val="5"/>
        </w:numPr>
        <w:tabs>
          <w:tab w:val="left" w:pos="851"/>
        </w:tabs>
        <w:spacing w:line="276" w:lineRule="auto"/>
        <w:ind w:left="-851" w:firstLine="851"/>
        <w:jc w:val="both"/>
        <w:rPr>
          <w:rFonts w:ascii="Times New Roman" w:hAnsi="Times New Roman"/>
          <w:szCs w:val="24"/>
        </w:rPr>
      </w:pPr>
      <w:r w:rsidRPr="00E86E74">
        <w:rPr>
          <w:rFonts w:ascii="Times New Roman" w:hAnsi="Times New Roman"/>
          <w:szCs w:val="24"/>
        </w:rPr>
        <w:t xml:space="preserve">Nedelsiant </w:t>
      </w:r>
      <w:r w:rsidR="00AE0B7D" w:rsidRPr="00E86E74">
        <w:rPr>
          <w:rFonts w:ascii="Times New Roman" w:hAnsi="Times New Roman"/>
          <w:szCs w:val="24"/>
        </w:rPr>
        <w:t xml:space="preserve">informuoti „Invegą“ apie bet kurį </w:t>
      </w:r>
      <w:r w:rsidR="00C51F33" w:rsidRPr="00E86E74">
        <w:rPr>
          <w:rFonts w:ascii="Times New Roman" w:hAnsi="Times New Roman"/>
          <w:szCs w:val="24"/>
        </w:rPr>
        <w:t>PGF</w:t>
      </w:r>
      <w:r w:rsidR="001B6E92" w:rsidRPr="00E86E74">
        <w:rPr>
          <w:rFonts w:ascii="Times New Roman" w:hAnsi="Times New Roman"/>
          <w:szCs w:val="24"/>
        </w:rPr>
        <w:t>2</w:t>
      </w:r>
      <w:r w:rsidR="00AE0B7D" w:rsidRPr="00E86E74">
        <w:rPr>
          <w:rFonts w:ascii="Times New Roman" w:hAnsi="Times New Roman"/>
          <w:szCs w:val="24"/>
        </w:rPr>
        <w:t xml:space="preserve"> priemonės valdytojo nustatytą įvykį, kuris</w:t>
      </w:r>
      <w:r w:rsidR="001341C2" w:rsidRPr="00E86E74">
        <w:rPr>
          <w:rFonts w:ascii="Times New Roman" w:hAnsi="Times New Roman"/>
          <w:szCs w:val="24"/>
        </w:rPr>
        <w:t>,</w:t>
      </w:r>
      <w:r w:rsidR="00AE0B7D" w:rsidRPr="00E86E74">
        <w:rPr>
          <w:rFonts w:ascii="Times New Roman" w:hAnsi="Times New Roman"/>
          <w:szCs w:val="24"/>
        </w:rPr>
        <w:t xml:space="preserve"> jo nuomone</w:t>
      </w:r>
      <w:r w:rsidR="001341C2" w:rsidRPr="00E86E74">
        <w:rPr>
          <w:rFonts w:ascii="Times New Roman" w:hAnsi="Times New Roman"/>
          <w:szCs w:val="24"/>
        </w:rPr>
        <w:t>,</w:t>
      </w:r>
      <w:r w:rsidR="00AE0B7D" w:rsidRPr="00E86E74">
        <w:rPr>
          <w:rFonts w:ascii="Times New Roman" w:hAnsi="Times New Roman"/>
          <w:szCs w:val="24"/>
        </w:rPr>
        <w:t xml:space="preserve"> yra esminis (įskaitant, bet neapsiribojant</w:t>
      </w:r>
      <w:r w:rsidR="001A1C93" w:rsidRPr="00E86E74">
        <w:rPr>
          <w:rFonts w:ascii="Times New Roman" w:hAnsi="Times New Roman"/>
          <w:szCs w:val="24"/>
        </w:rPr>
        <w:t>,</w:t>
      </w:r>
      <w:r w:rsidR="00AE0B7D" w:rsidRPr="00E86E74">
        <w:rPr>
          <w:rFonts w:ascii="Times New Roman" w:hAnsi="Times New Roman"/>
          <w:szCs w:val="24"/>
        </w:rPr>
        <w:t xml:space="preserve"> Tinkamumo sąlygų </w:t>
      </w:r>
      <w:r w:rsidR="00245B5A" w:rsidRPr="00E86E74">
        <w:rPr>
          <w:rFonts w:ascii="Times New Roman" w:hAnsi="Times New Roman"/>
          <w:szCs w:val="24"/>
        </w:rPr>
        <w:t>pažeidimu</w:t>
      </w:r>
      <w:r w:rsidR="00AE0B7D" w:rsidRPr="00E86E74">
        <w:rPr>
          <w:rFonts w:ascii="Times New Roman" w:hAnsi="Times New Roman"/>
          <w:szCs w:val="24"/>
        </w:rPr>
        <w:t>)</w:t>
      </w:r>
      <w:r w:rsidR="001454A3" w:rsidRPr="00E86E74">
        <w:rPr>
          <w:rFonts w:ascii="Times New Roman" w:hAnsi="Times New Roman"/>
          <w:szCs w:val="24"/>
        </w:rPr>
        <w:t>,</w:t>
      </w:r>
      <w:r w:rsidR="00AE0B7D" w:rsidRPr="00E86E74">
        <w:rPr>
          <w:rFonts w:ascii="Times New Roman" w:hAnsi="Times New Roman"/>
          <w:szCs w:val="24"/>
        </w:rPr>
        <w:t xml:space="preserve"> dėl kurio „Invegai“ gali tekti imtis veiksmų ir (arba) kuris gali turėti įtakos </w:t>
      </w:r>
      <w:r w:rsidR="00F45231" w:rsidRPr="00E86E74">
        <w:rPr>
          <w:rFonts w:ascii="Times New Roman" w:hAnsi="Times New Roman"/>
          <w:szCs w:val="24"/>
        </w:rPr>
        <w:t>PGF2</w:t>
      </w:r>
      <w:r w:rsidR="00F45231">
        <w:rPr>
          <w:rFonts w:ascii="Times New Roman" w:hAnsi="Times New Roman"/>
          <w:szCs w:val="24"/>
        </w:rPr>
        <w:t> </w:t>
      </w:r>
      <w:r w:rsidR="00AE0B7D" w:rsidRPr="00E86E74">
        <w:rPr>
          <w:rFonts w:ascii="Times New Roman" w:hAnsi="Times New Roman"/>
          <w:szCs w:val="24"/>
        </w:rPr>
        <w:t>priemonės valdytojo gebėjimui vykdyti Sutartimi prisiimtus įsipareigojimus</w:t>
      </w:r>
      <w:r w:rsidR="00EE0DBF" w:rsidRPr="00E86E74">
        <w:rPr>
          <w:rFonts w:ascii="Times New Roman" w:hAnsi="Times New Roman"/>
          <w:szCs w:val="24"/>
        </w:rPr>
        <w:t>;</w:t>
      </w:r>
    </w:p>
    <w:p w14:paraId="5838DA32" w14:textId="77777777" w:rsidR="00FF0645" w:rsidRDefault="00E86E74" w:rsidP="00E86E74">
      <w:pPr>
        <w:pStyle w:val="ListParagraph"/>
        <w:numPr>
          <w:ilvl w:val="2"/>
          <w:numId w:val="5"/>
        </w:numPr>
        <w:tabs>
          <w:tab w:val="left" w:pos="851"/>
        </w:tabs>
        <w:ind w:left="-851" w:firstLine="851"/>
        <w:jc w:val="both"/>
        <w:rPr>
          <w:snapToGrid/>
          <w:sz w:val="24"/>
          <w:szCs w:val="24"/>
          <w:lang w:val="lt-LT" w:eastAsia="en-US"/>
        </w:rPr>
      </w:pPr>
      <w:r w:rsidRPr="00E86E74">
        <w:rPr>
          <w:snapToGrid/>
          <w:sz w:val="24"/>
          <w:szCs w:val="24"/>
          <w:lang w:val="lt-LT" w:eastAsia="en-US"/>
        </w:rPr>
        <w:t>Atlikti p</w:t>
      </w:r>
      <w:r w:rsidR="00C900D5" w:rsidRPr="00E86E74">
        <w:rPr>
          <w:snapToGrid/>
          <w:sz w:val="24"/>
          <w:szCs w:val="24"/>
          <w:lang w:val="lt-LT" w:eastAsia="en-US"/>
        </w:rPr>
        <w:t>irkėjo vertinimą pagal PGF2 priemonės valdytojo vidines procedūras.</w:t>
      </w:r>
    </w:p>
    <w:p w14:paraId="12B7923E" w14:textId="48FE6D00" w:rsidR="00626ABC" w:rsidRDefault="00F45231" w:rsidP="009E7B10">
      <w:pPr>
        <w:pStyle w:val="ListParagraph"/>
        <w:numPr>
          <w:ilvl w:val="2"/>
          <w:numId w:val="5"/>
        </w:numPr>
        <w:tabs>
          <w:tab w:val="left" w:pos="851"/>
          <w:tab w:val="left" w:pos="993"/>
        </w:tabs>
        <w:spacing w:after="0"/>
        <w:ind w:left="-851" w:firstLine="851"/>
        <w:jc w:val="both"/>
        <w:rPr>
          <w:sz w:val="24"/>
          <w:szCs w:val="24"/>
          <w:lang w:val="lt-LT"/>
        </w:rPr>
      </w:pPr>
      <w:r>
        <w:rPr>
          <w:sz w:val="24"/>
          <w:szCs w:val="24"/>
          <w:lang w:val="lt-LT"/>
        </w:rPr>
        <w:t>Užtikrinti</w:t>
      </w:r>
      <w:r w:rsidR="00626ABC" w:rsidRPr="00936323">
        <w:rPr>
          <w:sz w:val="24"/>
          <w:szCs w:val="24"/>
          <w:lang w:val="lt-LT"/>
        </w:rPr>
        <w:t>, kad</w:t>
      </w:r>
      <w:r>
        <w:rPr>
          <w:sz w:val="24"/>
          <w:szCs w:val="24"/>
          <w:lang w:val="lt-LT"/>
        </w:rPr>
        <w:t>,</w:t>
      </w:r>
      <w:r w:rsidR="00626ABC" w:rsidRPr="00936323">
        <w:rPr>
          <w:sz w:val="24"/>
          <w:szCs w:val="24"/>
          <w:lang w:val="lt-LT"/>
        </w:rPr>
        <w:t xml:space="preserve"> vykdant Sutartį</w:t>
      </w:r>
      <w:r>
        <w:rPr>
          <w:sz w:val="24"/>
          <w:szCs w:val="24"/>
          <w:lang w:val="lt-LT"/>
        </w:rPr>
        <w:t>,</w:t>
      </w:r>
      <w:r w:rsidR="00626ABC" w:rsidRPr="00936323">
        <w:rPr>
          <w:sz w:val="24"/>
          <w:szCs w:val="24"/>
          <w:lang w:val="lt-LT"/>
        </w:rPr>
        <w:t xml:space="preserve"> bus įgyvendintos tinkamos techninės ir organizacinės asmens duomenų tvarkymo priemonės, asmens duomenų tvarkymas atitiks 2016 m. balandžio 27 d. Europos Parlamento ir Tarybos reglamente (ES) 2016/679 dėl fizinių asmenų apsaugos tvarkant asmens duomenis ir dėl laisvo tokių duomenų judėjimo ir kuriuo panaikinama Direktyva 95/46/EB (Bendrasis duomenų apsaugos reglamentas), Lietuvos Respublikos asmens duomenų teisinės apsaugos įstatyme įtvirtintus reikalavimus;</w:t>
      </w:r>
    </w:p>
    <w:p w14:paraId="135C05A3" w14:textId="5207FFBB" w:rsidR="00F45231" w:rsidRPr="009E7B10" w:rsidRDefault="00F45231" w:rsidP="00F45231">
      <w:pPr>
        <w:pStyle w:val="ListParagraph"/>
        <w:numPr>
          <w:ilvl w:val="2"/>
          <w:numId w:val="5"/>
        </w:numPr>
        <w:tabs>
          <w:tab w:val="left" w:pos="851"/>
          <w:tab w:val="left" w:pos="993"/>
        </w:tabs>
        <w:spacing w:after="0"/>
        <w:ind w:left="-851" w:firstLine="851"/>
        <w:jc w:val="both"/>
        <w:rPr>
          <w:sz w:val="24"/>
          <w:szCs w:val="24"/>
          <w:lang w:val="lt-LT"/>
        </w:rPr>
      </w:pPr>
      <w:r>
        <w:rPr>
          <w:rFonts w:eastAsia="Calibri"/>
          <w:snapToGrid/>
          <w:sz w:val="24"/>
          <w:szCs w:val="24"/>
          <w:lang w:val="lt-LT" w:eastAsia="en-US"/>
        </w:rPr>
        <w:t>I</w:t>
      </w:r>
      <w:r w:rsidR="00626ABC" w:rsidRPr="00626ABC">
        <w:rPr>
          <w:rFonts w:eastAsia="Calibri"/>
          <w:snapToGrid/>
          <w:sz w:val="24"/>
          <w:szCs w:val="24"/>
          <w:lang w:val="lt-LT" w:eastAsia="en-US"/>
        </w:rPr>
        <w:t xml:space="preserve">nformuoti duomenų subjektus apie asmens duomenų tvarkymo dalyką, trukmę, duomenų tvarkymo pobūdį ir tikslus, duomenų rūšis ir duomenų subjektų kategorijas, duomenų perdavimo ,,Invegai“ tikslus ir pagrindus; </w:t>
      </w:r>
    </w:p>
    <w:p w14:paraId="050420C8" w14:textId="34D0F76C" w:rsidR="00626ABC" w:rsidRPr="00626ABC" w:rsidRDefault="00F45231" w:rsidP="009E7B10">
      <w:pPr>
        <w:pStyle w:val="ListParagraph"/>
        <w:numPr>
          <w:ilvl w:val="2"/>
          <w:numId w:val="5"/>
        </w:numPr>
        <w:tabs>
          <w:tab w:val="left" w:pos="851"/>
          <w:tab w:val="left" w:pos="993"/>
        </w:tabs>
        <w:spacing w:after="0"/>
        <w:ind w:left="-851" w:firstLine="851"/>
        <w:jc w:val="both"/>
        <w:rPr>
          <w:sz w:val="24"/>
          <w:szCs w:val="24"/>
          <w:lang w:val="lt-LT"/>
        </w:rPr>
      </w:pPr>
      <w:r>
        <w:rPr>
          <w:rFonts w:eastAsia="Calibri"/>
          <w:snapToGrid/>
          <w:sz w:val="24"/>
          <w:szCs w:val="24"/>
          <w:lang w:val="lt-LT" w:eastAsia="en-US"/>
        </w:rPr>
        <w:t>U</w:t>
      </w:r>
      <w:r w:rsidR="00626ABC" w:rsidRPr="00626ABC">
        <w:rPr>
          <w:rFonts w:eastAsia="Calibri"/>
          <w:snapToGrid/>
          <w:sz w:val="24"/>
          <w:szCs w:val="24"/>
          <w:lang w:val="lt-LT" w:eastAsia="en-US"/>
        </w:rPr>
        <w:t xml:space="preserve">žtikrinti, kad </w:t>
      </w:r>
      <w:r>
        <w:rPr>
          <w:rFonts w:eastAsia="Calibri"/>
          <w:snapToGrid/>
          <w:sz w:val="24"/>
          <w:szCs w:val="24"/>
          <w:lang w:val="lt-LT" w:eastAsia="en-US"/>
        </w:rPr>
        <w:t>PGF2 priemonės valdytojo</w:t>
      </w:r>
      <w:r w:rsidR="00626ABC" w:rsidRPr="00626ABC">
        <w:rPr>
          <w:rFonts w:eastAsia="Calibri"/>
          <w:snapToGrid/>
          <w:sz w:val="24"/>
          <w:szCs w:val="24"/>
          <w:lang w:val="lt-LT" w:eastAsia="en-US"/>
        </w:rPr>
        <w:t xml:space="preserve"> darbuotojai, tvarkantys asmens duomenis, laikysis konfidencialumo įsipareigojimo</w:t>
      </w:r>
      <w:r w:rsidR="004B5FF2">
        <w:rPr>
          <w:rFonts w:eastAsia="Calibri"/>
          <w:snapToGrid/>
          <w:sz w:val="24"/>
          <w:szCs w:val="24"/>
          <w:lang w:val="lt-LT" w:eastAsia="en-US"/>
        </w:rPr>
        <w:t>.</w:t>
      </w:r>
    </w:p>
    <w:p w14:paraId="1E9E867F" w14:textId="3B1AFA6E" w:rsidR="002B5E44" w:rsidRPr="000A4152" w:rsidRDefault="00C51F33" w:rsidP="009B0EE1">
      <w:pPr>
        <w:numPr>
          <w:ilvl w:val="1"/>
          <w:numId w:val="5"/>
        </w:numPr>
        <w:tabs>
          <w:tab w:val="left" w:pos="567"/>
        </w:tabs>
        <w:spacing w:line="276" w:lineRule="auto"/>
        <w:ind w:left="-851" w:firstLine="851"/>
        <w:jc w:val="both"/>
        <w:rPr>
          <w:rFonts w:ascii="Times New Roman" w:hAnsi="Times New Roman"/>
          <w:szCs w:val="24"/>
        </w:rPr>
      </w:pPr>
      <w:r w:rsidRPr="000A4152">
        <w:rPr>
          <w:rFonts w:ascii="Times New Roman" w:hAnsi="Times New Roman"/>
          <w:szCs w:val="24"/>
        </w:rPr>
        <w:t>PGF</w:t>
      </w:r>
      <w:r w:rsidR="000A4152" w:rsidRPr="000A4152">
        <w:rPr>
          <w:rFonts w:ascii="Times New Roman" w:hAnsi="Times New Roman"/>
          <w:szCs w:val="24"/>
        </w:rPr>
        <w:t>2</w:t>
      </w:r>
      <w:r w:rsidR="009C0181" w:rsidRPr="000A4152">
        <w:rPr>
          <w:rFonts w:ascii="Times New Roman" w:hAnsi="Times New Roman"/>
          <w:szCs w:val="24"/>
        </w:rPr>
        <w:t xml:space="preserve"> priemonės valdytojas</w:t>
      </w:r>
      <w:r w:rsidR="00474904" w:rsidRPr="000A4152">
        <w:rPr>
          <w:rFonts w:ascii="Times New Roman" w:hAnsi="Times New Roman"/>
          <w:szCs w:val="24"/>
        </w:rPr>
        <w:t xml:space="preserve"> </w:t>
      </w:r>
      <w:r w:rsidR="00D67D75" w:rsidRPr="000A4152">
        <w:rPr>
          <w:rFonts w:ascii="Times New Roman" w:hAnsi="Times New Roman"/>
          <w:szCs w:val="24"/>
        </w:rPr>
        <w:t>turi teisę:</w:t>
      </w:r>
    </w:p>
    <w:p w14:paraId="5A400D0C" w14:textId="15998874" w:rsidR="00EB7A7B" w:rsidRPr="000A4152" w:rsidRDefault="001341C2" w:rsidP="009B0EE1">
      <w:pPr>
        <w:numPr>
          <w:ilvl w:val="2"/>
          <w:numId w:val="5"/>
        </w:numPr>
        <w:tabs>
          <w:tab w:val="left" w:pos="851"/>
        </w:tabs>
        <w:spacing w:line="276" w:lineRule="auto"/>
        <w:ind w:left="-851" w:firstLine="851"/>
        <w:jc w:val="both"/>
        <w:rPr>
          <w:rFonts w:ascii="Times New Roman" w:hAnsi="Times New Roman"/>
          <w:szCs w:val="24"/>
        </w:rPr>
      </w:pPr>
      <w:r w:rsidRPr="000A4152">
        <w:rPr>
          <w:rFonts w:ascii="Times New Roman" w:hAnsi="Times New Roman"/>
          <w:szCs w:val="24"/>
        </w:rPr>
        <w:t xml:space="preserve">Sutartyje nustatyta tvarka </w:t>
      </w:r>
      <w:r w:rsidR="00856580" w:rsidRPr="000A4152">
        <w:rPr>
          <w:rFonts w:ascii="Times New Roman" w:hAnsi="Times New Roman"/>
          <w:szCs w:val="24"/>
        </w:rPr>
        <w:t xml:space="preserve">gauti </w:t>
      </w:r>
      <w:r w:rsidR="00C51F33" w:rsidRPr="000A4152">
        <w:rPr>
          <w:rFonts w:ascii="Times New Roman" w:hAnsi="Times New Roman"/>
          <w:szCs w:val="24"/>
        </w:rPr>
        <w:t>PGF</w:t>
      </w:r>
      <w:r w:rsidR="000A4152" w:rsidRPr="000A4152">
        <w:rPr>
          <w:rFonts w:ascii="Times New Roman" w:hAnsi="Times New Roman"/>
          <w:szCs w:val="24"/>
        </w:rPr>
        <w:t>2</w:t>
      </w:r>
      <w:r w:rsidR="00B824C7" w:rsidRPr="000A4152">
        <w:rPr>
          <w:rFonts w:ascii="Times New Roman" w:hAnsi="Times New Roman"/>
          <w:szCs w:val="24"/>
        </w:rPr>
        <w:t xml:space="preserve"> priemonės</w:t>
      </w:r>
      <w:r w:rsidR="00CC5812" w:rsidRPr="000A4152">
        <w:rPr>
          <w:rFonts w:ascii="Times New Roman" w:hAnsi="Times New Roman"/>
          <w:szCs w:val="24"/>
        </w:rPr>
        <w:t xml:space="preserve"> lėšomis teikiamą Portfelinę garantiją ir kre</w:t>
      </w:r>
      <w:r w:rsidR="00F579B5" w:rsidRPr="000A4152">
        <w:rPr>
          <w:rFonts w:ascii="Times New Roman" w:hAnsi="Times New Roman"/>
          <w:szCs w:val="24"/>
        </w:rPr>
        <w:t>iptis dėl G</w:t>
      </w:r>
      <w:r w:rsidR="00CC5812" w:rsidRPr="000A4152">
        <w:rPr>
          <w:rFonts w:ascii="Times New Roman" w:hAnsi="Times New Roman"/>
          <w:szCs w:val="24"/>
        </w:rPr>
        <w:t>arantijos išmokų</w:t>
      </w:r>
      <w:r w:rsidR="00F579B5" w:rsidRPr="000A4152">
        <w:rPr>
          <w:rFonts w:ascii="Times New Roman" w:hAnsi="Times New Roman"/>
          <w:szCs w:val="24"/>
        </w:rPr>
        <w:t xml:space="preserve"> pagal </w:t>
      </w:r>
      <w:r w:rsidR="00746374" w:rsidRPr="000A4152">
        <w:rPr>
          <w:rFonts w:ascii="Times New Roman" w:hAnsi="Times New Roman"/>
          <w:szCs w:val="24"/>
        </w:rPr>
        <w:t>Probleminius</w:t>
      </w:r>
      <w:r w:rsidR="00F579B5" w:rsidRPr="000A4152">
        <w:rPr>
          <w:rFonts w:ascii="Times New Roman" w:hAnsi="Times New Roman"/>
          <w:szCs w:val="24"/>
        </w:rPr>
        <w:t xml:space="preserve"> </w:t>
      </w:r>
      <w:r w:rsidR="00BE1664" w:rsidRPr="000A4152">
        <w:rPr>
          <w:rFonts w:ascii="Times New Roman" w:hAnsi="Times New Roman"/>
          <w:szCs w:val="24"/>
        </w:rPr>
        <w:t>Faktoringo sandori</w:t>
      </w:r>
      <w:r w:rsidR="00933B77" w:rsidRPr="000A4152">
        <w:rPr>
          <w:rFonts w:ascii="Times New Roman" w:hAnsi="Times New Roman"/>
          <w:szCs w:val="24"/>
        </w:rPr>
        <w:t>u</w:t>
      </w:r>
      <w:r w:rsidR="00F579B5" w:rsidRPr="000A4152">
        <w:rPr>
          <w:rFonts w:ascii="Times New Roman" w:hAnsi="Times New Roman"/>
          <w:szCs w:val="24"/>
        </w:rPr>
        <w:t>s</w:t>
      </w:r>
      <w:r w:rsidR="00EB7A7B" w:rsidRPr="000A4152">
        <w:rPr>
          <w:rFonts w:ascii="Times New Roman" w:hAnsi="Times New Roman"/>
          <w:szCs w:val="24"/>
        </w:rPr>
        <w:t>;</w:t>
      </w:r>
    </w:p>
    <w:p w14:paraId="23EEECAB" w14:textId="7917C927" w:rsidR="00EB7A7B" w:rsidRPr="000A4152" w:rsidRDefault="00CC5812" w:rsidP="009B0EE1">
      <w:pPr>
        <w:numPr>
          <w:ilvl w:val="2"/>
          <w:numId w:val="5"/>
        </w:numPr>
        <w:tabs>
          <w:tab w:val="left" w:pos="851"/>
        </w:tabs>
        <w:spacing w:line="276" w:lineRule="auto"/>
        <w:ind w:left="-851" w:firstLine="851"/>
        <w:jc w:val="both"/>
        <w:rPr>
          <w:rFonts w:ascii="Times New Roman" w:hAnsi="Times New Roman"/>
          <w:szCs w:val="24"/>
        </w:rPr>
      </w:pPr>
      <w:r w:rsidRPr="000A4152">
        <w:rPr>
          <w:rFonts w:ascii="Times New Roman" w:hAnsi="Times New Roman"/>
          <w:szCs w:val="24"/>
        </w:rPr>
        <w:t>Sutartyje nustatytais terminais</w:t>
      </w:r>
      <w:r w:rsidR="003719E5" w:rsidRPr="000A4152">
        <w:rPr>
          <w:rFonts w:ascii="Times New Roman" w:hAnsi="Times New Roman"/>
          <w:szCs w:val="24"/>
        </w:rPr>
        <w:t>,</w:t>
      </w:r>
      <w:r w:rsidRPr="000A4152">
        <w:rPr>
          <w:rFonts w:ascii="Times New Roman" w:hAnsi="Times New Roman"/>
          <w:szCs w:val="24"/>
        </w:rPr>
        <w:t xml:space="preserve"> </w:t>
      </w:r>
      <w:r w:rsidR="003719E5" w:rsidRPr="000A4152">
        <w:rPr>
          <w:rFonts w:ascii="Times New Roman" w:hAnsi="Times New Roman"/>
          <w:szCs w:val="24"/>
        </w:rPr>
        <w:t xml:space="preserve">dydžiais ir tvarka </w:t>
      </w:r>
      <w:r w:rsidRPr="000A4152">
        <w:rPr>
          <w:rFonts w:ascii="Times New Roman" w:hAnsi="Times New Roman"/>
          <w:szCs w:val="24"/>
        </w:rPr>
        <w:t xml:space="preserve">gauti </w:t>
      </w:r>
      <w:r w:rsidR="00F579B5" w:rsidRPr="000A4152">
        <w:rPr>
          <w:rFonts w:ascii="Times New Roman" w:hAnsi="Times New Roman"/>
          <w:szCs w:val="24"/>
        </w:rPr>
        <w:t>Garantijos išmokas</w:t>
      </w:r>
      <w:r w:rsidR="00F7185B" w:rsidRPr="000A4152">
        <w:rPr>
          <w:rFonts w:ascii="Times New Roman" w:hAnsi="Times New Roman"/>
          <w:szCs w:val="24"/>
        </w:rPr>
        <w:t>, neviršijant</w:t>
      </w:r>
      <w:r w:rsidR="00C37B5B" w:rsidRPr="000A4152">
        <w:rPr>
          <w:rFonts w:ascii="Times New Roman" w:hAnsi="Times New Roman"/>
          <w:szCs w:val="24"/>
        </w:rPr>
        <w:t xml:space="preserve"> </w:t>
      </w:r>
      <w:r w:rsidRPr="000A4152">
        <w:rPr>
          <w:rFonts w:ascii="Times New Roman" w:hAnsi="Times New Roman"/>
          <w:szCs w:val="24"/>
        </w:rPr>
        <w:t>Didžiausios</w:t>
      </w:r>
      <w:r w:rsidR="00CA1B66" w:rsidRPr="000A4152">
        <w:rPr>
          <w:rFonts w:ascii="Times New Roman" w:hAnsi="Times New Roman"/>
          <w:szCs w:val="24"/>
        </w:rPr>
        <w:t xml:space="preserve"> išmokų sumos</w:t>
      </w:r>
      <w:r w:rsidRPr="000A4152">
        <w:rPr>
          <w:rFonts w:ascii="Times New Roman" w:hAnsi="Times New Roman"/>
          <w:szCs w:val="24"/>
        </w:rPr>
        <w:t>;</w:t>
      </w:r>
    </w:p>
    <w:p w14:paraId="7F599790" w14:textId="5BCE4E3C" w:rsidR="002B5E44" w:rsidRPr="000A4152" w:rsidRDefault="000A4152" w:rsidP="009B0EE1">
      <w:pPr>
        <w:numPr>
          <w:ilvl w:val="2"/>
          <w:numId w:val="5"/>
        </w:numPr>
        <w:tabs>
          <w:tab w:val="left" w:pos="851"/>
        </w:tabs>
        <w:spacing w:line="276" w:lineRule="auto"/>
        <w:ind w:left="-851" w:firstLine="851"/>
        <w:jc w:val="both"/>
        <w:rPr>
          <w:rFonts w:ascii="Times New Roman" w:hAnsi="Times New Roman"/>
          <w:szCs w:val="24"/>
        </w:rPr>
      </w:pPr>
      <w:r w:rsidRPr="000A4152">
        <w:rPr>
          <w:rFonts w:ascii="Times New Roman" w:hAnsi="Times New Roman"/>
          <w:szCs w:val="24"/>
        </w:rPr>
        <w:t>K</w:t>
      </w:r>
      <w:r w:rsidR="00856580" w:rsidRPr="000A4152">
        <w:rPr>
          <w:rFonts w:ascii="Times New Roman" w:hAnsi="Times New Roman"/>
          <w:szCs w:val="24"/>
        </w:rPr>
        <w:t xml:space="preserve">reiptis į </w:t>
      </w:r>
      <w:r w:rsidR="002B5E44" w:rsidRPr="000A4152">
        <w:rPr>
          <w:rFonts w:ascii="Times New Roman" w:hAnsi="Times New Roman"/>
          <w:szCs w:val="24"/>
        </w:rPr>
        <w:t xml:space="preserve">„Invegą“ </w:t>
      </w:r>
      <w:r w:rsidR="00856580" w:rsidRPr="000A4152">
        <w:rPr>
          <w:rFonts w:ascii="Times New Roman" w:hAnsi="Times New Roman"/>
          <w:szCs w:val="24"/>
        </w:rPr>
        <w:t xml:space="preserve">dėl Sutarties nuostatų išaiškinimo ir </w:t>
      </w:r>
      <w:r w:rsidR="001341C2" w:rsidRPr="000A4152">
        <w:rPr>
          <w:rFonts w:ascii="Times New Roman" w:hAnsi="Times New Roman"/>
          <w:szCs w:val="24"/>
        </w:rPr>
        <w:t xml:space="preserve">kitos su </w:t>
      </w:r>
      <w:r w:rsidR="00856580" w:rsidRPr="000A4152">
        <w:rPr>
          <w:rFonts w:ascii="Times New Roman" w:hAnsi="Times New Roman"/>
          <w:szCs w:val="24"/>
        </w:rPr>
        <w:t>Sutarties įgyvendinim</w:t>
      </w:r>
      <w:r w:rsidR="001341C2" w:rsidRPr="000A4152">
        <w:rPr>
          <w:rFonts w:ascii="Times New Roman" w:hAnsi="Times New Roman"/>
          <w:szCs w:val="24"/>
        </w:rPr>
        <w:t>u susijusios inf</w:t>
      </w:r>
      <w:r w:rsidR="00856580" w:rsidRPr="000A4152">
        <w:rPr>
          <w:rFonts w:ascii="Times New Roman" w:hAnsi="Times New Roman"/>
          <w:szCs w:val="24"/>
        </w:rPr>
        <w:t>o</w:t>
      </w:r>
      <w:r w:rsidR="001341C2" w:rsidRPr="000A4152">
        <w:rPr>
          <w:rFonts w:ascii="Times New Roman" w:hAnsi="Times New Roman"/>
          <w:szCs w:val="24"/>
        </w:rPr>
        <w:t>rmacijos</w:t>
      </w:r>
      <w:r w:rsidR="006A3F75" w:rsidRPr="000A4152">
        <w:rPr>
          <w:rFonts w:ascii="Times New Roman" w:hAnsi="Times New Roman"/>
          <w:szCs w:val="24"/>
        </w:rPr>
        <w:t>.</w:t>
      </w:r>
    </w:p>
    <w:p w14:paraId="0BC61D3E" w14:textId="72674A3C" w:rsidR="00C925E5" w:rsidRPr="000A4152" w:rsidRDefault="00C65F64" w:rsidP="009B0EE1">
      <w:pPr>
        <w:tabs>
          <w:tab w:val="left" w:pos="567"/>
        </w:tabs>
        <w:spacing w:line="276" w:lineRule="auto"/>
        <w:ind w:left="-851" w:firstLine="851"/>
        <w:jc w:val="both"/>
        <w:rPr>
          <w:rFonts w:ascii="Times New Roman" w:hAnsi="Times New Roman"/>
          <w:szCs w:val="24"/>
        </w:rPr>
      </w:pPr>
      <w:r w:rsidRPr="000A4152">
        <w:rPr>
          <w:rFonts w:ascii="Times New Roman" w:hAnsi="Times New Roman"/>
          <w:szCs w:val="24"/>
        </w:rPr>
        <w:t>3.5.</w:t>
      </w:r>
      <w:r w:rsidRPr="000A4152">
        <w:rPr>
          <w:rFonts w:ascii="Times New Roman" w:hAnsi="Times New Roman"/>
          <w:szCs w:val="24"/>
        </w:rPr>
        <w:tab/>
        <w:t xml:space="preserve">Šalys visais atžvilgiais įsipareigoja vykdyti ir kitas teisės aktuose nustatytas su </w:t>
      </w:r>
      <w:r w:rsidR="00C51F33" w:rsidRPr="000A4152">
        <w:rPr>
          <w:rFonts w:ascii="Times New Roman" w:hAnsi="Times New Roman"/>
          <w:szCs w:val="24"/>
        </w:rPr>
        <w:t>PGF</w:t>
      </w:r>
      <w:r w:rsidR="000A4152" w:rsidRPr="000A4152">
        <w:rPr>
          <w:rFonts w:ascii="Times New Roman" w:hAnsi="Times New Roman"/>
          <w:szCs w:val="24"/>
        </w:rPr>
        <w:t>2</w:t>
      </w:r>
      <w:r w:rsidR="00EE0DBF" w:rsidRPr="000A4152">
        <w:rPr>
          <w:rFonts w:ascii="Times New Roman" w:hAnsi="Times New Roman"/>
          <w:szCs w:val="24"/>
        </w:rPr>
        <w:t> </w:t>
      </w:r>
      <w:r w:rsidRPr="000A4152">
        <w:rPr>
          <w:rFonts w:ascii="Times New Roman" w:hAnsi="Times New Roman"/>
          <w:szCs w:val="24"/>
        </w:rPr>
        <w:t xml:space="preserve"> priemonės įgyvendinimu susijusias pareigas.</w:t>
      </w:r>
    </w:p>
    <w:p w14:paraId="41010F2F" w14:textId="77777777" w:rsidR="00C65F64" w:rsidRPr="00754A99" w:rsidRDefault="00C65F64" w:rsidP="009B0EE1">
      <w:pPr>
        <w:spacing w:line="276" w:lineRule="auto"/>
        <w:ind w:left="-851" w:firstLine="851"/>
        <w:jc w:val="both"/>
        <w:rPr>
          <w:rFonts w:ascii="Times New Roman" w:hAnsi="Times New Roman"/>
          <w:szCs w:val="24"/>
        </w:rPr>
      </w:pPr>
    </w:p>
    <w:p w14:paraId="5960ABEE" w14:textId="05E64A6E" w:rsidR="003741F8" w:rsidRPr="00A34065" w:rsidRDefault="00856580" w:rsidP="009B0EE1">
      <w:pPr>
        <w:spacing w:line="276" w:lineRule="auto"/>
        <w:ind w:left="-851" w:firstLine="851"/>
        <w:jc w:val="center"/>
        <w:rPr>
          <w:rFonts w:ascii="Times New Roman" w:hAnsi="Times New Roman"/>
          <w:b/>
          <w:caps/>
          <w:szCs w:val="24"/>
        </w:rPr>
      </w:pPr>
      <w:r w:rsidRPr="00A34065">
        <w:rPr>
          <w:rFonts w:ascii="Times New Roman" w:hAnsi="Times New Roman"/>
          <w:b/>
          <w:caps/>
          <w:szCs w:val="24"/>
        </w:rPr>
        <w:t>IV</w:t>
      </w:r>
      <w:r w:rsidR="002B5E44" w:rsidRPr="00A34065">
        <w:rPr>
          <w:rFonts w:ascii="Times New Roman" w:hAnsi="Times New Roman"/>
          <w:b/>
          <w:caps/>
          <w:szCs w:val="24"/>
        </w:rPr>
        <w:t xml:space="preserve"> SKYRIUS</w:t>
      </w:r>
      <w:r w:rsidRPr="00A34065">
        <w:rPr>
          <w:rFonts w:ascii="Times New Roman" w:hAnsi="Times New Roman"/>
          <w:b/>
          <w:caps/>
          <w:szCs w:val="24"/>
        </w:rPr>
        <w:t>.</w:t>
      </w:r>
      <w:r w:rsidR="002B5E44" w:rsidRPr="00A34065">
        <w:rPr>
          <w:rFonts w:ascii="Times New Roman" w:hAnsi="Times New Roman"/>
          <w:b/>
          <w:caps/>
          <w:szCs w:val="24"/>
        </w:rPr>
        <w:t xml:space="preserve"> </w:t>
      </w:r>
      <w:r w:rsidR="00C86D0B" w:rsidRPr="00A34065">
        <w:rPr>
          <w:rFonts w:ascii="Times New Roman" w:hAnsi="Times New Roman"/>
          <w:b/>
          <w:caps/>
          <w:szCs w:val="24"/>
        </w:rPr>
        <w:t>portfelio formavimo</w:t>
      </w:r>
      <w:r w:rsidR="009B5446" w:rsidRPr="00A34065">
        <w:rPr>
          <w:rFonts w:ascii="Times New Roman" w:hAnsi="Times New Roman"/>
          <w:b/>
          <w:caps/>
          <w:szCs w:val="24"/>
        </w:rPr>
        <w:t xml:space="preserve"> </w:t>
      </w:r>
      <w:r w:rsidR="00D4281F" w:rsidRPr="00A34065">
        <w:rPr>
          <w:rFonts w:ascii="Times New Roman" w:hAnsi="Times New Roman"/>
          <w:b/>
          <w:caps/>
          <w:szCs w:val="24"/>
        </w:rPr>
        <w:t>SĄLYGOS</w:t>
      </w:r>
    </w:p>
    <w:p w14:paraId="6EC215A1" w14:textId="77777777" w:rsidR="00EB7A7B" w:rsidRPr="00A34065" w:rsidRDefault="00EB7A7B" w:rsidP="009B0EE1">
      <w:pPr>
        <w:spacing w:line="276" w:lineRule="auto"/>
        <w:ind w:left="-851" w:firstLine="851"/>
        <w:jc w:val="both"/>
        <w:rPr>
          <w:rFonts w:ascii="Times New Roman" w:hAnsi="Times New Roman"/>
          <w:szCs w:val="24"/>
        </w:rPr>
      </w:pPr>
    </w:p>
    <w:p w14:paraId="6C63E665" w14:textId="302171AC" w:rsidR="00EB7A7B" w:rsidRPr="00A34065" w:rsidRDefault="00FB03D7" w:rsidP="009B0EE1">
      <w:pPr>
        <w:pStyle w:val="ListParagraph"/>
        <w:numPr>
          <w:ilvl w:val="1"/>
          <w:numId w:val="6"/>
        </w:numPr>
        <w:tabs>
          <w:tab w:val="left" w:pos="567"/>
        </w:tabs>
        <w:overflowPunct w:val="0"/>
        <w:autoSpaceDE w:val="0"/>
        <w:autoSpaceDN w:val="0"/>
        <w:adjustRightInd w:val="0"/>
        <w:spacing w:after="0"/>
        <w:ind w:left="-851" w:firstLine="851"/>
        <w:jc w:val="both"/>
        <w:textAlignment w:val="baseline"/>
        <w:rPr>
          <w:rFonts w:eastAsia="Times New Roman"/>
          <w:sz w:val="24"/>
          <w:szCs w:val="24"/>
          <w:lang w:val="lt-LT"/>
        </w:rPr>
      </w:pPr>
      <w:r w:rsidRPr="00A34065">
        <w:rPr>
          <w:rFonts w:eastAsia="Times New Roman"/>
          <w:sz w:val="24"/>
          <w:szCs w:val="24"/>
          <w:lang w:val="lt-LT"/>
        </w:rPr>
        <w:t xml:space="preserve">Į </w:t>
      </w:r>
      <w:r w:rsidR="00C86D0B" w:rsidRPr="00A34065">
        <w:rPr>
          <w:rFonts w:eastAsia="Times New Roman"/>
          <w:sz w:val="24"/>
          <w:szCs w:val="24"/>
          <w:lang w:val="lt-LT"/>
        </w:rPr>
        <w:t xml:space="preserve">Portfelį gali būti </w:t>
      </w:r>
      <w:r w:rsidR="00933B77" w:rsidRPr="00A34065">
        <w:rPr>
          <w:rFonts w:eastAsia="Times New Roman"/>
          <w:sz w:val="24"/>
          <w:szCs w:val="24"/>
          <w:lang w:val="lt-LT"/>
        </w:rPr>
        <w:t xml:space="preserve">įtraukiami </w:t>
      </w:r>
      <w:r w:rsidR="00C86D0B" w:rsidRPr="00A34065">
        <w:rPr>
          <w:rFonts w:eastAsia="Times New Roman"/>
          <w:sz w:val="24"/>
          <w:szCs w:val="24"/>
          <w:lang w:val="lt-LT"/>
        </w:rPr>
        <w:t>tik vis</w:t>
      </w:r>
      <w:r w:rsidR="008A1E71" w:rsidRPr="00A34065">
        <w:rPr>
          <w:rFonts w:eastAsia="Times New Roman"/>
          <w:sz w:val="24"/>
          <w:szCs w:val="24"/>
          <w:lang w:val="lt-LT"/>
        </w:rPr>
        <w:t>as Tinkamumo sąlygas atitinkan</w:t>
      </w:r>
      <w:r w:rsidR="00933B77" w:rsidRPr="00A34065">
        <w:rPr>
          <w:rFonts w:eastAsia="Times New Roman"/>
          <w:sz w:val="24"/>
          <w:szCs w:val="24"/>
          <w:lang w:val="lt-LT"/>
        </w:rPr>
        <w:t>tys</w:t>
      </w:r>
      <w:r w:rsidR="008A1E71" w:rsidRPr="00A34065">
        <w:rPr>
          <w:rFonts w:eastAsia="Times New Roman"/>
          <w:sz w:val="24"/>
          <w:szCs w:val="24"/>
          <w:lang w:val="lt-LT"/>
        </w:rPr>
        <w:t xml:space="preserve"> </w:t>
      </w:r>
      <w:r w:rsidR="00F21757" w:rsidRPr="00A34065">
        <w:rPr>
          <w:rFonts w:eastAsia="Times New Roman"/>
          <w:sz w:val="24"/>
          <w:szCs w:val="24"/>
          <w:lang w:val="lt-LT"/>
        </w:rPr>
        <w:t>Faktoringo sandori</w:t>
      </w:r>
      <w:r w:rsidR="00933B77" w:rsidRPr="00A34065">
        <w:rPr>
          <w:rFonts w:eastAsia="Times New Roman"/>
          <w:sz w:val="24"/>
          <w:szCs w:val="24"/>
          <w:lang w:val="lt-LT"/>
        </w:rPr>
        <w:t>ai</w:t>
      </w:r>
      <w:r w:rsidR="00C86D0B" w:rsidRPr="00A34065">
        <w:rPr>
          <w:rFonts w:eastAsia="Times New Roman"/>
          <w:sz w:val="24"/>
          <w:szCs w:val="24"/>
          <w:lang w:val="lt-LT"/>
        </w:rPr>
        <w:t>.</w:t>
      </w:r>
    </w:p>
    <w:p w14:paraId="73CF617E" w14:textId="5DEC1C3A" w:rsidR="00EB7A7B" w:rsidRPr="00A34065" w:rsidRDefault="003741F8" w:rsidP="009B0EE1">
      <w:pPr>
        <w:pStyle w:val="ListParagraph"/>
        <w:numPr>
          <w:ilvl w:val="1"/>
          <w:numId w:val="6"/>
        </w:numPr>
        <w:tabs>
          <w:tab w:val="left" w:pos="567"/>
        </w:tabs>
        <w:overflowPunct w:val="0"/>
        <w:autoSpaceDE w:val="0"/>
        <w:autoSpaceDN w:val="0"/>
        <w:adjustRightInd w:val="0"/>
        <w:spacing w:after="0"/>
        <w:ind w:left="-851" w:firstLine="851"/>
        <w:jc w:val="both"/>
        <w:textAlignment w:val="baseline"/>
        <w:rPr>
          <w:rFonts w:eastAsia="Times New Roman"/>
          <w:sz w:val="24"/>
          <w:szCs w:val="24"/>
          <w:lang w:val="lt-LT"/>
        </w:rPr>
      </w:pPr>
      <w:r w:rsidRPr="00A34065">
        <w:rPr>
          <w:sz w:val="24"/>
          <w:szCs w:val="24"/>
          <w:lang w:val="lt-LT"/>
        </w:rPr>
        <w:t>Kiekviena</w:t>
      </w:r>
      <w:r w:rsidR="00933B77" w:rsidRPr="00A34065">
        <w:rPr>
          <w:sz w:val="24"/>
          <w:szCs w:val="24"/>
          <w:lang w:val="lt-LT"/>
        </w:rPr>
        <w:t>s</w:t>
      </w:r>
      <w:r w:rsidRPr="00A34065">
        <w:rPr>
          <w:sz w:val="24"/>
          <w:szCs w:val="24"/>
          <w:lang w:val="lt-LT"/>
        </w:rPr>
        <w:t xml:space="preserve"> į</w:t>
      </w:r>
      <w:r w:rsidR="00C86D0B" w:rsidRPr="00A34065">
        <w:rPr>
          <w:sz w:val="24"/>
          <w:szCs w:val="24"/>
          <w:lang w:val="lt-LT"/>
        </w:rPr>
        <w:t xml:space="preserve"> Portfelį</w:t>
      </w:r>
      <w:r w:rsidRPr="00A34065">
        <w:rPr>
          <w:sz w:val="24"/>
          <w:szCs w:val="24"/>
          <w:lang w:val="lt-LT"/>
        </w:rPr>
        <w:t xml:space="preserve"> įtraukiama</w:t>
      </w:r>
      <w:r w:rsidR="00933B77" w:rsidRPr="00A34065">
        <w:rPr>
          <w:sz w:val="24"/>
          <w:szCs w:val="24"/>
          <w:lang w:val="lt-LT"/>
        </w:rPr>
        <w:t>s</w:t>
      </w:r>
      <w:r w:rsidRPr="00A34065">
        <w:rPr>
          <w:sz w:val="24"/>
          <w:szCs w:val="24"/>
          <w:lang w:val="lt-LT"/>
        </w:rPr>
        <w:t xml:space="preserve"> </w:t>
      </w:r>
      <w:r w:rsidR="00BE1664" w:rsidRPr="00A34065">
        <w:rPr>
          <w:sz w:val="24"/>
          <w:szCs w:val="24"/>
          <w:lang w:val="lt-LT"/>
        </w:rPr>
        <w:t>Faktoringo sandoris</w:t>
      </w:r>
      <w:r w:rsidRPr="00A34065">
        <w:rPr>
          <w:sz w:val="24"/>
          <w:szCs w:val="24"/>
          <w:lang w:val="lt-LT"/>
        </w:rPr>
        <w:t xml:space="preserve"> garantuojama</w:t>
      </w:r>
      <w:r w:rsidR="00933B77" w:rsidRPr="00A34065">
        <w:rPr>
          <w:sz w:val="24"/>
          <w:szCs w:val="24"/>
          <w:lang w:val="lt-LT"/>
        </w:rPr>
        <w:t>s</w:t>
      </w:r>
      <w:r w:rsidRPr="00A34065">
        <w:rPr>
          <w:sz w:val="24"/>
          <w:szCs w:val="24"/>
          <w:lang w:val="lt-LT"/>
        </w:rPr>
        <w:t xml:space="preserve"> 80</w:t>
      </w:r>
      <w:r w:rsidR="00EE0DBF" w:rsidRPr="00A34065">
        <w:rPr>
          <w:sz w:val="24"/>
          <w:szCs w:val="24"/>
          <w:lang w:val="lt-LT"/>
        </w:rPr>
        <w:t> </w:t>
      </w:r>
      <w:r w:rsidRPr="00A34065">
        <w:rPr>
          <w:sz w:val="24"/>
          <w:szCs w:val="24"/>
          <w:lang w:val="lt-LT"/>
        </w:rPr>
        <w:t xml:space="preserve"> </w:t>
      </w:r>
      <w:r w:rsidR="00A67A7A" w:rsidRPr="00A34065">
        <w:rPr>
          <w:sz w:val="24"/>
          <w:szCs w:val="24"/>
          <w:lang w:val="lt-LT"/>
        </w:rPr>
        <w:t xml:space="preserve">(aštuoniasdešimt) </w:t>
      </w:r>
      <w:r w:rsidRPr="00A34065">
        <w:rPr>
          <w:sz w:val="24"/>
          <w:szCs w:val="24"/>
          <w:lang w:val="lt-LT"/>
        </w:rPr>
        <w:t xml:space="preserve">proc., tačiau bendra </w:t>
      </w:r>
      <w:r w:rsidR="00F7185B" w:rsidRPr="00A34065">
        <w:rPr>
          <w:sz w:val="24"/>
          <w:szCs w:val="24"/>
          <w:lang w:val="lt-LT"/>
        </w:rPr>
        <w:t xml:space="preserve">Garantijų </w:t>
      </w:r>
      <w:r w:rsidRPr="00A34065">
        <w:rPr>
          <w:sz w:val="24"/>
          <w:szCs w:val="24"/>
          <w:lang w:val="lt-LT"/>
        </w:rPr>
        <w:t xml:space="preserve">išmokų </w:t>
      </w:r>
      <w:r w:rsidR="009B5446" w:rsidRPr="00A34065">
        <w:rPr>
          <w:sz w:val="24"/>
          <w:szCs w:val="24"/>
          <w:lang w:val="lt-LT"/>
        </w:rPr>
        <w:t>suma negali viršyti D</w:t>
      </w:r>
      <w:r w:rsidRPr="00A34065">
        <w:rPr>
          <w:sz w:val="24"/>
          <w:szCs w:val="24"/>
          <w:lang w:val="lt-LT"/>
        </w:rPr>
        <w:t>idžiausios išmokų</w:t>
      </w:r>
      <w:r w:rsidR="00282B14" w:rsidRPr="00A34065">
        <w:rPr>
          <w:sz w:val="24"/>
          <w:szCs w:val="24"/>
          <w:lang w:val="lt-LT"/>
        </w:rPr>
        <w:t xml:space="preserve"> sumos</w:t>
      </w:r>
      <w:r w:rsidR="00EB38F2" w:rsidRPr="00A34065">
        <w:rPr>
          <w:sz w:val="24"/>
          <w:szCs w:val="24"/>
          <w:lang w:val="lt-LT"/>
        </w:rPr>
        <w:t>.</w:t>
      </w:r>
    </w:p>
    <w:p w14:paraId="65377E0C" w14:textId="778F98F2" w:rsidR="00EB7A7B" w:rsidRPr="00A608BC" w:rsidRDefault="00C51F33" w:rsidP="009B0EE1">
      <w:pPr>
        <w:pStyle w:val="ListParagraph"/>
        <w:numPr>
          <w:ilvl w:val="1"/>
          <w:numId w:val="6"/>
        </w:numPr>
        <w:tabs>
          <w:tab w:val="left" w:pos="567"/>
        </w:tabs>
        <w:overflowPunct w:val="0"/>
        <w:autoSpaceDE w:val="0"/>
        <w:autoSpaceDN w:val="0"/>
        <w:adjustRightInd w:val="0"/>
        <w:spacing w:after="0"/>
        <w:ind w:left="-851" w:firstLine="851"/>
        <w:jc w:val="both"/>
        <w:textAlignment w:val="baseline"/>
        <w:rPr>
          <w:rFonts w:eastAsia="Times New Roman"/>
          <w:sz w:val="24"/>
          <w:szCs w:val="24"/>
          <w:lang w:val="lt-LT"/>
        </w:rPr>
      </w:pPr>
      <w:r w:rsidRPr="00A34065">
        <w:rPr>
          <w:sz w:val="24"/>
          <w:szCs w:val="24"/>
          <w:lang w:val="lt-LT"/>
        </w:rPr>
        <w:t>PGF</w:t>
      </w:r>
      <w:r w:rsidR="00A34065" w:rsidRPr="00A34065">
        <w:rPr>
          <w:sz w:val="24"/>
          <w:szCs w:val="24"/>
          <w:lang w:val="lt-LT"/>
        </w:rPr>
        <w:t>2</w:t>
      </w:r>
      <w:r w:rsidR="00D4281F" w:rsidRPr="00A34065">
        <w:rPr>
          <w:sz w:val="24"/>
          <w:szCs w:val="24"/>
          <w:lang w:val="lt-LT"/>
        </w:rPr>
        <w:t xml:space="preserve"> priemonės valdytojas prisiima ne mažesnį nei 20 </w:t>
      </w:r>
      <w:r w:rsidR="00A67A7A" w:rsidRPr="00A34065">
        <w:rPr>
          <w:sz w:val="24"/>
          <w:szCs w:val="24"/>
          <w:lang w:val="lt-LT"/>
        </w:rPr>
        <w:t xml:space="preserve">(dvidešimt) </w:t>
      </w:r>
      <w:r w:rsidR="00D4281F" w:rsidRPr="00A34065">
        <w:rPr>
          <w:sz w:val="24"/>
          <w:szCs w:val="24"/>
          <w:lang w:val="lt-LT"/>
        </w:rPr>
        <w:t>proc. suformuoto Portfelio nuostolingumą</w:t>
      </w:r>
      <w:r w:rsidR="006A04FC" w:rsidRPr="00A34065">
        <w:rPr>
          <w:sz w:val="24"/>
          <w:szCs w:val="24"/>
          <w:lang w:val="lt-LT"/>
        </w:rPr>
        <w:t xml:space="preserve"> (nuostolingumo riziką)</w:t>
      </w:r>
      <w:r w:rsidR="00CF5B99" w:rsidRPr="00A34065">
        <w:rPr>
          <w:sz w:val="24"/>
          <w:szCs w:val="24"/>
          <w:lang w:val="lt-LT"/>
        </w:rPr>
        <w:t xml:space="preserve">, t. y. </w:t>
      </w:r>
      <w:r w:rsidRPr="00A34065">
        <w:rPr>
          <w:sz w:val="24"/>
          <w:szCs w:val="24"/>
          <w:lang w:val="lt-LT"/>
        </w:rPr>
        <w:t>PGF</w:t>
      </w:r>
      <w:r w:rsidR="00A34065" w:rsidRPr="00A34065">
        <w:rPr>
          <w:sz w:val="24"/>
          <w:szCs w:val="24"/>
          <w:lang w:val="lt-LT"/>
        </w:rPr>
        <w:t>2</w:t>
      </w:r>
      <w:r w:rsidR="00CF5B99" w:rsidRPr="00A34065">
        <w:rPr>
          <w:sz w:val="24"/>
          <w:szCs w:val="24"/>
          <w:lang w:val="lt-LT"/>
        </w:rPr>
        <w:t xml:space="preserve"> priemonės valdytojas įsipareigoja iki </w:t>
      </w:r>
      <w:r w:rsidR="00294D71" w:rsidRPr="00A34065">
        <w:rPr>
          <w:sz w:val="24"/>
          <w:szCs w:val="24"/>
          <w:lang w:val="lt-LT"/>
        </w:rPr>
        <w:t>Portfelinės g</w:t>
      </w:r>
      <w:r w:rsidR="00CF5B99" w:rsidRPr="00A34065">
        <w:rPr>
          <w:sz w:val="24"/>
          <w:szCs w:val="24"/>
          <w:lang w:val="lt-LT"/>
        </w:rPr>
        <w:t xml:space="preserve">arantijos galiojimo pabaigos prisiimti ne mažesnę kaip 20 </w:t>
      </w:r>
      <w:r w:rsidR="00A67A7A" w:rsidRPr="00A34065">
        <w:rPr>
          <w:sz w:val="24"/>
          <w:szCs w:val="24"/>
          <w:lang w:val="lt-LT"/>
        </w:rPr>
        <w:t xml:space="preserve">(dvidešimt) </w:t>
      </w:r>
      <w:r w:rsidR="00CF5B99" w:rsidRPr="00A34065">
        <w:rPr>
          <w:sz w:val="24"/>
          <w:szCs w:val="24"/>
          <w:lang w:val="lt-LT"/>
        </w:rPr>
        <w:t xml:space="preserve">proc. kiekvieno į Portfelį įtraukiamo </w:t>
      </w:r>
      <w:r w:rsidR="00F21757" w:rsidRPr="00A34065">
        <w:rPr>
          <w:sz w:val="24"/>
          <w:szCs w:val="24"/>
          <w:lang w:val="lt-LT"/>
        </w:rPr>
        <w:t>Faktoringo sandorio</w:t>
      </w:r>
      <w:r w:rsidR="00CF5B99" w:rsidRPr="00A34065">
        <w:rPr>
          <w:sz w:val="24"/>
          <w:szCs w:val="24"/>
          <w:lang w:val="lt-LT"/>
        </w:rPr>
        <w:t xml:space="preserve"> riziką</w:t>
      </w:r>
      <w:r w:rsidR="00282B14" w:rsidRPr="00A34065">
        <w:rPr>
          <w:sz w:val="24"/>
          <w:szCs w:val="24"/>
          <w:lang w:val="lt-LT"/>
        </w:rPr>
        <w:t xml:space="preserve">. </w:t>
      </w:r>
      <w:r w:rsidR="00F21757" w:rsidRPr="00A34065">
        <w:rPr>
          <w:sz w:val="24"/>
          <w:szCs w:val="24"/>
          <w:lang w:val="lt-LT"/>
        </w:rPr>
        <w:t>Faktoringo sandori</w:t>
      </w:r>
      <w:r w:rsidR="00AF4D40" w:rsidRPr="00A34065">
        <w:rPr>
          <w:sz w:val="24"/>
          <w:szCs w:val="24"/>
          <w:lang w:val="lt-LT"/>
        </w:rPr>
        <w:t>ui</w:t>
      </w:r>
      <w:r w:rsidR="00F2303B" w:rsidRPr="00A34065">
        <w:rPr>
          <w:sz w:val="24"/>
          <w:szCs w:val="24"/>
          <w:lang w:val="lt-LT"/>
        </w:rPr>
        <w:t xml:space="preserve"> apdrausti</w:t>
      </w:r>
      <w:r w:rsidR="00282B14" w:rsidRPr="00A34065">
        <w:rPr>
          <w:sz w:val="24"/>
          <w:szCs w:val="24"/>
          <w:lang w:val="lt-LT"/>
        </w:rPr>
        <w:t xml:space="preserve"> </w:t>
      </w:r>
      <w:r w:rsidRPr="00A34065">
        <w:rPr>
          <w:sz w:val="24"/>
          <w:szCs w:val="24"/>
          <w:lang w:val="lt-LT"/>
        </w:rPr>
        <w:t>PGF</w:t>
      </w:r>
      <w:r w:rsidR="00A34065" w:rsidRPr="00A34065">
        <w:rPr>
          <w:sz w:val="24"/>
          <w:szCs w:val="24"/>
          <w:lang w:val="lt-LT"/>
        </w:rPr>
        <w:t>2</w:t>
      </w:r>
      <w:r w:rsidR="00282B14" w:rsidRPr="00A34065">
        <w:rPr>
          <w:sz w:val="24"/>
          <w:szCs w:val="24"/>
          <w:lang w:val="lt-LT"/>
        </w:rPr>
        <w:t xml:space="preserve"> priemonės valdytojas negali </w:t>
      </w:r>
      <w:r w:rsidR="00282B14" w:rsidRPr="00A608BC">
        <w:rPr>
          <w:sz w:val="24"/>
          <w:szCs w:val="24"/>
          <w:lang w:val="lt-LT"/>
        </w:rPr>
        <w:t xml:space="preserve">sudaryti </w:t>
      </w:r>
      <w:r w:rsidR="00F2303B" w:rsidRPr="00A608BC">
        <w:rPr>
          <w:sz w:val="24"/>
          <w:szCs w:val="24"/>
          <w:lang w:val="lt-LT"/>
        </w:rPr>
        <w:t xml:space="preserve">kitos </w:t>
      </w:r>
      <w:r w:rsidR="00282B14" w:rsidRPr="00A608BC">
        <w:rPr>
          <w:sz w:val="24"/>
          <w:szCs w:val="24"/>
          <w:lang w:val="lt-LT"/>
        </w:rPr>
        <w:t>garantijos</w:t>
      </w:r>
      <w:r w:rsidR="00AF4D40" w:rsidRPr="00A608BC">
        <w:rPr>
          <w:sz w:val="24"/>
          <w:szCs w:val="24"/>
          <w:lang w:val="lt-LT"/>
        </w:rPr>
        <w:t xml:space="preserve">, išskyrus </w:t>
      </w:r>
      <w:r w:rsidR="002A7FC1" w:rsidRPr="00A608BC">
        <w:rPr>
          <w:sz w:val="24"/>
          <w:szCs w:val="24"/>
          <w:lang w:val="lt-LT"/>
        </w:rPr>
        <w:t>Portfelinę</w:t>
      </w:r>
      <w:r w:rsidR="00AF4D40" w:rsidRPr="00A608BC">
        <w:rPr>
          <w:sz w:val="24"/>
          <w:szCs w:val="24"/>
          <w:lang w:val="lt-LT"/>
        </w:rPr>
        <w:t xml:space="preserve"> garantiją</w:t>
      </w:r>
      <w:r w:rsidR="00802A28" w:rsidRPr="00A608BC">
        <w:rPr>
          <w:sz w:val="24"/>
          <w:szCs w:val="24"/>
          <w:lang w:val="lt-LT"/>
        </w:rPr>
        <w:t>, pirkėjų nemokumo rizikos draudimo</w:t>
      </w:r>
      <w:r w:rsidR="00282B14" w:rsidRPr="00A608BC">
        <w:rPr>
          <w:sz w:val="24"/>
          <w:szCs w:val="24"/>
          <w:lang w:val="lt-LT"/>
        </w:rPr>
        <w:t xml:space="preserve"> ar kitokių rizikos perleidimo susitarimų</w:t>
      </w:r>
      <w:r w:rsidR="00FC28AE" w:rsidRPr="00A608BC">
        <w:rPr>
          <w:sz w:val="24"/>
          <w:szCs w:val="24"/>
          <w:lang w:val="lt-LT"/>
        </w:rPr>
        <w:t>.</w:t>
      </w:r>
    </w:p>
    <w:p w14:paraId="4077DA99" w14:textId="37B51727" w:rsidR="00EB7A7B" w:rsidRPr="002A3A10" w:rsidRDefault="00F21757" w:rsidP="009B0EE1">
      <w:pPr>
        <w:pStyle w:val="ListParagraph"/>
        <w:numPr>
          <w:ilvl w:val="1"/>
          <w:numId w:val="6"/>
        </w:numPr>
        <w:tabs>
          <w:tab w:val="left" w:pos="567"/>
        </w:tabs>
        <w:overflowPunct w:val="0"/>
        <w:autoSpaceDE w:val="0"/>
        <w:autoSpaceDN w:val="0"/>
        <w:adjustRightInd w:val="0"/>
        <w:spacing w:after="0"/>
        <w:ind w:left="-851" w:firstLine="851"/>
        <w:jc w:val="both"/>
        <w:textAlignment w:val="baseline"/>
        <w:rPr>
          <w:rFonts w:eastAsia="Times New Roman"/>
          <w:sz w:val="24"/>
          <w:szCs w:val="24"/>
          <w:lang w:val="lt-LT"/>
        </w:rPr>
      </w:pPr>
      <w:r w:rsidRPr="00D16478">
        <w:rPr>
          <w:bCs/>
          <w:sz w:val="24"/>
          <w:szCs w:val="24"/>
          <w:lang w:val="lt-LT"/>
        </w:rPr>
        <w:t>Faktoringo sandori</w:t>
      </w:r>
      <w:r w:rsidR="00933B77" w:rsidRPr="00D16478">
        <w:rPr>
          <w:bCs/>
          <w:sz w:val="24"/>
          <w:szCs w:val="24"/>
          <w:lang w:val="lt-LT"/>
        </w:rPr>
        <w:t>ai</w:t>
      </w:r>
      <w:r w:rsidR="00E6024E" w:rsidRPr="00D16478">
        <w:rPr>
          <w:bCs/>
          <w:sz w:val="24"/>
          <w:szCs w:val="24"/>
          <w:lang w:val="lt-LT"/>
        </w:rPr>
        <w:t xml:space="preserve"> įtraukiam</w:t>
      </w:r>
      <w:r w:rsidR="00933B77" w:rsidRPr="00D16478">
        <w:rPr>
          <w:bCs/>
          <w:sz w:val="24"/>
          <w:szCs w:val="24"/>
          <w:lang w:val="lt-LT"/>
        </w:rPr>
        <w:t>i</w:t>
      </w:r>
      <w:r w:rsidR="00E6024E" w:rsidRPr="00D16478">
        <w:rPr>
          <w:bCs/>
          <w:sz w:val="24"/>
          <w:szCs w:val="24"/>
          <w:lang w:val="lt-LT"/>
        </w:rPr>
        <w:t xml:space="preserve"> į Portfelį automatiškai</w:t>
      </w:r>
      <w:r w:rsidR="00820E0A" w:rsidRPr="00D16478">
        <w:rPr>
          <w:bCs/>
          <w:sz w:val="24"/>
          <w:szCs w:val="24"/>
          <w:lang w:val="lt-LT"/>
        </w:rPr>
        <w:t xml:space="preserve"> </w:t>
      </w:r>
      <w:r w:rsidR="00C51F33" w:rsidRPr="00D16478">
        <w:rPr>
          <w:bCs/>
          <w:sz w:val="24"/>
          <w:szCs w:val="24"/>
          <w:lang w:val="lt-LT"/>
        </w:rPr>
        <w:t>PGF</w:t>
      </w:r>
      <w:r w:rsidR="00A608BC" w:rsidRPr="00D16478">
        <w:rPr>
          <w:bCs/>
          <w:sz w:val="24"/>
          <w:szCs w:val="24"/>
          <w:lang w:val="lt-LT"/>
        </w:rPr>
        <w:t>2</w:t>
      </w:r>
      <w:r w:rsidR="00820E0A" w:rsidRPr="00D16478">
        <w:rPr>
          <w:bCs/>
          <w:sz w:val="24"/>
          <w:szCs w:val="24"/>
          <w:lang w:val="lt-LT"/>
        </w:rPr>
        <w:t xml:space="preserve"> priemonės valdytojui „</w:t>
      </w:r>
      <w:r w:rsidR="00820E0A" w:rsidRPr="002A3A10">
        <w:rPr>
          <w:bCs/>
          <w:sz w:val="24"/>
          <w:szCs w:val="24"/>
          <w:lang w:val="lt-LT"/>
        </w:rPr>
        <w:t xml:space="preserve">Invegai“ pateikus Sutarties </w:t>
      </w:r>
      <w:r w:rsidR="0057144E" w:rsidRPr="002A3A10">
        <w:rPr>
          <w:bCs/>
          <w:sz w:val="24"/>
          <w:szCs w:val="24"/>
          <w:lang w:val="lt-LT"/>
        </w:rPr>
        <w:t xml:space="preserve">8.1.2 papunktyje </w:t>
      </w:r>
      <w:r w:rsidR="00820E0A" w:rsidRPr="002A3A10">
        <w:rPr>
          <w:bCs/>
          <w:sz w:val="24"/>
          <w:szCs w:val="24"/>
          <w:lang w:val="lt-LT"/>
        </w:rPr>
        <w:t xml:space="preserve">nurodytą ketvirtinę ataskaitą, į kurią įtraukti duomenys apie </w:t>
      </w:r>
      <w:r w:rsidRPr="002A3A10">
        <w:rPr>
          <w:bCs/>
          <w:sz w:val="24"/>
          <w:szCs w:val="24"/>
          <w:lang w:val="lt-LT"/>
        </w:rPr>
        <w:t>Faktoringo sandori</w:t>
      </w:r>
      <w:r w:rsidR="00933B77" w:rsidRPr="002A3A10">
        <w:rPr>
          <w:bCs/>
          <w:sz w:val="24"/>
          <w:szCs w:val="24"/>
          <w:lang w:val="lt-LT"/>
        </w:rPr>
        <w:t>us</w:t>
      </w:r>
      <w:r w:rsidR="00E6024E" w:rsidRPr="002A3A10">
        <w:rPr>
          <w:bCs/>
          <w:sz w:val="24"/>
          <w:szCs w:val="24"/>
          <w:lang w:val="lt-LT"/>
        </w:rPr>
        <w:t xml:space="preserve">. </w:t>
      </w:r>
      <w:r w:rsidR="0062733F" w:rsidRPr="002A3A10">
        <w:rPr>
          <w:bCs/>
          <w:sz w:val="24"/>
          <w:szCs w:val="24"/>
          <w:lang w:val="lt-LT"/>
        </w:rPr>
        <w:t>Portfelinė g</w:t>
      </w:r>
      <w:r w:rsidR="00D4281F" w:rsidRPr="002A3A10">
        <w:rPr>
          <w:bCs/>
          <w:sz w:val="24"/>
          <w:szCs w:val="24"/>
          <w:lang w:val="lt-LT"/>
        </w:rPr>
        <w:t xml:space="preserve">arantija įsigalioja nuo </w:t>
      </w:r>
      <w:r w:rsidRPr="002A3A10">
        <w:rPr>
          <w:bCs/>
          <w:sz w:val="24"/>
          <w:szCs w:val="24"/>
          <w:lang w:val="lt-LT"/>
        </w:rPr>
        <w:t xml:space="preserve">Faktoringo </w:t>
      </w:r>
      <w:r w:rsidR="00C53181" w:rsidRPr="002A3A10">
        <w:rPr>
          <w:bCs/>
          <w:sz w:val="24"/>
          <w:szCs w:val="24"/>
          <w:lang w:val="lt-LT"/>
        </w:rPr>
        <w:t>sutarties pasirašymo dienos</w:t>
      </w:r>
      <w:r w:rsidR="00EB38F2" w:rsidRPr="002A3A10">
        <w:rPr>
          <w:bCs/>
          <w:sz w:val="24"/>
          <w:szCs w:val="24"/>
          <w:lang w:val="lt-LT"/>
        </w:rPr>
        <w:t>.</w:t>
      </w:r>
    </w:p>
    <w:p w14:paraId="488AA342" w14:textId="71E11F8D" w:rsidR="002E4654" w:rsidRPr="006F4D0C" w:rsidRDefault="002E4654" w:rsidP="009B0EE1">
      <w:pPr>
        <w:pStyle w:val="ListParagraph"/>
        <w:numPr>
          <w:ilvl w:val="1"/>
          <w:numId w:val="6"/>
        </w:numPr>
        <w:tabs>
          <w:tab w:val="left" w:pos="284"/>
          <w:tab w:val="left" w:pos="426"/>
        </w:tabs>
        <w:ind w:left="-851" w:firstLine="851"/>
        <w:jc w:val="both"/>
        <w:rPr>
          <w:sz w:val="24"/>
          <w:szCs w:val="24"/>
          <w:lang w:val="lt-LT"/>
        </w:rPr>
      </w:pPr>
      <w:r w:rsidRPr="006F4D0C">
        <w:rPr>
          <w:sz w:val="24"/>
          <w:szCs w:val="24"/>
          <w:lang w:val="lt-LT"/>
        </w:rPr>
        <w:t>Faktoringo sandorių koncentracija pagal Faktoringo limitą Portfelyje</w:t>
      </w:r>
      <w:r w:rsidR="0021044D" w:rsidRPr="0021044D">
        <w:rPr>
          <w:sz w:val="24"/>
          <w:szCs w:val="24"/>
          <w:lang w:val="lt-LT"/>
        </w:rPr>
        <w:t xml:space="preserve"> su viename ūkio sektoriuje pagrindinę veiklą vykdančiais MVĮ, negali viršyti 40 proc. Sutartyje numatyto Sutarto Portfelio dydžio sumos (pagal Ekonominės veiklos rūšių klasifikatorių (EVRK 2 redakcija) skyriaus lygmeniu).</w:t>
      </w:r>
      <w:r w:rsidR="005431E9">
        <w:rPr>
          <w:sz w:val="24"/>
          <w:szCs w:val="24"/>
          <w:lang w:val="lt-LT"/>
        </w:rPr>
        <w:t xml:space="preserve"> </w:t>
      </w:r>
      <w:r w:rsidRPr="006F4D0C">
        <w:rPr>
          <w:sz w:val="24"/>
          <w:szCs w:val="24"/>
          <w:lang w:val="lt-LT"/>
        </w:rPr>
        <w:t>PGF</w:t>
      </w:r>
      <w:r w:rsidR="006F4D0C" w:rsidRPr="006F4D0C">
        <w:rPr>
          <w:sz w:val="24"/>
          <w:szCs w:val="24"/>
          <w:lang w:val="lt-LT"/>
        </w:rPr>
        <w:t>2</w:t>
      </w:r>
      <w:r w:rsidRPr="006F4D0C">
        <w:rPr>
          <w:sz w:val="24"/>
          <w:szCs w:val="24"/>
          <w:lang w:val="lt-LT"/>
        </w:rPr>
        <w:t xml:space="preserve"> priemonės valdytojui kreipiantis į „Invegą</w:t>
      </w:r>
      <w:r w:rsidR="00213CE3" w:rsidRPr="006F4D0C">
        <w:rPr>
          <w:sz w:val="24"/>
          <w:szCs w:val="24"/>
          <w:lang w:val="lt-LT"/>
        </w:rPr>
        <w:t xml:space="preserve">“ </w:t>
      </w:r>
      <w:r w:rsidRPr="006F4D0C">
        <w:rPr>
          <w:sz w:val="24"/>
          <w:szCs w:val="24"/>
          <w:lang w:val="lt-LT"/>
        </w:rPr>
        <w:t>su motyvuotu prašymu, Faktoringo sandorių koncentracija pagal Faktoringo limitą Portfelyje su viename ūkio sektoriuje pagrindinę veiklą vykdančiais MVĮ gali būti padidinta</w:t>
      </w:r>
      <w:bookmarkStart w:id="6" w:name="_Hlk36672302"/>
      <w:r w:rsidR="00A630BF" w:rsidRPr="00A630BF">
        <w:rPr>
          <w:sz w:val="24"/>
          <w:szCs w:val="24"/>
          <w:lang w:val="lt-LT"/>
        </w:rPr>
        <w:t>.</w:t>
      </w:r>
      <w:bookmarkEnd w:id="6"/>
    </w:p>
    <w:p w14:paraId="09A5E755" w14:textId="64845450" w:rsidR="002E4654" w:rsidRPr="004C16D9" w:rsidRDefault="002E4654" w:rsidP="009B0EE1">
      <w:pPr>
        <w:pStyle w:val="ListParagraph"/>
        <w:numPr>
          <w:ilvl w:val="1"/>
          <w:numId w:val="6"/>
        </w:numPr>
        <w:tabs>
          <w:tab w:val="left" w:pos="284"/>
          <w:tab w:val="left" w:pos="426"/>
        </w:tabs>
        <w:ind w:left="-851" w:firstLine="851"/>
        <w:jc w:val="both"/>
        <w:rPr>
          <w:sz w:val="24"/>
          <w:szCs w:val="24"/>
          <w:lang w:val="lt-LT"/>
        </w:rPr>
      </w:pPr>
      <w:r w:rsidRPr="006F4D0C">
        <w:rPr>
          <w:sz w:val="24"/>
          <w:szCs w:val="24"/>
          <w:lang w:val="lt-LT"/>
        </w:rPr>
        <w:t>Faktoringo sandorių, kur MVĮ vertinami „B-“ ar „B3“ (</w:t>
      </w:r>
      <w:r w:rsidR="00246016" w:rsidRPr="00246016">
        <w:rPr>
          <w:sz w:val="24"/>
          <w:szCs w:val="24"/>
          <w:lang w:val="lt-LT"/>
        </w:rPr>
        <w:t>reitingai pagal tarptautinių reitingų agentūrų (angl. Standart and Poor's, Fitch, ir Moody's) naudojamą reitingavimą arba šiems reitingams prilygintas PGF2 priemonės valdytojų Faktoringo sandorio gavėjui nustatytas reitingas</w:t>
      </w:r>
      <w:r w:rsidRPr="006F4D0C">
        <w:rPr>
          <w:sz w:val="24"/>
          <w:szCs w:val="24"/>
          <w:lang w:val="lt-LT"/>
        </w:rPr>
        <w:t xml:space="preserve">) reitingu koncentracija pagal Faktoringo limitą Portfelyje negali būti didesnė kaip </w:t>
      </w:r>
      <w:r w:rsidR="00EE5B73" w:rsidRPr="00EE5B73">
        <w:rPr>
          <w:sz w:val="24"/>
          <w:szCs w:val="24"/>
          <w:lang w:val="lt-LT"/>
        </w:rPr>
        <w:t xml:space="preserve">50 proc. </w:t>
      </w:r>
      <w:r w:rsidRPr="006F4D0C">
        <w:rPr>
          <w:sz w:val="24"/>
          <w:szCs w:val="24"/>
          <w:lang w:val="lt-LT"/>
        </w:rPr>
        <w:t>Sutartyje nu</w:t>
      </w:r>
      <w:r w:rsidR="005431E9">
        <w:rPr>
          <w:sz w:val="24"/>
          <w:szCs w:val="24"/>
          <w:lang w:val="lt-LT"/>
        </w:rPr>
        <w:t>st</w:t>
      </w:r>
      <w:r w:rsidRPr="006F4D0C">
        <w:rPr>
          <w:sz w:val="24"/>
          <w:szCs w:val="24"/>
          <w:lang w:val="lt-LT"/>
        </w:rPr>
        <w:t>atyto Sutarto Portfelio sumos. Esant poreikiui ir (arba) pateikus pagrindimą, taip pat PGF</w:t>
      </w:r>
      <w:r w:rsidR="006F4D0C" w:rsidRPr="006F4D0C">
        <w:rPr>
          <w:sz w:val="24"/>
          <w:szCs w:val="24"/>
          <w:lang w:val="lt-LT"/>
        </w:rPr>
        <w:t>2</w:t>
      </w:r>
      <w:r w:rsidRPr="006F4D0C">
        <w:rPr>
          <w:sz w:val="24"/>
          <w:szCs w:val="24"/>
          <w:lang w:val="lt-LT"/>
        </w:rPr>
        <w:t xml:space="preserve"> priemonės valdytojui kreipiantis į „Invegą</w:t>
      </w:r>
      <w:r w:rsidR="00B45BCE" w:rsidRPr="006F4D0C">
        <w:rPr>
          <w:sz w:val="24"/>
          <w:szCs w:val="24"/>
          <w:lang w:val="lt-LT"/>
        </w:rPr>
        <w:t>“</w:t>
      </w:r>
      <w:r w:rsidRPr="006F4D0C">
        <w:rPr>
          <w:sz w:val="24"/>
          <w:szCs w:val="24"/>
          <w:lang w:val="lt-LT"/>
        </w:rPr>
        <w:t xml:space="preserve"> su motyvuotu prašymu, ši koncentracija Portfelyje gali būti </w:t>
      </w:r>
      <w:r w:rsidRPr="004C16D9">
        <w:rPr>
          <w:sz w:val="24"/>
          <w:szCs w:val="24"/>
          <w:lang w:val="lt-LT"/>
        </w:rPr>
        <w:t>padidinta.</w:t>
      </w:r>
    </w:p>
    <w:p w14:paraId="0D3AE57B" w14:textId="43A37713" w:rsidR="00EA3C68" w:rsidRPr="004C16D9" w:rsidRDefault="0058580E" w:rsidP="009B0EE1">
      <w:pPr>
        <w:pStyle w:val="ListParagraph"/>
        <w:numPr>
          <w:ilvl w:val="1"/>
          <w:numId w:val="6"/>
        </w:numPr>
        <w:tabs>
          <w:tab w:val="left" w:pos="567"/>
        </w:tabs>
        <w:overflowPunct w:val="0"/>
        <w:autoSpaceDE w:val="0"/>
        <w:autoSpaceDN w:val="0"/>
        <w:adjustRightInd w:val="0"/>
        <w:spacing w:after="0"/>
        <w:ind w:left="-851" w:firstLine="851"/>
        <w:jc w:val="both"/>
        <w:textAlignment w:val="baseline"/>
        <w:rPr>
          <w:rFonts w:eastAsia="Times New Roman"/>
          <w:sz w:val="24"/>
          <w:szCs w:val="24"/>
          <w:lang w:val="lt-LT"/>
        </w:rPr>
      </w:pPr>
      <w:r w:rsidRPr="004C16D9">
        <w:rPr>
          <w:sz w:val="24"/>
          <w:szCs w:val="24"/>
          <w:lang w:val="lt-LT"/>
        </w:rPr>
        <w:t>Faktoringo sandorių</w:t>
      </w:r>
      <w:r w:rsidR="00EA3C68" w:rsidRPr="004C16D9">
        <w:rPr>
          <w:sz w:val="24"/>
          <w:szCs w:val="24"/>
          <w:lang w:val="lt-LT"/>
        </w:rPr>
        <w:t xml:space="preserve"> užstatų vertė </w:t>
      </w:r>
      <w:r w:rsidR="00942B6D" w:rsidRPr="004C16D9">
        <w:rPr>
          <w:sz w:val="24"/>
          <w:szCs w:val="24"/>
          <w:lang w:val="lt-LT"/>
        </w:rPr>
        <w:t xml:space="preserve">Portfelio vertinimo metu </w:t>
      </w:r>
      <w:r w:rsidR="00EA3C68" w:rsidRPr="004C16D9">
        <w:rPr>
          <w:sz w:val="24"/>
          <w:szCs w:val="24"/>
          <w:lang w:val="lt-LT"/>
        </w:rPr>
        <w:t xml:space="preserve">neturi viršyti </w:t>
      </w:r>
      <w:r w:rsidR="005431E9" w:rsidRPr="004C16D9">
        <w:rPr>
          <w:sz w:val="24"/>
          <w:szCs w:val="24"/>
          <w:lang w:val="lt-LT"/>
        </w:rPr>
        <w:t>20</w:t>
      </w:r>
      <w:r w:rsidR="005431E9">
        <w:rPr>
          <w:sz w:val="24"/>
          <w:szCs w:val="24"/>
          <w:lang w:val="lt-LT"/>
        </w:rPr>
        <w:t> </w:t>
      </w:r>
      <w:r w:rsidR="00FF1909" w:rsidRPr="004C16D9">
        <w:rPr>
          <w:sz w:val="24"/>
          <w:szCs w:val="24"/>
          <w:lang w:val="lt-LT"/>
        </w:rPr>
        <w:t>(</w:t>
      </w:r>
      <w:r w:rsidR="00F149F0" w:rsidRPr="004C16D9">
        <w:rPr>
          <w:sz w:val="24"/>
          <w:szCs w:val="24"/>
          <w:lang w:val="lt-LT"/>
        </w:rPr>
        <w:t>dvidešimties</w:t>
      </w:r>
      <w:r w:rsidR="00FF1909" w:rsidRPr="004C16D9">
        <w:rPr>
          <w:sz w:val="24"/>
          <w:szCs w:val="24"/>
          <w:lang w:val="lt-LT"/>
        </w:rPr>
        <w:t xml:space="preserve">) </w:t>
      </w:r>
      <w:r w:rsidR="00EA3C68" w:rsidRPr="004C16D9">
        <w:rPr>
          <w:sz w:val="24"/>
          <w:szCs w:val="24"/>
          <w:lang w:val="lt-LT"/>
        </w:rPr>
        <w:t xml:space="preserve">proc. </w:t>
      </w:r>
      <w:r w:rsidR="00942B6D" w:rsidRPr="004C16D9">
        <w:rPr>
          <w:sz w:val="24"/>
          <w:szCs w:val="24"/>
          <w:lang w:val="lt-LT"/>
        </w:rPr>
        <w:t xml:space="preserve">nuo </w:t>
      </w:r>
      <w:r w:rsidR="00EA3C68" w:rsidRPr="004C16D9">
        <w:rPr>
          <w:sz w:val="24"/>
          <w:szCs w:val="24"/>
          <w:lang w:val="lt-LT"/>
        </w:rPr>
        <w:t xml:space="preserve">Faktinio </w:t>
      </w:r>
      <w:r w:rsidR="00F558F1" w:rsidRPr="004C16D9">
        <w:rPr>
          <w:sz w:val="24"/>
          <w:szCs w:val="24"/>
          <w:lang w:val="lt-LT"/>
        </w:rPr>
        <w:t>p</w:t>
      </w:r>
      <w:r w:rsidR="00EA3C68" w:rsidRPr="004C16D9">
        <w:rPr>
          <w:sz w:val="24"/>
          <w:szCs w:val="24"/>
          <w:lang w:val="lt-LT"/>
        </w:rPr>
        <w:t xml:space="preserve">ortfelio dydžio sumos (užstato vertė nustatoma </w:t>
      </w:r>
      <w:r w:rsidR="00F21757" w:rsidRPr="004C16D9">
        <w:rPr>
          <w:sz w:val="24"/>
          <w:szCs w:val="24"/>
          <w:lang w:val="lt-LT"/>
        </w:rPr>
        <w:t>Faktoringo sandorio</w:t>
      </w:r>
      <w:r w:rsidR="00CA447D" w:rsidRPr="004C16D9">
        <w:rPr>
          <w:bCs/>
          <w:sz w:val="24"/>
          <w:szCs w:val="24"/>
          <w:lang w:val="lt-LT"/>
        </w:rPr>
        <w:t xml:space="preserve"> </w:t>
      </w:r>
      <w:r w:rsidR="00703E95" w:rsidRPr="004C16D9">
        <w:rPr>
          <w:bCs/>
          <w:sz w:val="24"/>
          <w:szCs w:val="24"/>
          <w:lang w:val="lt-LT"/>
        </w:rPr>
        <w:t xml:space="preserve">suteikimo </w:t>
      </w:r>
      <w:r w:rsidR="00CA447D" w:rsidRPr="004C16D9">
        <w:rPr>
          <w:bCs/>
          <w:sz w:val="24"/>
          <w:szCs w:val="24"/>
          <w:lang w:val="lt-LT"/>
        </w:rPr>
        <w:t xml:space="preserve">metu </w:t>
      </w:r>
      <w:r w:rsidR="00EA3C68" w:rsidRPr="004C16D9">
        <w:rPr>
          <w:sz w:val="24"/>
          <w:szCs w:val="24"/>
          <w:lang w:val="lt-LT"/>
        </w:rPr>
        <w:t xml:space="preserve">pagal </w:t>
      </w:r>
      <w:r w:rsidR="00C51F33" w:rsidRPr="004C16D9">
        <w:rPr>
          <w:sz w:val="24"/>
          <w:szCs w:val="24"/>
          <w:lang w:val="lt-LT"/>
        </w:rPr>
        <w:t>PGF</w:t>
      </w:r>
      <w:r w:rsidR="004D342B" w:rsidRPr="004C16D9">
        <w:rPr>
          <w:sz w:val="24"/>
          <w:szCs w:val="24"/>
          <w:lang w:val="lt-LT"/>
        </w:rPr>
        <w:t>2</w:t>
      </w:r>
      <w:r w:rsidR="00EA3C68" w:rsidRPr="004C16D9">
        <w:rPr>
          <w:sz w:val="24"/>
          <w:szCs w:val="24"/>
          <w:lang w:val="lt-LT"/>
        </w:rPr>
        <w:t xml:space="preserve"> priemonės valdytojo patvirtintas vidines tvarkas).</w:t>
      </w:r>
      <w:r w:rsidR="00AF4D40" w:rsidRPr="004C16D9">
        <w:rPr>
          <w:sz w:val="24"/>
          <w:szCs w:val="24"/>
          <w:lang w:val="lt-LT"/>
        </w:rPr>
        <w:t xml:space="preserve"> </w:t>
      </w:r>
      <w:r w:rsidR="00EA3C68" w:rsidRPr="004C16D9">
        <w:rPr>
          <w:sz w:val="24"/>
          <w:szCs w:val="24"/>
          <w:lang w:val="lt-LT"/>
        </w:rPr>
        <w:t>Atitikimas nustatytai sąlygai bus tikrinamas:</w:t>
      </w:r>
    </w:p>
    <w:p w14:paraId="50B4736A" w14:textId="2CDBB39F" w:rsidR="009D3653" w:rsidRPr="004C16D9" w:rsidRDefault="00EA3C68" w:rsidP="009B0EE1">
      <w:pPr>
        <w:pStyle w:val="NormalWeb"/>
        <w:numPr>
          <w:ilvl w:val="2"/>
          <w:numId w:val="6"/>
        </w:numPr>
        <w:tabs>
          <w:tab w:val="left" w:pos="851"/>
        </w:tabs>
        <w:spacing w:before="0" w:beforeAutospacing="0" w:after="0" w:afterAutospacing="0" w:line="276" w:lineRule="auto"/>
        <w:ind w:left="-851" w:firstLine="851"/>
        <w:jc w:val="both"/>
        <w:rPr>
          <w:lang w:val="lt-LT"/>
        </w:rPr>
      </w:pPr>
      <w:r w:rsidRPr="004C16D9">
        <w:rPr>
          <w:lang w:val="lt-LT"/>
        </w:rPr>
        <w:t xml:space="preserve">praėjus </w:t>
      </w:r>
      <w:r w:rsidR="00FF1909" w:rsidRPr="004C16D9">
        <w:rPr>
          <w:lang w:val="lt-LT"/>
        </w:rPr>
        <w:t>1 (</w:t>
      </w:r>
      <w:r w:rsidRPr="004C16D9">
        <w:rPr>
          <w:lang w:val="lt-LT"/>
        </w:rPr>
        <w:t>vieneriems</w:t>
      </w:r>
      <w:r w:rsidR="00FF1909" w:rsidRPr="004C16D9">
        <w:rPr>
          <w:lang w:val="lt-LT"/>
        </w:rPr>
        <w:t>)</w:t>
      </w:r>
      <w:r w:rsidRPr="004C16D9">
        <w:rPr>
          <w:lang w:val="lt-LT"/>
        </w:rPr>
        <w:t xml:space="preserve"> metams po Sutarties pasirašymo (ketvirtosios ketvirtinės ataskaitos pateikimo metu</w:t>
      </w:r>
      <w:r w:rsidR="00E933B0" w:rsidRPr="004C16D9">
        <w:rPr>
          <w:lang w:val="lt-LT"/>
        </w:rPr>
        <w:t>)</w:t>
      </w:r>
      <w:r w:rsidRPr="004C16D9">
        <w:rPr>
          <w:lang w:val="lt-LT"/>
        </w:rPr>
        <w:t>;</w:t>
      </w:r>
    </w:p>
    <w:p w14:paraId="0011117A" w14:textId="612A50DC" w:rsidR="009D3653" w:rsidRPr="004C16D9" w:rsidRDefault="00EA3C68" w:rsidP="009B0EE1">
      <w:pPr>
        <w:pStyle w:val="NormalWeb"/>
        <w:numPr>
          <w:ilvl w:val="2"/>
          <w:numId w:val="6"/>
        </w:numPr>
        <w:tabs>
          <w:tab w:val="left" w:pos="851"/>
        </w:tabs>
        <w:spacing w:before="0" w:beforeAutospacing="0" w:after="0" w:afterAutospacing="0" w:line="276" w:lineRule="auto"/>
        <w:ind w:left="-851" w:firstLine="851"/>
        <w:jc w:val="both"/>
        <w:rPr>
          <w:lang w:val="lt-LT"/>
        </w:rPr>
      </w:pPr>
      <w:r w:rsidRPr="004C16D9">
        <w:rPr>
          <w:lang w:val="lt-LT"/>
        </w:rPr>
        <w:t xml:space="preserve">praėjus </w:t>
      </w:r>
      <w:r w:rsidR="00FF1909" w:rsidRPr="004C16D9">
        <w:rPr>
          <w:lang w:val="lt-LT"/>
        </w:rPr>
        <w:t>2 (</w:t>
      </w:r>
      <w:r w:rsidRPr="004C16D9">
        <w:rPr>
          <w:lang w:val="lt-LT"/>
        </w:rPr>
        <w:t>dvejiems</w:t>
      </w:r>
      <w:r w:rsidR="00FF1909" w:rsidRPr="004C16D9">
        <w:rPr>
          <w:lang w:val="lt-LT"/>
        </w:rPr>
        <w:t>)</w:t>
      </w:r>
      <w:r w:rsidRPr="004C16D9">
        <w:rPr>
          <w:lang w:val="lt-LT"/>
        </w:rPr>
        <w:t xml:space="preserve"> metams po Sutarties pasirašymo (aštuntosios ketvirtinės ataskaitos pateikimo metu</w:t>
      </w:r>
      <w:r w:rsidR="00E933B0" w:rsidRPr="004C16D9">
        <w:rPr>
          <w:lang w:val="lt-LT"/>
        </w:rPr>
        <w:t>)</w:t>
      </w:r>
      <w:r w:rsidRPr="004C16D9">
        <w:rPr>
          <w:lang w:val="lt-LT"/>
        </w:rPr>
        <w:t>;</w:t>
      </w:r>
    </w:p>
    <w:p w14:paraId="660AB6CD" w14:textId="6153553F" w:rsidR="009D3653" w:rsidRPr="004C16D9" w:rsidRDefault="00EA3C68" w:rsidP="009B0EE1">
      <w:pPr>
        <w:pStyle w:val="NormalWeb"/>
        <w:numPr>
          <w:ilvl w:val="2"/>
          <w:numId w:val="6"/>
        </w:numPr>
        <w:tabs>
          <w:tab w:val="left" w:pos="851"/>
        </w:tabs>
        <w:spacing w:before="0" w:beforeAutospacing="0" w:after="0" w:afterAutospacing="0" w:line="276" w:lineRule="auto"/>
        <w:ind w:left="-851" w:firstLine="851"/>
        <w:jc w:val="both"/>
        <w:rPr>
          <w:lang w:val="lt-LT"/>
        </w:rPr>
      </w:pPr>
      <w:r w:rsidRPr="004C16D9">
        <w:rPr>
          <w:lang w:val="lt-LT"/>
        </w:rPr>
        <w:t xml:space="preserve">praėjus </w:t>
      </w:r>
      <w:r w:rsidR="00FF1909" w:rsidRPr="004C16D9">
        <w:rPr>
          <w:lang w:val="lt-LT"/>
        </w:rPr>
        <w:t>3 (</w:t>
      </w:r>
      <w:r w:rsidRPr="004C16D9">
        <w:rPr>
          <w:lang w:val="lt-LT"/>
        </w:rPr>
        <w:t>trejiems</w:t>
      </w:r>
      <w:r w:rsidR="00FF1909" w:rsidRPr="004C16D9">
        <w:rPr>
          <w:lang w:val="lt-LT"/>
        </w:rPr>
        <w:t>)</w:t>
      </w:r>
      <w:r w:rsidRPr="004C16D9">
        <w:rPr>
          <w:lang w:val="lt-LT"/>
        </w:rPr>
        <w:t xml:space="preserve"> metams po Sutarties pasirašymo (dvyliktosios ketvirtinės ataskaitos pateikimo metu</w:t>
      </w:r>
      <w:r w:rsidR="00E933B0" w:rsidRPr="004C16D9">
        <w:rPr>
          <w:lang w:val="lt-LT"/>
        </w:rPr>
        <w:t>)</w:t>
      </w:r>
      <w:r w:rsidRPr="004C16D9">
        <w:rPr>
          <w:lang w:val="lt-LT"/>
        </w:rPr>
        <w:t>;</w:t>
      </w:r>
    </w:p>
    <w:p w14:paraId="3C588DA9" w14:textId="62138192" w:rsidR="004F3D63" w:rsidRPr="00D75593" w:rsidRDefault="004F3D63" w:rsidP="009B0EE1">
      <w:pPr>
        <w:pStyle w:val="NormalWeb"/>
        <w:numPr>
          <w:ilvl w:val="1"/>
          <w:numId w:val="6"/>
        </w:numPr>
        <w:tabs>
          <w:tab w:val="left" w:pos="567"/>
        </w:tabs>
        <w:spacing w:line="276" w:lineRule="auto"/>
        <w:ind w:left="-851" w:firstLine="851"/>
        <w:jc w:val="both"/>
        <w:rPr>
          <w:lang w:val="lt-LT"/>
        </w:rPr>
      </w:pPr>
      <w:r w:rsidRPr="00D75593">
        <w:rPr>
          <w:rFonts w:hint="eastAsia"/>
          <w:lang w:val="lt-LT"/>
        </w:rPr>
        <w:t>Sutarties nuostolingumas praėjus</w:t>
      </w:r>
      <w:r w:rsidR="00D75593" w:rsidRPr="00D75593">
        <w:rPr>
          <w:lang w:val="lt-LT"/>
        </w:rPr>
        <w:t xml:space="preserve"> 1</w:t>
      </w:r>
      <w:r w:rsidRPr="00D75593">
        <w:rPr>
          <w:rFonts w:hint="eastAsia"/>
          <w:lang w:val="lt-LT"/>
        </w:rPr>
        <w:t xml:space="preserve"> </w:t>
      </w:r>
      <w:r w:rsidR="00D75593" w:rsidRPr="00D75593">
        <w:rPr>
          <w:lang w:val="lt-LT"/>
        </w:rPr>
        <w:t>(</w:t>
      </w:r>
      <w:r w:rsidRPr="00D75593">
        <w:rPr>
          <w:rFonts w:hint="eastAsia"/>
          <w:lang w:val="lt-LT"/>
        </w:rPr>
        <w:t>vieneriems</w:t>
      </w:r>
      <w:r w:rsidR="00D75593" w:rsidRPr="00D75593">
        <w:rPr>
          <w:lang w:val="lt-LT"/>
        </w:rPr>
        <w:t>)</w:t>
      </w:r>
      <w:r w:rsidRPr="00D75593">
        <w:rPr>
          <w:rFonts w:hint="eastAsia"/>
          <w:lang w:val="lt-LT"/>
        </w:rPr>
        <w:t xml:space="preserve"> metams po Sutarties pasirašymo negali būti didesnis nei 9 proc. Tikrinimas atliekamas remiantis gautos 4 (ketvirtos) ketvirtinės ataskaitos duomenimis.</w:t>
      </w:r>
    </w:p>
    <w:p w14:paraId="2C3F5394" w14:textId="659CE612" w:rsidR="004F3D63" w:rsidRPr="00D75593" w:rsidRDefault="004F3D63" w:rsidP="009B0EE1">
      <w:pPr>
        <w:pStyle w:val="NormalWeb"/>
        <w:numPr>
          <w:ilvl w:val="1"/>
          <w:numId w:val="6"/>
        </w:numPr>
        <w:tabs>
          <w:tab w:val="left" w:pos="567"/>
        </w:tabs>
        <w:spacing w:line="276" w:lineRule="auto"/>
        <w:ind w:left="-851" w:firstLine="851"/>
        <w:jc w:val="both"/>
        <w:rPr>
          <w:lang w:val="lt-LT"/>
        </w:rPr>
      </w:pPr>
      <w:r w:rsidRPr="00D75593">
        <w:rPr>
          <w:rFonts w:hint="eastAsia"/>
          <w:lang w:val="lt-LT"/>
        </w:rPr>
        <w:t xml:space="preserve">Sutarties nuostolingumas praėjus </w:t>
      </w:r>
      <w:r w:rsidR="00D75593" w:rsidRPr="00D75593">
        <w:rPr>
          <w:lang w:val="lt-LT"/>
        </w:rPr>
        <w:t>2 (</w:t>
      </w:r>
      <w:r w:rsidRPr="00D75593">
        <w:rPr>
          <w:rFonts w:hint="eastAsia"/>
          <w:lang w:val="lt-LT"/>
        </w:rPr>
        <w:t>dvejiems</w:t>
      </w:r>
      <w:r w:rsidR="00D75593" w:rsidRPr="00D75593">
        <w:rPr>
          <w:lang w:val="lt-LT"/>
        </w:rPr>
        <w:t>)</w:t>
      </w:r>
      <w:r w:rsidRPr="00D75593">
        <w:rPr>
          <w:rFonts w:hint="eastAsia"/>
          <w:lang w:val="lt-LT"/>
        </w:rPr>
        <w:t xml:space="preserve"> metams po Sutarties pasirašymo negali būti didesnis nei 12 proc. Tikrinimas atliekamas remiantis gautos 8 (aštuntos) ketvirtinės ataskaitos duomenimis.</w:t>
      </w:r>
    </w:p>
    <w:p w14:paraId="3C5C5B77" w14:textId="68FD57F9" w:rsidR="009D3653" w:rsidRPr="001C31B4" w:rsidRDefault="004F3D63" w:rsidP="009B0EE1">
      <w:pPr>
        <w:pStyle w:val="NormalWeb"/>
        <w:numPr>
          <w:ilvl w:val="1"/>
          <w:numId w:val="6"/>
        </w:numPr>
        <w:tabs>
          <w:tab w:val="left" w:pos="567"/>
        </w:tabs>
        <w:spacing w:before="0" w:beforeAutospacing="0" w:after="0" w:afterAutospacing="0" w:line="276" w:lineRule="auto"/>
        <w:ind w:left="-851" w:firstLine="851"/>
        <w:jc w:val="both"/>
        <w:rPr>
          <w:caps/>
          <w:lang w:val="lt-LT"/>
        </w:rPr>
      </w:pPr>
      <w:r w:rsidRPr="00D75593">
        <w:rPr>
          <w:rFonts w:hint="eastAsia"/>
          <w:lang w:val="lt-LT"/>
        </w:rPr>
        <w:t xml:space="preserve">Jei nustatytais terminais Sutarties nuostolingumo rodiklis viršytų nustatytus dydžius, </w:t>
      </w:r>
      <w:r w:rsidR="00D67B4B">
        <w:rPr>
          <w:lang w:val="lt-LT"/>
        </w:rPr>
        <w:t xml:space="preserve">„Invegos“ sprendimu gali </w:t>
      </w:r>
      <w:r w:rsidRPr="00D75593">
        <w:rPr>
          <w:rFonts w:hint="eastAsia"/>
          <w:lang w:val="lt-LT"/>
        </w:rPr>
        <w:t>būt</w:t>
      </w:r>
      <w:r w:rsidR="00D67B4B">
        <w:rPr>
          <w:lang w:val="lt-LT"/>
        </w:rPr>
        <w:t>i</w:t>
      </w:r>
      <w:r w:rsidRPr="00D75593">
        <w:rPr>
          <w:rFonts w:hint="eastAsia"/>
          <w:lang w:val="lt-LT"/>
        </w:rPr>
        <w:t xml:space="preserve"> stabdomas </w:t>
      </w:r>
      <w:r w:rsidRPr="001C31B4">
        <w:rPr>
          <w:rFonts w:hint="eastAsia"/>
          <w:lang w:val="lt-LT"/>
        </w:rPr>
        <w:t>tolimesnis Faktoringo sandorių įtraukimas į Portfelį</w:t>
      </w:r>
      <w:r w:rsidRPr="001C31B4">
        <w:rPr>
          <w:lang w:val="lt-LT"/>
        </w:rPr>
        <w:t>.</w:t>
      </w:r>
    </w:p>
    <w:p w14:paraId="73231905" w14:textId="3EC2E8D9" w:rsidR="009D3653" w:rsidRPr="001F428E" w:rsidRDefault="008E497E" w:rsidP="009B0EE1">
      <w:pPr>
        <w:pStyle w:val="NormalWeb"/>
        <w:numPr>
          <w:ilvl w:val="1"/>
          <w:numId w:val="6"/>
        </w:numPr>
        <w:tabs>
          <w:tab w:val="left" w:pos="567"/>
        </w:tabs>
        <w:spacing w:before="0" w:beforeAutospacing="0" w:after="0" w:afterAutospacing="0" w:line="276" w:lineRule="auto"/>
        <w:ind w:left="-851" w:firstLine="851"/>
        <w:jc w:val="both"/>
        <w:rPr>
          <w:caps/>
          <w:lang w:val="lt-LT"/>
        </w:rPr>
      </w:pPr>
      <w:r w:rsidRPr="001C31B4">
        <w:rPr>
          <w:lang w:val="lt-LT"/>
        </w:rPr>
        <w:lastRenderedPageBreak/>
        <w:t xml:space="preserve">Jei </w:t>
      </w:r>
      <w:r w:rsidR="000249F8" w:rsidRPr="001C31B4">
        <w:rPr>
          <w:lang w:val="lt-LT"/>
        </w:rPr>
        <w:t xml:space="preserve">nustatoma, kad </w:t>
      </w:r>
      <w:r w:rsidR="00BE1664" w:rsidRPr="001C31B4">
        <w:rPr>
          <w:lang w:val="lt-LT"/>
        </w:rPr>
        <w:t>Faktoringo sandoris</w:t>
      </w:r>
      <w:r w:rsidRPr="001C31B4">
        <w:rPr>
          <w:lang w:val="lt-LT"/>
        </w:rPr>
        <w:t xml:space="preserve"> </w:t>
      </w:r>
      <w:r w:rsidR="001E5758" w:rsidRPr="001C31B4">
        <w:rPr>
          <w:lang w:val="lt-LT"/>
        </w:rPr>
        <w:t xml:space="preserve">neatitiko ir (ar) </w:t>
      </w:r>
      <w:r w:rsidRPr="001C31B4">
        <w:rPr>
          <w:lang w:val="lt-LT"/>
        </w:rPr>
        <w:t>ne</w:t>
      </w:r>
      <w:r w:rsidR="000249F8" w:rsidRPr="001C31B4">
        <w:rPr>
          <w:lang w:val="lt-LT"/>
        </w:rPr>
        <w:t>be</w:t>
      </w:r>
      <w:r w:rsidRPr="001C31B4">
        <w:rPr>
          <w:lang w:val="lt-LT"/>
        </w:rPr>
        <w:t>atitinka Tinkamumo sąlygų</w:t>
      </w:r>
      <w:r w:rsidR="001E5758" w:rsidRPr="001C31B4">
        <w:rPr>
          <w:lang w:val="lt-LT"/>
        </w:rPr>
        <w:t xml:space="preserve"> (išskyrus sąlygas, kurių atitikimas vertinamas tik </w:t>
      </w:r>
      <w:r w:rsidR="00F21757" w:rsidRPr="001C31B4">
        <w:rPr>
          <w:lang w:val="lt-LT"/>
        </w:rPr>
        <w:t>Faktoringo sandorio</w:t>
      </w:r>
      <w:r w:rsidR="001E5758" w:rsidRPr="001C31B4">
        <w:rPr>
          <w:lang w:val="lt-LT"/>
        </w:rPr>
        <w:t xml:space="preserve"> suteikimo metu)</w:t>
      </w:r>
      <w:r w:rsidRPr="001C31B4">
        <w:rPr>
          <w:lang w:val="lt-LT"/>
        </w:rPr>
        <w:t>,</w:t>
      </w:r>
      <w:r w:rsidR="007A7BEB" w:rsidRPr="001C31B4">
        <w:rPr>
          <w:lang w:val="lt-LT"/>
        </w:rPr>
        <w:t xml:space="preserve"> tok</w:t>
      </w:r>
      <w:r w:rsidR="00993F18" w:rsidRPr="001C31B4">
        <w:rPr>
          <w:lang w:val="lt-LT"/>
        </w:rPr>
        <w:t>s</w:t>
      </w:r>
      <w:r w:rsidR="007A7BEB" w:rsidRPr="001C31B4">
        <w:rPr>
          <w:rFonts w:eastAsia="Calibri"/>
          <w:lang w:val="lt-LT"/>
        </w:rPr>
        <w:t xml:space="preserve"> </w:t>
      </w:r>
      <w:r w:rsidR="00BE1664" w:rsidRPr="001C31B4">
        <w:rPr>
          <w:rFonts w:eastAsia="Calibri"/>
          <w:lang w:val="lt-LT"/>
        </w:rPr>
        <w:t>Faktoringo sandoris</w:t>
      </w:r>
      <w:r w:rsidR="007A7BEB" w:rsidRPr="001C31B4">
        <w:rPr>
          <w:rFonts w:eastAsia="Calibri"/>
          <w:lang w:val="lt-LT"/>
        </w:rPr>
        <w:t xml:space="preserve"> pripažįstama</w:t>
      </w:r>
      <w:r w:rsidR="00993F18" w:rsidRPr="001C31B4">
        <w:rPr>
          <w:rFonts w:eastAsia="Calibri"/>
          <w:lang w:val="lt-LT"/>
        </w:rPr>
        <w:t>s</w:t>
      </w:r>
      <w:r w:rsidR="007A7BEB" w:rsidRPr="001C31B4">
        <w:rPr>
          <w:rFonts w:eastAsia="Calibri"/>
          <w:lang w:val="lt-LT"/>
        </w:rPr>
        <w:t xml:space="preserve"> Reikalavimų </w:t>
      </w:r>
      <w:r w:rsidR="00993F18" w:rsidRPr="001C31B4">
        <w:rPr>
          <w:rFonts w:eastAsia="Calibri"/>
          <w:lang w:val="lt-LT"/>
        </w:rPr>
        <w:t xml:space="preserve">neatitinkančiu </w:t>
      </w:r>
      <w:r w:rsidR="00BE1664" w:rsidRPr="001C31B4">
        <w:rPr>
          <w:rFonts w:eastAsia="Calibri"/>
          <w:lang w:val="lt-LT"/>
        </w:rPr>
        <w:t>Faktoringo sandori</w:t>
      </w:r>
      <w:r w:rsidR="00993F18" w:rsidRPr="001C31B4">
        <w:rPr>
          <w:rFonts w:eastAsia="Calibri"/>
          <w:lang w:val="lt-LT"/>
        </w:rPr>
        <w:t>u</w:t>
      </w:r>
      <w:r w:rsidR="007A7BEB" w:rsidRPr="001C31B4">
        <w:rPr>
          <w:rFonts w:eastAsia="Calibri"/>
          <w:lang w:val="lt-LT"/>
        </w:rPr>
        <w:t>,</w:t>
      </w:r>
      <w:r w:rsidRPr="001C31B4">
        <w:rPr>
          <w:rFonts w:eastAsia="Calibri"/>
          <w:lang w:val="lt-LT"/>
        </w:rPr>
        <w:t xml:space="preserve"> ji</w:t>
      </w:r>
      <w:r w:rsidR="00993F18" w:rsidRPr="001C31B4">
        <w:rPr>
          <w:rFonts w:eastAsia="Calibri"/>
          <w:lang w:val="lt-LT"/>
        </w:rPr>
        <w:t>s</w:t>
      </w:r>
      <w:r w:rsidRPr="001C31B4">
        <w:rPr>
          <w:rFonts w:eastAsia="Calibri"/>
          <w:lang w:val="lt-LT"/>
        </w:rPr>
        <w:t xml:space="preserve"> turi būti išimama</w:t>
      </w:r>
      <w:r w:rsidR="00993F18" w:rsidRPr="001C31B4">
        <w:rPr>
          <w:rFonts w:eastAsia="Calibri"/>
          <w:lang w:val="lt-LT"/>
        </w:rPr>
        <w:t>s</w:t>
      </w:r>
      <w:r w:rsidRPr="001C31B4">
        <w:rPr>
          <w:rFonts w:eastAsia="Calibri"/>
          <w:lang w:val="lt-LT"/>
        </w:rPr>
        <w:t xml:space="preserve"> iš Portfelio ir atitinkamai sumažinama</w:t>
      </w:r>
      <w:r w:rsidR="00956200" w:rsidRPr="001C31B4">
        <w:rPr>
          <w:rFonts w:eastAsia="Calibri"/>
          <w:lang w:val="lt-LT"/>
        </w:rPr>
        <w:t>s</w:t>
      </w:r>
      <w:r w:rsidRPr="001C31B4">
        <w:rPr>
          <w:rFonts w:eastAsia="Calibri"/>
          <w:lang w:val="lt-LT"/>
        </w:rPr>
        <w:t xml:space="preserve"> (koreguojama</w:t>
      </w:r>
      <w:r w:rsidR="00956200" w:rsidRPr="001C31B4">
        <w:rPr>
          <w:rFonts w:eastAsia="Calibri"/>
          <w:lang w:val="lt-LT"/>
        </w:rPr>
        <w:t>s</w:t>
      </w:r>
      <w:r w:rsidRPr="001C31B4">
        <w:rPr>
          <w:rFonts w:eastAsia="Calibri"/>
          <w:lang w:val="lt-LT"/>
        </w:rPr>
        <w:t xml:space="preserve">) </w:t>
      </w:r>
      <w:r w:rsidR="00956200" w:rsidRPr="001C31B4">
        <w:rPr>
          <w:rFonts w:eastAsia="Calibri"/>
          <w:lang w:val="lt-LT"/>
        </w:rPr>
        <w:t>F</w:t>
      </w:r>
      <w:r w:rsidRPr="001C31B4">
        <w:rPr>
          <w:rFonts w:eastAsia="Calibri"/>
          <w:lang w:val="lt-LT"/>
        </w:rPr>
        <w:t>akti</w:t>
      </w:r>
      <w:r w:rsidR="00956200" w:rsidRPr="001C31B4">
        <w:rPr>
          <w:rFonts w:eastAsia="Calibri"/>
          <w:lang w:val="lt-LT"/>
        </w:rPr>
        <w:t xml:space="preserve">nis </w:t>
      </w:r>
      <w:r w:rsidR="0046694A" w:rsidRPr="001C31B4">
        <w:rPr>
          <w:rFonts w:eastAsia="Calibri"/>
          <w:lang w:val="lt-LT"/>
        </w:rPr>
        <w:t>p</w:t>
      </w:r>
      <w:r w:rsidR="00956200" w:rsidRPr="001C31B4">
        <w:rPr>
          <w:rFonts w:eastAsia="Calibri"/>
          <w:lang w:val="lt-LT"/>
        </w:rPr>
        <w:t>ortfelio dydis</w:t>
      </w:r>
      <w:r w:rsidRPr="001C31B4">
        <w:rPr>
          <w:rFonts w:eastAsia="Calibri"/>
          <w:lang w:val="lt-LT"/>
        </w:rPr>
        <w:t xml:space="preserve">. </w:t>
      </w:r>
      <w:r w:rsidR="00C51F33" w:rsidRPr="001C31B4">
        <w:rPr>
          <w:rFonts w:eastAsia="Calibri"/>
          <w:lang w:val="lt-LT"/>
        </w:rPr>
        <w:t>PGF</w:t>
      </w:r>
      <w:r w:rsidR="001C31B4" w:rsidRPr="001C31B4">
        <w:rPr>
          <w:rFonts w:eastAsia="Calibri"/>
          <w:lang w:val="lt-LT"/>
        </w:rPr>
        <w:t>2</w:t>
      </w:r>
      <w:r w:rsidR="00956200" w:rsidRPr="001C31B4">
        <w:rPr>
          <w:rFonts w:eastAsia="Calibri"/>
          <w:lang w:val="lt-LT"/>
        </w:rPr>
        <w:t xml:space="preserve"> priemonės valdytojas</w:t>
      </w:r>
      <w:r w:rsidR="00523AEE" w:rsidRPr="001C31B4">
        <w:rPr>
          <w:rFonts w:eastAsia="Calibri"/>
          <w:lang w:val="lt-LT"/>
        </w:rPr>
        <w:t xml:space="preserve"> </w:t>
      </w:r>
      <w:r w:rsidR="0038708D" w:rsidRPr="001C31B4">
        <w:rPr>
          <w:rFonts w:eastAsia="Calibri"/>
          <w:lang w:val="lt-LT"/>
        </w:rPr>
        <w:t>Sutartyje nustatyta tvarka</w:t>
      </w:r>
      <w:r w:rsidR="00956200" w:rsidRPr="001C31B4">
        <w:rPr>
          <w:rFonts w:eastAsia="Calibri"/>
          <w:lang w:val="lt-LT"/>
        </w:rPr>
        <w:t xml:space="preserve"> „Invegai“ atsiunčia </w:t>
      </w:r>
      <w:r w:rsidR="00F21757" w:rsidRPr="001C31B4">
        <w:rPr>
          <w:rFonts w:eastAsia="Calibri"/>
          <w:lang w:val="lt-LT"/>
        </w:rPr>
        <w:t>Faktoringo sandorio</w:t>
      </w:r>
      <w:r w:rsidR="00956200" w:rsidRPr="001C31B4">
        <w:rPr>
          <w:rFonts w:eastAsia="Calibri"/>
          <w:lang w:val="lt-LT"/>
        </w:rPr>
        <w:t xml:space="preserve"> ar </w:t>
      </w:r>
      <w:r w:rsidR="00F21757" w:rsidRPr="001C31B4">
        <w:rPr>
          <w:rFonts w:eastAsia="Calibri"/>
          <w:lang w:val="lt-LT"/>
        </w:rPr>
        <w:t>Faktoringo sandorio</w:t>
      </w:r>
      <w:r w:rsidR="00956200" w:rsidRPr="001C31B4">
        <w:rPr>
          <w:rFonts w:eastAsia="Calibri"/>
          <w:lang w:val="lt-LT"/>
        </w:rPr>
        <w:t xml:space="preserve"> dalies išėmimo iš Portfelio pranešimą (Sutarties </w:t>
      </w:r>
      <w:r w:rsidR="00B45BCE" w:rsidRPr="001C31B4">
        <w:rPr>
          <w:rFonts w:eastAsia="Calibri"/>
          <w:lang w:val="lt-LT"/>
        </w:rPr>
        <w:t xml:space="preserve">8 </w:t>
      </w:r>
      <w:r w:rsidR="00956200" w:rsidRPr="001C31B4">
        <w:rPr>
          <w:rFonts w:eastAsia="Calibri"/>
          <w:lang w:val="lt-LT"/>
        </w:rPr>
        <w:t xml:space="preserve">priedas). </w:t>
      </w:r>
      <w:r w:rsidRPr="001C31B4">
        <w:rPr>
          <w:rFonts w:eastAsia="Calibri"/>
          <w:lang w:val="lt-LT"/>
        </w:rPr>
        <w:t>Garantijos mokestis už toki</w:t>
      </w:r>
      <w:r w:rsidR="00993F18" w:rsidRPr="001C31B4">
        <w:rPr>
          <w:rFonts w:eastAsia="Calibri"/>
          <w:lang w:val="lt-LT"/>
        </w:rPr>
        <w:t>u</w:t>
      </w:r>
      <w:r w:rsidRPr="001C31B4">
        <w:rPr>
          <w:rFonts w:eastAsia="Calibri"/>
          <w:lang w:val="lt-LT"/>
        </w:rPr>
        <w:t xml:space="preserve">s </w:t>
      </w:r>
      <w:r w:rsidR="00BE1664" w:rsidRPr="001C31B4">
        <w:rPr>
          <w:rFonts w:eastAsia="Calibri"/>
          <w:lang w:val="lt-LT"/>
        </w:rPr>
        <w:t xml:space="preserve">Faktoringo </w:t>
      </w:r>
      <w:r w:rsidR="00993F18" w:rsidRPr="001C31B4">
        <w:rPr>
          <w:rFonts w:eastAsia="Calibri"/>
          <w:lang w:val="lt-LT"/>
        </w:rPr>
        <w:t>sandorius</w:t>
      </w:r>
      <w:r w:rsidRPr="001C31B4">
        <w:rPr>
          <w:rFonts w:eastAsia="Calibri"/>
          <w:lang w:val="lt-LT"/>
        </w:rPr>
        <w:t xml:space="preserve"> nėra grąžinamas. Išimtis taikoma, jei</w:t>
      </w:r>
      <w:r w:rsidRPr="00A533E7">
        <w:rPr>
          <w:rFonts w:eastAsia="Calibri"/>
          <w:lang w:val="lt-LT"/>
        </w:rPr>
        <w:t xml:space="preserve"> </w:t>
      </w:r>
      <w:r w:rsidR="00993F18" w:rsidRPr="00A533E7">
        <w:rPr>
          <w:rFonts w:eastAsia="Calibri"/>
          <w:lang w:val="lt-LT"/>
        </w:rPr>
        <w:t xml:space="preserve">išimami </w:t>
      </w:r>
      <w:r w:rsidR="00F21757" w:rsidRPr="00A533E7">
        <w:rPr>
          <w:rFonts w:eastAsia="Calibri"/>
          <w:lang w:val="lt-LT"/>
        </w:rPr>
        <w:t>Faktoringo sandori</w:t>
      </w:r>
      <w:r w:rsidR="00993F18" w:rsidRPr="00A533E7">
        <w:rPr>
          <w:rFonts w:eastAsia="Calibri"/>
          <w:lang w:val="lt-LT"/>
        </w:rPr>
        <w:t>ai</w:t>
      </w:r>
      <w:r w:rsidR="00360062" w:rsidRPr="00A533E7">
        <w:rPr>
          <w:rFonts w:eastAsia="Calibri"/>
          <w:lang w:val="lt-LT"/>
        </w:rPr>
        <w:t xml:space="preserve">, </w:t>
      </w:r>
      <w:r w:rsidR="00360062" w:rsidRPr="00287C49">
        <w:rPr>
          <w:rFonts w:eastAsia="Calibri"/>
          <w:lang w:val="lt-LT"/>
        </w:rPr>
        <w:t>kuri</w:t>
      </w:r>
      <w:r w:rsidR="00993F18" w:rsidRPr="00287C49">
        <w:rPr>
          <w:rFonts w:eastAsia="Calibri"/>
          <w:lang w:val="lt-LT"/>
        </w:rPr>
        <w:t>uo</w:t>
      </w:r>
      <w:r w:rsidR="00360062" w:rsidRPr="00287C49">
        <w:rPr>
          <w:rFonts w:eastAsia="Calibri"/>
          <w:lang w:val="lt-LT"/>
        </w:rPr>
        <w:t>s</w:t>
      </w:r>
      <w:r w:rsidRPr="00362068">
        <w:rPr>
          <w:rFonts w:eastAsia="Calibri"/>
          <w:lang w:val="lt-LT"/>
        </w:rPr>
        <w:t xml:space="preserve"> </w:t>
      </w:r>
      <w:r w:rsidR="00C51F33" w:rsidRPr="00362068">
        <w:rPr>
          <w:rFonts w:eastAsia="Calibri"/>
          <w:lang w:val="lt-LT"/>
        </w:rPr>
        <w:t>PGF</w:t>
      </w:r>
      <w:r w:rsidR="00A533E7" w:rsidRPr="00362068">
        <w:rPr>
          <w:rFonts w:eastAsia="Calibri"/>
          <w:lang w:val="lt-LT"/>
        </w:rPr>
        <w:t>2</w:t>
      </w:r>
      <w:r w:rsidRPr="006C6894">
        <w:rPr>
          <w:rFonts w:eastAsia="Calibri"/>
          <w:lang w:val="lt-LT"/>
        </w:rPr>
        <w:t xml:space="preserve"> priemonės valdytoj</w:t>
      </w:r>
      <w:r w:rsidR="00360062" w:rsidRPr="00C06E1B">
        <w:rPr>
          <w:rFonts w:eastAsia="Calibri"/>
          <w:lang w:val="lt-LT"/>
        </w:rPr>
        <w:t>as</w:t>
      </w:r>
      <w:r w:rsidRPr="00C06E1B">
        <w:rPr>
          <w:rFonts w:eastAsia="Calibri"/>
          <w:lang w:val="lt-LT"/>
        </w:rPr>
        <w:t xml:space="preserve"> </w:t>
      </w:r>
      <w:r w:rsidR="00360062" w:rsidRPr="00C06E1B">
        <w:rPr>
          <w:rFonts w:eastAsia="Calibri"/>
          <w:lang w:val="lt-LT"/>
        </w:rPr>
        <w:t>klaidingai įtraukė</w:t>
      </w:r>
      <w:r w:rsidR="001E563E" w:rsidRPr="005037F4">
        <w:rPr>
          <w:rFonts w:eastAsia="Calibri"/>
          <w:lang w:val="lt-LT"/>
        </w:rPr>
        <w:t xml:space="preserve"> tik</w:t>
      </w:r>
      <w:r w:rsidR="00360062" w:rsidRPr="005037F4">
        <w:rPr>
          <w:rFonts w:eastAsia="Calibri"/>
          <w:lang w:val="lt-LT"/>
        </w:rPr>
        <w:t xml:space="preserve"> </w:t>
      </w:r>
      <w:r w:rsidRPr="000339D1">
        <w:rPr>
          <w:rFonts w:eastAsia="Calibri"/>
          <w:lang w:val="lt-LT"/>
        </w:rPr>
        <w:t>į praėjusio ketvirčio ataskaitą</w:t>
      </w:r>
      <w:r w:rsidR="00360062" w:rsidRPr="000339D1">
        <w:rPr>
          <w:rFonts w:eastAsia="Calibri"/>
          <w:lang w:val="lt-LT"/>
        </w:rPr>
        <w:t>. Šiuo atveju</w:t>
      </w:r>
      <w:r w:rsidRPr="000339D1">
        <w:rPr>
          <w:rFonts w:eastAsia="Calibri"/>
          <w:lang w:val="lt-LT"/>
        </w:rPr>
        <w:t xml:space="preserve"> </w:t>
      </w:r>
      <w:r w:rsidR="008D47C8" w:rsidRPr="00E229E7">
        <w:rPr>
          <w:rFonts w:eastAsia="Calibri"/>
          <w:lang w:val="lt-LT"/>
        </w:rPr>
        <w:t xml:space="preserve">Garantijos </w:t>
      </w:r>
      <w:r w:rsidRPr="007F40E3">
        <w:rPr>
          <w:rFonts w:eastAsia="Calibri"/>
          <w:lang w:val="lt-LT"/>
        </w:rPr>
        <w:t xml:space="preserve">mokestis grąžinamas arba užskaitomas su einamojo ketvirčio </w:t>
      </w:r>
      <w:r w:rsidR="0062733F" w:rsidRPr="00B53B2B">
        <w:rPr>
          <w:rFonts w:eastAsia="Calibri"/>
          <w:lang w:val="lt-LT"/>
        </w:rPr>
        <w:t>G</w:t>
      </w:r>
      <w:r w:rsidRPr="00B53B2B">
        <w:rPr>
          <w:rFonts w:eastAsia="Calibri"/>
          <w:lang w:val="lt-LT"/>
        </w:rPr>
        <w:t xml:space="preserve">arantijos mokesčio </w:t>
      </w:r>
      <w:r w:rsidR="00373742" w:rsidRPr="00A25995">
        <w:rPr>
          <w:rFonts w:eastAsia="Calibri"/>
          <w:lang w:val="lt-LT"/>
        </w:rPr>
        <w:t>mokėjimu</w:t>
      </w:r>
      <w:r w:rsidR="00EB38F2" w:rsidRPr="00283B5C">
        <w:rPr>
          <w:rFonts w:eastAsia="Calibri"/>
          <w:lang w:val="lt-LT"/>
        </w:rPr>
        <w:t>.</w:t>
      </w:r>
    </w:p>
    <w:p w14:paraId="41B90132" w14:textId="73106249" w:rsidR="009D3653" w:rsidRPr="00364C34" w:rsidRDefault="00A96B6F" w:rsidP="009B0EE1">
      <w:pPr>
        <w:pStyle w:val="NormalWeb"/>
        <w:numPr>
          <w:ilvl w:val="1"/>
          <w:numId w:val="6"/>
        </w:numPr>
        <w:tabs>
          <w:tab w:val="left" w:pos="567"/>
        </w:tabs>
        <w:spacing w:before="0" w:beforeAutospacing="0" w:after="0" w:afterAutospacing="0" w:line="276" w:lineRule="auto"/>
        <w:ind w:left="-851" w:firstLine="851"/>
        <w:jc w:val="both"/>
        <w:rPr>
          <w:caps/>
          <w:lang w:val="lt-LT"/>
        </w:rPr>
      </w:pPr>
      <w:r w:rsidRPr="00287C49">
        <w:rPr>
          <w:lang w:val="lt-LT"/>
        </w:rPr>
        <w:t xml:space="preserve">Jei </w:t>
      </w:r>
      <w:r w:rsidR="00BE1664" w:rsidRPr="00287C49">
        <w:rPr>
          <w:lang w:val="lt-LT"/>
        </w:rPr>
        <w:t>Faktoringo sandoris</w:t>
      </w:r>
      <w:r w:rsidRPr="00287C49">
        <w:rPr>
          <w:lang w:val="lt-LT"/>
        </w:rPr>
        <w:t xml:space="preserve"> ar </w:t>
      </w:r>
      <w:r w:rsidR="00F21757" w:rsidRPr="00287C49">
        <w:rPr>
          <w:lang w:val="lt-LT"/>
        </w:rPr>
        <w:t>Faktoringo sandorio</w:t>
      </w:r>
      <w:r w:rsidRPr="00287C49">
        <w:rPr>
          <w:lang w:val="lt-LT"/>
        </w:rPr>
        <w:t xml:space="preserve"> dalis yra išimama iš Portfelio</w:t>
      </w:r>
      <w:r w:rsidR="0087290E" w:rsidRPr="00287C49">
        <w:rPr>
          <w:lang w:val="lt-LT"/>
        </w:rPr>
        <w:t>,</w:t>
      </w:r>
      <w:r w:rsidRPr="00287C49">
        <w:rPr>
          <w:lang w:val="lt-LT"/>
        </w:rPr>
        <w:t xml:space="preserve"> </w:t>
      </w:r>
      <w:r w:rsidR="00C51F33" w:rsidRPr="00287C49">
        <w:rPr>
          <w:lang w:val="lt-LT"/>
        </w:rPr>
        <w:t>PGF</w:t>
      </w:r>
      <w:r w:rsidR="00287C49" w:rsidRPr="00287C49">
        <w:rPr>
          <w:lang w:val="lt-LT"/>
        </w:rPr>
        <w:t>2</w:t>
      </w:r>
      <w:r w:rsidR="007A5680" w:rsidRPr="00287C49">
        <w:rPr>
          <w:lang w:val="lt-LT"/>
        </w:rPr>
        <w:t> </w:t>
      </w:r>
      <w:r w:rsidR="00780D67" w:rsidRPr="00287C49">
        <w:rPr>
          <w:lang w:val="lt-LT"/>
        </w:rPr>
        <w:t xml:space="preserve"> priemonės valdytojas gali vietoje jo įtraukti kitą </w:t>
      </w:r>
      <w:r w:rsidR="007F075C" w:rsidRPr="00287C49">
        <w:rPr>
          <w:lang w:val="lt-LT"/>
        </w:rPr>
        <w:t xml:space="preserve">naujai sudaromą </w:t>
      </w:r>
      <w:r w:rsidR="00FF3823" w:rsidRPr="00287C49">
        <w:rPr>
          <w:lang w:val="lt-LT"/>
        </w:rPr>
        <w:t>Faktoringo sandorį</w:t>
      </w:r>
      <w:r w:rsidR="00780D67" w:rsidRPr="00287C49">
        <w:rPr>
          <w:lang w:val="lt-LT"/>
        </w:rPr>
        <w:t>, kuri</w:t>
      </w:r>
      <w:r w:rsidR="00FF3823" w:rsidRPr="00287C49">
        <w:rPr>
          <w:lang w:val="lt-LT"/>
        </w:rPr>
        <w:t>s</w:t>
      </w:r>
      <w:r w:rsidR="00780D67" w:rsidRPr="00287C49">
        <w:rPr>
          <w:lang w:val="lt-LT"/>
        </w:rPr>
        <w:t xml:space="preserve"> atitinka Tinkamumo sąlygas. Už </w:t>
      </w:r>
      <w:r w:rsidR="00FF3823" w:rsidRPr="00287C49">
        <w:rPr>
          <w:lang w:val="lt-LT"/>
        </w:rPr>
        <w:t xml:space="preserve">šiuos </w:t>
      </w:r>
      <w:r w:rsidR="006A04FC" w:rsidRPr="00287C49">
        <w:rPr>
          <w:lang w:val="lt-LT"/>
        </w:rPr>
        <w:t>naujai</w:t>
      </w:r>
      <w:r w:rsidR="00780D67" w:rsidRPr="00287C49">
        <w:rPr>
          <w:lang w:val="lt-LT"/>
        </w:rPr>
        <w:t xml:space="preserve"> įtrauk</w:t>
      </w:r>
      <w:r w:rsidR="00360062" w:rsidRPr="00287C49">
        <w:rPr>
          <w:lang w:val="lt-LT"/>
        </w:rPr>
        <w:t>t</w:t>
      </w:r>
      <w:r w:rsidR="00FF3823" w:rsidRPr="00287C49">
        <w:rPr>
          <w:lang w:val="lt-LT"/>
        </w:rPr>
        <w:t>u</w:t>
      </w:r>
      <w:r w:rsidR="00780D67" w:rsidRPr="00287C49">
        <w:rPr>
          <w:lang w:val="lt-LT"/>
        </w:rPr>
        <w:t xml:space="preserve">s į Portfelį </w:t>
      </w:r>
      <w:r w:rsidR="00BE1664" w:rsidRPr="00287C49">
        <w:rPr>
          <w:lang w:val="lt-LT"/>
        </w:rPr>
        <w:t>Faktoringo sandori</w:t>
      </w:r>
      <w:r w:rsidR="00FF3823" w:rsidRPr="00287C49">
        <w:rPr>
          <w:lang w:val="lt-LT"/>
        </w:rPr>
        <w:t>u</w:t>
      </w:r>
      <w:r w:rsidR="00780D67" w:rsidRPr="00287C49">
        <w:rPr>
          <w:lang w:val="lt-LT"/>
        </w:rPr>
        <w:t>s mokamas Garantijos mokestis. Išimtis taikoma, jei išimam</w:t>
      </w:r>
      <w:r w:rsidR="007F075C" w:rsidRPr="00287C49">
        <w:rPr>
          <w:lang w:val="lt-LT"/>
        </w:rPr>
        <w:t>i</w:t>
      </w:r>
      <w:r w:rsidR="00780D67" w:rsidRPr="00287C49">
        <w:rPr>
          <w:lang w:val="lt-LT"/>
        </w:rPr>
        <w:t xml:space="preserve"> </w:t>
      </w:r>
      <w:r w:rsidR="00F21757" w:rsidRPr="00287C49">
        <w:rPr>
          <w:lang w:val="lt-LT"/>
        </w:rPr>
        <w:t>Faktoringo sandori</w:t>
      </w:r>
      <w:r w:rsidR="007F075C" w:rsidRPr="00287C49">
        <w:rPr>
          <w:lang w:val="lt-LT"/>
        </w:rPr>
        <w:t>ai</w:t>
      </w:r>
      <w:r w:rsidR="00D00B2C" w:rsidRPr="00287C49">
        <w:rPr>
          <w:lang w:val="lt-LT"/>
        </w:rPr>
        <w:t>, kur</w:t>
      </w:r>
      <w:r w:rsidR="007F075C" w:rsidRPr="00287C49">
        <w:rPr>
          <w:lang w:val="lt-LT"/>
        </w:rPr>
        <w:t>iuos</w:t>
      </w:r>
      <w:r w:rsidR="00780D67" w:rsidRPr="00287C49">
        <w:rPr>
          <w:lang w:val="lt-LT"/>
        </w:rPr>
        <w:t xml:space="preserve"> </w:t>
      </w:r>
      <w:r w:rsidR="00C51F33" w:rsidRPr="00287C49">
        <w:rPr>
          <w:lang w:val="lt-LT"/>
        </w:rPr>
        <w:t>PGF</w:t>
      </w:r>
      <w:r w:rsidR="00287C49" w:rsidRPr="00287C49">
        <w:rPr>
          <w:lang w:val="lt-LT"/>
        </w:rPr>
        <w:t>2</w:t>
      </w:r>
      <w:r w:rsidR="00780D67" w:rsidRPr="00287C49">
        <w:rPr>
          <w:lang w:val="lt-LT"/>
        </w:rPr>
        <w:t xml:space="preserve"> priemonės </w:t>
      </w:r>
      <w:r w:rsidR="00780D67" w:rsidRPr="00364C34">
        <w:rPr>
          <w:lang w:val="lt-LT"/>
        </w:rPr>
        <w:t>valdytoj</w:t>
      </w:r>
      <w:r w:rsidR="00D00B2C" w:rsidRPr="00364C34">
        <w:rPr>
          <w:lang w:val="lt-LT"/>
        </w:rPr>
        <w:t>as</w:t>
      </w:r>
      <w:r w:rsidR="00780D67" w:rsidRPr="00364C34">
        <w:rPr>
          <w:lang w:val="lt-LT"/>
        </w:rPr>
        <w:t xml:space="preserve"> buvo klaidingai įtrauk</w:t>
      </w:r>
      <w:r w:rsidR="00D00B2C" w:rsidRPr="00364C34">
        <w:rPr>
          <w:lang w:val="lt-LT"/>
        </w:rPr>
        <w:t>ę</w:t>
      </w:r>
      <w:r w:rsidR="00780D67" w:rsidRPr="00364C34">
        <w:rPr>
          <w:lang w:val="lt-LT"/>
        </w:rPr>
        <w:t xml:space="preserve">s </w:t>
      </w:r>
      <w:r w:rsidR="001E563E" w:rsidRPr="00364C34">
        <w:rPr>
          <w:lang w:val="lt-LT"/>
        </w:rPr>
        <w:t xml:space="preserve">tik </w:t>
      </w:r>
      <w:r w:rsidR="00780D67" w:rsidRPr="00364C34">
        <w:rPr>
          <w:lang w:val="lt-LT"/>
        </w:rPr>
        <w:t>į praėjusio ketvirčio ataskaitą</w:t>
      </w:r>
      <w:r w:rsidR="00D00B2C" w:rsidRPr="00364C34">
        <w:rPr>
          <w:lang w:val="lt-LT"/>
        </w:rPr>
        <w:t>.</w:t>
      </w:r>
      <w:r w:rsidR="00780D67" w:rsidRPr="00364C34">
        <w:rPr>
          <w:lang w:val="lt-LT"/>
        </w:rPr>
        <w:t xml:space="preserve"> </w:t>
      </w:r>
      <w:r w:rsidR="00D00B2C" w:rsidRPr="00364C34">
        <w:rPr>
          <w:lang w:val="lt-LT"/>
        </w:rPr>
        <w:t xml:space="preserve">Tokiu atveju </w:t>
      </w:r>
      <w:r w:rsidR="00780D67" w:rsidRPr="00364C34">
        <w:rPr>
          <w:lang w:val="lt-LT"/>
        </w:rPr>
        <w:t xml:space="preserve">sumokėtas Garantijos mokestis </w:t>
      </w:r>
      <w:r w:rsidR="00D00B2C" w:rsidRPr="00364C34">
        <w:rPr>
          <w:lang w:val="lt-LT"/>
        </w:rPr>
        <w:t xml:space="preserve">pagal </w:t>
      </w:r>
      <w:r w:rsidR="00780D67" w:rsidRPr="00364C34">
        <w:rPr>
          <w:lang w:val="lt-LT"/>
        </w:rPr>
        <w:t>išim</w:t>
      </w:r>
      <w:r w:rsidR="00D00B2C" w:rsidRPr="00364C34">
        <w:rPr>
          <w:lang w:val="lt-LT"/>
        </w:rPr>
        <w:t>t</w:t>
      </w:r>
      <w:r w:rsidR="00FF3823" w:rsidRPr="00364C34">
        <w:rPr>
          <w:lang w:val="lt-LT"/>
        </w:rPr>
        <w:t>u</w:t>
      </w:r>
      <w:r w:rsidR="00780D67" w:rsidRPr="00364C34">
        <w:rPr>
          <w:lang w:val="lt-LT"/>
        </w:rPr>
        <w:t xml:space="preserve">s </w:t>
      </w:r>
      <w:r w:rsidR="00BE1664" w:rsidRPr="00364C34">
        <w:rPr>
          <w:lang w:val="lt-LT"/>
        </w:rPr>
        <w:t>Faktoringo sandori</w:t>
      </w:r>
      <w:r w:rsidR="00FF3823" w:rsidRPr="00364C34">
        <w:rPr>
          <w:lang w:val="lt-LT"/>
        </w:rPr>
        <w:t>u</w:t>
      </w:r>
      <w:r w:rsidR="00780D67" w:rsidRPr="00364C34">
        <w:rPr>
          <w:lang w:val="lt-LT"/>
        </w:rPr>
        <w:t>s užskaitomas už naujai įtraukia</w:t>
      </w:r>
      <w:r w:rsidR="00373742" w:rsidRPr="00364C34">
        <w:rPr>
          <w:lang w:val="lt-LT"/>
        </w:rPr>
        <w:t>m</w:t>
      </w:r>
      <w:r w:rsidR="007F075C" w:rsidRPr="00364C34">
        <w:rPr>
          <w:lang w:val="lt-LT"/>
        </w:rPr>
        <w:t>u</w:t>
      </w:r>
      <w:r w:rsidR="00373742" w:rsidRPr="00364C34">
        <w:rPr>
          <w:lang w:val="lt-LT"/>
        </w:rPr>
        <w:t xml:space="preserve">s einamojo ketvirčio </w:t>
      </w:r>
      <w:r w:rsidR="00BE1664" w:rsidRPr="00364C34">
        <w:rPr>
          <w:lang w:val="lt-LT"/>
        </w:rPr>
        <w:t>Faktoringo sandori</w:t>
      </w:r>
      <w:r w:rsidR="00FF3823" w:rsidRPr="00364C34">
        <w:rPr>
          <w:lang w:val="lt-LT"/>
        </w:rPr>
        <w:t>u</w:t>
      </w:r>
      <w:r w:rsidR="00373742" w:rsidRPr="00364C34">
        <w:rPr>
          <w:lang w:val="lt-LT"/>
        </w:rPr>
        <w:t>s</w:t>
      </w:r>
      <w:r w:rsidR="00EB38F2" w:rsidRPr="00364C34">
        <w:rPr>
          <w:lang w:val="lt-LT"/>
        </w:rPr>
        <w:t>.</w:t>
      </w:r>
    </w:p>
    <w:p w14:paraId="79E8FDFB" w14:textId="1569BCB2" w:rsidR="009D3653" w:rsidRPr="004E6F77" w:rsidRDefault="00A96B6F" w:rsidP="009B0EE1">
      <w:pPr>
        <w:pStyle w:val="NormalWeb"/>
        <w:numPr>
          <w:ilvl w:val="1"/>
          <w:numId w:val="6"/>
        </w:numPr>
        <w:tabs>
          <w:tab w:val="left" w:pos="567"/>
        </w:tabs>
        <w:spacing w:before="0" w:beforeAutospacing="0" w:after="0" w:afterAutospacing="0" w:line="276" w:lineRule="auto"/>
        <w:ind w:left="-851" w:firstLine="851"/>
        <w:jc w:val="both"/>
        <w:rPr>
          <w:caps/>
          <w:lang w:val="lt-LT"/>
        </w:rPr>
      </w:pPr>
      <w:r w:rsidRPr="00364C34">
        <w:rPr>
          <w:lang w:val="lt-LT"/>
        </w:rPr>
        <w:t xml:space="preserve">Šalys susitaria, kad tuo atveju, kai tik dalis </w:t>
      </w:r>
      <w:r w:rsidR="00F21757" w:rsidRPr="00364C34">
        <w:rPr>
          <w:lang w:val="lt-LT"/>
        </w:rPr>
        <w:t>Faktoringo sandorio</w:t>
      </w:r>
      <w:r w:rsidRPr="00364C34">
        <w:rPr>
          <w:lang w:val="lt-LT"/>
        </w:rPr>
        <w:t xml:space="preserve"> atitinka Reikalavimų neatitinkančio </w:t>
      </w:r>
      <w:r w:rsidR="00F21757" w:rsidRPr="00364C34">
        <w:rPr>
          <w:lang w:val="lt-LT"/>
        </w:rPr>
        <w:t>Faktoringo sandorio</w:t>
      </w:r>
      <w:r w:rsidRPr="00364C34">
        <w:rPr>
          <w:lang w:val="lt-LT"/>
        </w:rPr>
        <w:t xml:space="preserve"> sąlygas, Reikalavimų neatitinkanči</w:t>
      </w:r>
      <w:r w:rsidR="00FF3823" w:rsidRPr="00364C34">
        <w:rPr>
          <w:lang w:val="lt-LT"/>
        </w:rPr>
        <w:t>u</w:t>
      </w:r>
      <w:r w:rsidRPr="00364C34">
        <w:rPr>
          <w:lang w:val="lt-LT"/>
        </w:rPr>
        <w:t xml:space="preserve"> </w:t>
      </w:r>
      <w:r w:rsidR="00BE1664" w:rsidRPr="00364C34">
        <w:rPr>
          <w:lang w:val="lt-LT"/>
        </w:rPr>
        <w:t>Faktoringo sandori</w:t>
      </w:r>
      <w:r w:rsidR="00FF3823" w:rsidRPr="00364C34">
        <w:rPr>
          <w:lang w:val="lt-LT"/>
        </w:rPr>
        <w:t>u</w:t>
      </w:r>
      <w:r w:rsidRPr="00364C34">
        <w:rPr>
          <w:lang w:val="lt-LT"/>
        </w:rPr>
        <w:t xml:space="preserve"> laikoma tik ši </w:t>
      </w:r>
      <w:r w:rsidR="00F21757" w:rsidRPr="004E6F77">
        <w:rPr>
          <w:lang w:val="lt-LT"/>
        </w:rPr>
        <w:t>Faktoringo sandorio</w:t>
      </w:r>
      <w:r w:rsidRPr="004E6F77">
        <w:rPr>
          <w:lang w:val="lt-LT"/>
        </w:rPr>
        <w:t xml:space="preserve"> dalis.</w:t>
      </w:r>
    </w:p>
    <w:p w14:paraId="6C1CD1C5" w14:textId="468EF5C0" w:rsidR="009D3653" w:rsidRPr="004E6F77" w:rsidRDefault="00A96B6F" w:rsidP="009B0EE1">
      <w:pPr>
        <w:pStyle w:val="NormalWeb"/>
        <w:numPr>
          <w:ilvl w:val="1"/>
          <w:numId w:val="6"/>
        </w:numPr>
        <w:tabs>
          <w:tab w:val="left" w:pos="567"/>
        </w:tabs>
        <w:spacing w:before="0" w:beforeAutospacing="0" w:after="0" w:afterAutospacing="0" w:line="276" w:lineRule="auto"/>
        <w:ind w:left="-851" w:firstLine="851"/>
        <w:jc w:val="both"/>
        <w:rPr>
          <w:caps/>
          <w:lang w:val="lt-LT"/>
        </w:rPr>
      </w:pPr>
      <w:r w:rsidRPr="004E6F77">
        <w:rPr>
          <w:lang w:val="lt-LT"/>
        </w:rPr>
        <w:t>Jeigu Reikalavimų neatitinkan</w:t>
      </w:r>
      <w:r w:rsidR="00245B5A" w:rsidRPr="004E6F77">
        <w:rPr>
          <w:lang w:val="lt-LT"/>
        </w:rPr>
        <w:t>tį</w:t>
      </w:r>
      <w:r w:rsidRPr="004E6F77">
        <w:rPr>
          <w:lang w:val="lt-LT"/>
        </w:rPr>
        <w:t xml:space="preserve"> </w:t>
      </w:r>
      <w:r w:rsidR="00013C53" w:rsidRPr="004E6F77">
        <w:rPr>
          <w:lang w:val="lt-LT"/>
        </w:rPr>
        <w:t>Faktoringo sandorį</w:t>
      </w:r>
      <w:r w:rsidRPr="004E6F77">
        <w:rPr>
          <w:lang w:val="lt-LT"/>
        </w:rPr>
        <w:t xml:space="preserve"> sąlygojo apgaulingas ar neteisėtas </w:t>
      </w:r>
      <w:r w:rsidR="00F21757" w:rsidRPr="004E6F77">
        <w:rPr>
          <w:lang w:val="lt-LT"/>
        </w:rPr>
        <w:t>Faktoringo sandorio</w:t>
      </w:r>
      <w:r w:rsidRPr="004E6F77">
        <w:rPr>
          <w:lang w:val="lt-LT"/>
        </w:rPr>
        <w:t xml:space="preserve"> (arba atitinkamos </w:t>
      </w:r>
      <w:r w:rsidR="00F21757" w:rsidRPr="004E6F77">
        <w:rPr>
          <w:lang w:val="lt-LT"/>
        </w:rPr>
        <w:t>Faktoringo sandorio</w:t>
      </w:r>
      <w:r w:rsidRPr="004E6F77">
        <w:rPr>
          <w:lang w:val="lt-LT"/>
        </w:rPr>
        <w:t xml:space="preserve"> dalies) suteikimas, tuomet, nepaisant Sutarties </w:t>
      </w:r>
      <w:r w:rsidR="005C6ABB" w:rsidRPr="004E6F77">
        <w:rPr>
          <w:lang w:val="lt-LT"/>
        </w:rPr>
        <w:t>4.</w:t>
      </w:r>
      <w:r w:rsidR="00E933B0" w:rsidRPr="004E6F77">
        <w:rPr>
          <w:lang w:val="lt-LT"/>
        </w:rPr>
        <w:t>1</w:t>
      </w:r>
      <w:r w:rsidR="00BB7234" w:rsidRPr="004E6F77">
        <w:rPr>
          <w:lang w:val="lt-LT"/>
        </w:rPr>
        <w:t>5</w:t>
      </w:r>
      <w:r w:rsidRPr="004E6F77">
        <w:rPr>
          <w:lang w:val="lt-LT"/>
        </w:rPr>
        <w:t xml:space="preserve"> punkto, visa</w:t>
      </w:r>
      <w:r w:rsidR="00751FE9" w:rsidRPr="004E6F77">
        <w:rPr>
          <w:lang w:val="lt-LT"/>
        </w:rPr>
        <w:t>s</w:t>
      </w:r>
      <w:r w:rsidRPr="004E6F77">
        <w:rPr>
          <w:lang w:val="lt-LT"/>
        </w:rPr>
        <w:t xml:space="preserve"> </w:t>
      </w:r>
      <w:r w:rsidR="00F21757" w:rsidRPr="004E6F77">
        <w:rPr>
          <w:lang w:val="lt-LT"/>
        </w:rPr>
        <w:t>Faktoringo sandori</w:t>
      </w:r>
      <w:r w:rsidR="00751FE9" w:rsidRPr="004E6F77">
        <w:rPr>
          <w:lang w:val="lt-LT"/>
        </w:rPr>
        <w:t>s</w:t>
      </w:r>
      <w:r w:rsidRPr="004E6F77">
        <w:rPr>
          <w:lang w:val="lt-LT"/>
        </w:rPr>
        <w:t xml:space="preserve"> yra laikoma</w:t>
      </w:r>
      <w:r w:rsidR="00751FE9" w:rsidRPr="004E6F77">
        <w:rPr>
          <w:lang w:val="lt-LT"/>
        </w:rPr>
        <w:t>s</w:t>
      </w:r>
      <w:r w:rsidRPr="004E6F77">
        <w:rPr>
          <w:lang w:val="lt-LT"/>
        </w:rPr>
        <w:t xml:space="preserve"> Reikalavimų neatitinkan</w:t>
      </w:r>
      <w:r w:rsidR="00BC1BDC" w:rsidRPr="004E6F77">
        <w:rPr>
          <w:lang w:val="lt-LT"/>
        </w:rPr>
        <w:t>či</w:t>
      </w:r>
      <w:r w:rsidR="00751FE9" w:rsidRPr="004E6F77">
        <w:rPr>
          <w:lang w:val="lt-LT"/>
        </w:rPr>
        <w:t>u</w:t>
      </w:r>
      <w:r w:rsidRPr="004E6F77">
        <w:rPr>
          <w:lang w:val="lt-LT"/>
        </w:rPr>
        <w:t xml:space="preserve"> </w:t>
      </w:r>
      <w:r w:rsidR="00BE1664" w:rsidRPr="004E6F77">
        <w:rPr>
          <w:lang w:val="lt-LT"/>
        </w:rPr>
        <w:t>Faktoringo sandori</w:t>
      </w:r>
      <w:r w:rsidR="00751FE9" w:rsidRPr="004E6F77">
        <w:rPr>
          <w:lang w:val="lt-LT"/>
        </w:rPr>
        <w:t>u</w:t>
      </w:r>
      <w:r w:rsidRPr="004E6F77">
        <w:rPr>
          <w:lang w:val="lt-LT"/>
        </w:rPr>
        <w:t>.</w:t>
      </w:r>
    </w:p>
    <w:p w14:paraId="61F28073" w14:textId="78A9DFE4" w:rsidR="009D3653" w:rsidRPr="00522928" w:rsidRDefault="00261A33" w:rsidP="009B0EE1">
      <w:pPr>
        <w:pStyle w:val="NormalWeb"/>
        <w:numPr>
          <w:ilvl w:val="1"/>
          <w:numId w:val="6"/>
        </w:numPr>
        <w:tabs>
          <w:tab w:val="left" w:pos="567"/>
        </w:tabs>
        <w:spacing w:before="0" w:beforeAutospacing="0" w:after="0" w:afterAutospacing="0" w:line="276" w:lineRule="auto"/>
        <w:ind w:left="-851" w:firstLine="851"/>
        <w:jc w:val="both"/>
        <w:rPr>
          <w:caps/>
          <w:lang w:val="lt-LT"/>
        </w:rPr>
      </w:pPr>
      <w:r w:rsidRPr="004E6F77">
        <w:rPr>
          <w:lang w:val="lt-LT"/>
        </w:rPr>
        <w:t>Kai</w:t>
      </w:r>
      <w:r w:rsidR="00A04E58" w:rsidRPr="004E6F77">
        <w:rPr>
          <w:lang w:val="lt-LT"/>
        </w:rPr>
        <w:t xml:space="preserve"> Šalis gauna kitos Šalies pranešimą apie Reikalavimų </w:t>
      </w:r>
      <w:r w:rsidR="000C4B19" w:rsidRPr="004E6F77">
        <w:rPr>
          <w:lang w:val="lt-LT"/>
        </w:rPr>
        <w:t>neatitinkantį Faktoringo sandorį</w:t>
      </w:r>
      <w:r w:rsidRPr="004E6F77">
        <w:rPr>
          <w:lang w:val="lt-LT"/>
        </w:rPr>
        <w:t xml:space="preserve">, </w:t>
      </w:r>
      <w:r w:rsidR="00A04E58" w:rsidRPr="004E6F77">
        <w:rPr>
          <w:lang w:val="lt-LT"/>
        </w:rPr>
        <w:t>Reikalavimų neatitinkanti</w:t>
      </w:r>
      <w:r w:rsidR="000C4B19" w:rsidRPr="004E6F77">
        <w:rPr>
          <w:lang w:val="lt-LT"/>
        </w:rPr>
        <w:t>s</w:t>
      </w:r>
      <w:r w:rsidR="00A04E58" w:rsidRPr="004E6F77">
        <w:rPr>
          <w:lang w:val="lt-LT"/>
        </w:rPr>
        <w:t xml:space="preserve"> </w:t>
      </w:r>
      <w:r w:rsidR="00BE1664" w:rsidRPr="004E6F77">
        <w:rPr>
          <w:lang w:val="lt-LT"/>
        </w:rPr>
        <w:t>Faktoringo sandoris</w:t>
      </w:r>
      <w:r w:rsidR="00A04E58" w:rsidRPr="004E6F77">
        <w:rPr>
          <w:lang w:val="lt-LT"/>
        </w:rPr>
        <w:t xml:space="preserve"> (ar jo dalis pagal Sutarties </w:t>
      </w:r>
      <w:r w:rsidRPr="004E6F77">
        <w:rPr>
          <w:lang w:val="lt-LT"/>
        </w:rPr>
        <w:t>4.</w:t>
      </w:r>
      <w:r w:rsidR="000C4B19" w:rsidRPr="004E6F77">
        <w:rPr>
          <w:lang w:val="lt-LT"/>
        </w:rPr>
        <w:t>1</w:t>
      </w:r>
      <w:r w:rsidR="007A5680" w:rsidRPr="004E6F77">
        <w:rPr>
          <w:lang w:val="lt-LT"/>
        </w:rPr>
        <w:t xml:space="preserve">3 </w:t>
      </w:r>
      <w:r w:rsidR="00A04E58" w:rsidRPr="004E6F77">
        <w:rPr>
          <w:lang w:val="lt-LT"/>
        </w:rPr>
        <w:t xml:space="preserve">punktą) </w:t>
      </w:r>
      <w:r w:rsidRPr="004E6F77">
        <w:rPr>
          <w:lang w:val="lt-LT"/>
        </w:rPr>
        <w:t>išimama</w:t>
      </w:r>
      <w:r w:rsidR="000C4B19" w:rsidRPr="004E6F77">
        <w:rPr>
          <w:lang w:val="lt-LT"/>
        </w:rPr>
        <w:t>s</w:t>
      </w:r>
      <w:r w:rsidRPr="004E6F77">
        <w:rPr>
          <w:lang w:val="lt-LT"/>
        </w:rPr>
        <w:t xml:space="preserve"> </w:t>
      </w:r>
      <w:r w:rsidR="00A04E58" w:rsidRPr="004E6F77">
        <w:rPr>
          <w:lang w:val="lt-LT"/>
        </w:rPr>
        <w:t>iš Portfelio</w:t>
      </w:r>
      <w:r w:rsidRPr="004E6F77">
        <w:rPr>
          <w:lang w:val="lt-LT"/>
        </w:rPr>
        <w:t xml:space="preserve"> ir </w:t>
      </w:r>
      <w:r w:rsidR="00C51F33" w:rsidRPr="004E6F77">
        <w:rPr>
          <w:lang w:val="lt-LT"/>
        </w:rPr>
        <w:t>PGF</w:t>
      </w:r>
      <w:r w:rsidR="004E6F77" w:rsidRPr="004E6F77">
        <w:rPr>
          <w:lang w:val="lt-LT"/>
        </w:rPr>
        <w:t>2</w:t>
      </w:r>
      <w:r w:rsidR="00A04E58" w:rsidRPr="004E6F77">
        <w:rPr>
          <w:lang w:val="lt-LT"/>
        </w:rPr>
        <w:t xml:space="preserve"> priemonės valdytojas</w:t>
      </w:r>
      <w:r w:rsidRPr="004E6F77">
        <w:rPr>
          <w:lang w:val="lt-LT"/>
        </w:rPr>
        <w:t xml:space="preserve"> nedelsdamas</w:t>
      </w:r>
      <w:r w:rsidR="00446520" w:rsidRPr="004E6F77">
        <w:rPr>
          <w:lang w:val="lt-LT"/>
        </w:rPr>
        <w:t xml:space="preserve">, bet ne vėliau kaip per </w:t>
      </w:r>
      <w:r w:rsidR="00446520" w:rsidRPr="00522928">
        <w:rPr>
          <w:lang w:val="lt-LT"/>
        </w:rPr>
        <w:t xml:space="preserve">7 </w:t>
      </w:r>
      <w:r w:rsidR="0087290E" w:rsidRPr="00522928">
        <w:rPr>
          <w:lang w:val="lt-LT"/>
        </w:rPr>
        <w:t xml:space="preserve">(septynias) kalendorines </w:t>
      </w:r>
      <w:r w:rsidR="00446520" w:rsidRPr="00522928">
        <w:rPr>
          <w:lang w:val="lt-LT"/>
        </w:rPr>
        <w:t>dienas</w:t>
      </w:r>
      <w:r w:rsidR="00B812CE" w:rsidRPr="00522928">
        <w:rPr>
          <w:lang w:val="lt-LT"/>
        </w:rPr>
        <w:t xml:space="preserve"> po fakto nustatymo,</w:t>
      </w:r>
      <w:r w:rsidRPr="00522928">
        <w:rPr>
          <w:lang w:val="lt-LT"/>
        </w:rPr>
        <w:t xml:space="preserve"> į Einamąją sąskaitą perveda pagal </w:t>
      </w:r>
      <w:r w:rsidR="00751FE9" w:rsidRPr="00522928">
        <w:rPr>
          <w:lang w:val="lt-LT"/>
        </w:rPr>
        <w:t xml:space="preserve">tokį </w:t>
      </w:r>
      <w:r w:rsidRPr="00522928">
        <w:rPr>
          <w:lang w:val="lt-LT"/>
        </w:rPr>
        <w:t xml:space="preserve">Reikalavimų </w:t>
      </w:r>
      <w:r w:rsidR="00245B5A" w:rsidRPr="00522928">
        <w:rPr>
          <w:lang w:val="lt-LT"/>
        </w:rPr>
        <w:t xml:space="preserve">neatitinkantį </w:t>
      </w:r>
      <w:r w:rsidR="00013C53" w:rsidRPr="00522928">
        <w:rPr>
          <w:lang w:val="lt-LT"/>
        </w:rPr>
        <w:t>Faktoringo sandorį</w:t>
      </w:r>
      <w:r w:rsidRPr="00522928">
        <w:rPr>
          <w:lang w:val="lt-LT"/>
        </w:rPr>
        <w:t xml:space="preserve"> gautą Garantijos išmoką</w:t>
      </w:r>
      <w:r w:rsidR="006A04FC" w:rsidRPr="00522928">
        <w:rPr>
          <w:lang w:val="lt-LT"/>
        </w:rPr>
        <w:t>, jei ji buvo sumokėta</w:t>
      </w:r>
      <w:r w:rsidRPr="00522928">
        <w:rPr>
          <w:lang w:val="lt-LT"/>
        </w:rPr>
        <w:t>.</w:t>
      </w:r>
    </w:p>
    <w:p w14:paraId="57916923" w14:textId="0C36C350" w:rsidR="009D3653" w:rsidRPr="00522928" w:rsidRDefault="00F21757" w:rsidP="009B0EE1">
      <w:pPr>
        <w:pStyle w:val="NormalWeb"/>
        <w:numPr>
          <w:ilvl w:val="1"/>
          <w:numId w:val="6"/>
        </w:numPr>
        <w:tabs>
          <w:tab w:val="left" w:pos="567"/>
        </w:tabs>
        <w:spacing w:before="0" w:beforeAutospacing="0" w:after="0" w:afterAutospacing="0" w:line="276" w:lineRule="auto"/>
        <w:ind w:left="-851" w:firstLine="851"/>
        <w:jc w:val="both"/>
        <w:rPr>
          <w:caps/>
          <w:lang w:val="lt-LT"/>
        </w:rPr>
      </w:pPr>
      <w:r w:rsidRPr="00522928">
        <w:rPr>
          <w:lang w:val="lt-LT"/>
        </w:rPr>
        <w:t>Faktoringo sandori</w:t>
      </w:r>
      <w:r w:rsidR="000C4B19" w:rsidRPr="00522928">
        <w:rPr>
          <w:lang w:val="lt-LT"/>
        </w:rPr>
        <w:t>ai</w:t>
      </w:r>
      <w:r w:rsidR="005377B6" w:rsidRPr="00522928">
        <w:rPr>
          <w:lang w:val="lt-LT"/>
        </w:rPr>
        <w:t xml:space="preserve"> į Portfelį gali būti įtraukiam</w:t>
      </w:r>
      <w:r w:rsidR="000C4B19" w:rsidRPr="00522928">
        <w:rPr>
          <w:lang w:val="lt-LT"/>
        </w:rPr>
        <w:t>i</w:t>
      </w:r>
      <w:r w:rsidR="005377B6" w:rsidRPr="00522928">
        <w:rPr>
          <w:lang w:val="lt-LT"/>
        </w:rPr>
        <w:t xml:space="preserve"> tik iki Sutarto </w:t>
      </w:r>
      <w:r w:rsidR="0046694A" w:rsidRPr="00522928">
        <w:rPr>
          <w:lang w:val="lt-LT"/>
        </w:rPr>
        <w:t>p</w:t>
      </w:r>
      <w:r w:rsidR="005377B6" w:rsidRPr="00522928">
        <w:rPr>
          <w:lang w:val="lt-LT"/>
        </w:rPr>
        <w:t>ortfelio dydžio</w:t>
      </w:r>
      <w:r w:rsidR="00373742" w:rsidRPr="00522928">
        <w:rPr>
          <w:lang w:val="lt-LT"/>
        </w:rPr>
        <w:t xml:space="preserve"> sumos</w:t>
      </w:r>
      <w:r w:rsidR="00EB38F2" w:rsidRPr="00522928">
        <w:rPr>
          <w:lang w:val="lt-LT"/>
        </w:rPr>
        <w:t>.</w:t>
      </w:r>
    </w:p>
    <w:p w14:paraId="3637FF4F" w14:textId="108D4818" w:rsidR="009D3653" w:rsidRPr="00C81336" w:rsidRDefault="00780D67" w:rsidP="009B0EE1">
      <w:pPr>
        <w:pStyle w:val="NormalWeb"/>
        <w:numPr>
          <w:ilvl w:val="1"/>
          <w:numId w:val="6"/>
        </w:numPr>
        <w:tabs>
          <w:tab w:val="left" w:pos="567"/>
        </w:tabs>
        <w:spacing w:before="0" w:beforeAutospacing="0" w:after="0" w:afterAutospacing="0" w:line="276" w:lineRule="auto"/>
        <w:ind w:left="-851" w:firstLine="851"/>
        <w:jc w:val="both"/>
        <w:rPr>
          <w:caps/>
          <w:lang w:val="lt-LT"/>
        </w:rPr>
      </w:pPr>
      <w:r w:rsidRPr="00522928">
        <w:rPr>
          <w:lang w:val="lt-LT"/>
        </w:rPr>
        <w:t xml:space="preserve">Ne vėliau kaip likus pusei metų iki Tinkamumo laikotarpio pabaigos gali būti atlikta </w:t>
      </w:r>
      <w:r w:rsidR="00195BE3" w:rsidRPr="00522928">
        <w:rPr>
          <w:lang w:val="lt-LT"/>
        </w:rPr>
        <w:t xml:space="preserve">Faktinio </w:t>
      </w:r>
      <w:r w:rsidR="0046694A" w:rsidRPr="00522928">
        <w:rPr>
          <w:lang w:val="lt-LT"/>
        </w:rPr>
        <w:t>p</w:t>
      </w:r>
      <w:r w:rsidR="00195BE3" w:rsidRPr="00522928">
        <w:rPr>
          <w:lang w:val="lt-LT"/>
        </w:rPr>
        <w:t>ortfelio dydžio</w:t>
      </w:r>
      <w:r w:rsidR="00FC3B73" w:rsidRPr="00522928">
        <w:rPr>
          <w:lang w:val="lt-LT"/>
        </w:rPr>
        <w:t xml:space="preserve"> korekcija</w:t>
      </w:r>
      <w:r w:rsidR="005B10C9" w:rsidRPr="00522928">
        <w:rPr>
          <w:lang w:val="lt-LT"/>
        </w:rPr>
        <w:t>,</w:t>
      </w:r>
      <w:r w:rsidRPr="00522928">
        <w:rPr>
          <w:lang w:val="lt-LT"/>
        </w:rPr>
        <w:t xml:space="preserve"> </w:t>
      </w:r>
      <w:r w:rsidR="00FC3B73" w:rsidRPr="00522928">
        <w:rPr>
          <w:lang w:val="lt-LT"/>
        </w:rPr>
        <w:t>kur</w:t>
      </w:r>
      <w:r w:rsidR="009A7D96" w:rsidRPr="00522928">
        <w:rPr>
          <w:lang w:val="lt-LT"/>
        </w:rPr>
        <w:t>i</w:t>
      </w:r>
      <w:r w:rsidR="00FC3B73" w:rsidRPr="00522928">
        <w:rPr>
          <w:lang w:val="lt-LT"/>
        </w:rPr>
        <w:t xml:space="preserve"> </w:t>
      </w:r>
      <w:r w:rsidRPr="00522928">
        <w:rPr>
          <w:lang w:val="lt-LT"/>
        </w:rPr>
        <w:t xml:space="preserve">reikalinga atspindėti </w:t>
      </w:r>
      <w:r w:rsidR="00D962A9" w:rsidRPr="00522928">
        <w:rPr>
          <w:lang w:val="lt-LT"/>
        </w:rPr>
        <w:t xml:space="preserve">į Portfelį įtrauktų </w:t>
      </w:r>
      <w:r w:rsidR="00424DBC" w:rsidRPr="00522928">
        <w:rPr>
          <w:lang w:val="lt-LT"/>
        </w:rPr>
        <w:t>Faktoringo sandorių</w:t>
      </w:r>
      <w:r w:rsidR="003F4BE6" w:rsidRPr="00522928">
        <w:rPr>
          <w:lang w:val="lt-LT"/>
        </w:rPr>
        <w:t xml:space="preserve"> nepanaudotą Faktoringo limitų sumą (Faktoringo sandorių, </w:t>
      </w:r>
      <w:r w:rsidR="00424DBC" w:rsidRPr="00522928">
        <w:rPr>
          <w:lang w:val="lt-LT"/>
        </w:rPr>
        <w:t xml:space="preserve">pagal kuriuos išmokėtų Faktoringo avansų suma </w:t>
      </w:r>
      <w:r w:rsidR="003F4BE6" w:rsidRPr="00522928">
        <w:rPr>
          <w:lang w:val="lt-LT"/>
        </w:rPr>
        <w:t xml:space="preserve">buvo mažesnė nei nustatytas Faktoringo limitas) </w:t>
      </w:r>
      <w:r w:rsidR="00424DBC" w:rsidRPr="00522928">
        <w:rPr>
          <w:lang w:val="lt-LT"/>
        </w:rPr>
        <w:t xml:space="preserve">ir </w:t>
      </w:r>
      <w:r w:rsidR="00FC3B73" w:rsidRPr="00522928">
        <w:rPr>
          <w:lang w:val="lt-LT"/>
        </w:rPr>
        <w:t xml:space="preserve">kuri </w:t>
      </w:r>
      <w:r w:rsidR="003F4BE6" w:rsidRPr="00522928">
        <w:rPr>
          <w:lang w:val="lt-LT"/>
        </w:rPr>
        <w:t>nebebus panaudota</w:t>
      </w:r>
      <w:r w:rsidR="00424DBC" w:rsidRPr="00522928">
        <w:rPr>
          <w:lang w:val="lt-LT"/>
        </w:rPr>
        <w:t xml:space="preserve">, nes Faktoringo avansai nebus </w:t>
      </w:r>
      <w:r w:rsidR="00FC3B73" w:rsidRPr="00522928">
        <w:rPr>
          <w:lang w:val="lt-LT"/>
        </w:rPr>
        <w:t>išmoka</w:t>
      </w:r>
      <w:r w:rsidR="00424DBC" w:rsidRPr="00522928">
        <w:rPr>
          <w:lang w:val="lt-LT"/>
        </w:rPr>
        <w:t>mi</w:t>
      </w:r>
      <w:r w:rsidR="009A7D96" w:rsidRPr="00522928">
        <w:rPr>
          <w:lang w:val="lt-LT"/>
        </w:rPr>
        <w:t xml:space="preserve"> iki </w:t>
      </w:r>
      <w:r w:rsidR="0058580E" w:rsidRPr="00522928">
        <w:rPr>
          <w:lang w:val="lt-LT"/>
        </w:rPr>
        <w:t xml:space="preserve">Faktoringo </w:t>
      </w:r>
      <w:r w:rsidR="00073B9F" w:rsidRPr="00522928">
        <w:rPr>
          <w:lang w:val="lt-LT"/>
        </w:rPr>
        <w:t xml:space="preserve">avansų </w:t>
      </w:r>
      <w:r w:rsidR="00742984" w:rsidRPr="00522928">
        <w:rPr>
          <w:lang w:val="lt-LT"/>
        </w:rPr>
        <w:t>išmokėjimo</w:t>
      </w:r>
      <w:r w:rsidR="009A7D96" w:rsidRPr="00522928">
        <w:rPr>
          <w:lang w:val="lt-LT"/>
        </w:rPr>
        <w:t xml:space="preserve"> laikotarpio pabaigos</w:t>
      </w:r>
      <w:r w:rsidR="00EB38F2" w:rsidRPr="00522928">
        <w:rPr>
          <w:lang w:val="lt-LT"/>
        </w:rPr>
        <w:t>.</w:t>
      </w:r>
      <w:r w:rsidR="00195BE3" w:rsidRPr="00522928">
        <w:rPr>
          <w:lang w:val="lt-LT"/>
        </w:rPr>
        <w:t xml:space="preserve"> </w:t>
      </w:r>
      <w:r w:rsidR="00C51F33" w:rsidRPr="00522928">
        <w:rPr>
          <w:lang w:val="lt-LT"/>
        </w:rPr>
        <w:t>PGF</w:t>
      </w:r>
      <w:r w:rsidR="00522928" w:rsidRPr="00522928">
        <w:rPr>
          <w:lang w:val="lt-LT"/>
        </w:rPr>
        <w:t>2</w:t>
      </w:r>
      <w:r w:rsidR="00195BE3" w:rsidRPr="00522928">
        <w:rPr>
          <w:lang w:val="lt-LT"/>
        </w:rPr>
        <w:t xml:space="preserve"> priemonės valdytojas gali įtraukti </w:t>
      </w:r>
      <w:r w:rsidR="00195BE3" w:rsidRPr="00C81336">
        <w:rPr>
          <w:lang w:val="lt-LT"/>
        </w:rPr>
        <w:t>papildom</w:t>
      </w:r>
      <w:r w:rsidR="000D2702" w:rsidRPr="00C81336">
        <w:rPr>
          <w:lang w:val="lt-LT"/>
        </w:rPr>
        <w:t>ą</w:t>
      </w:r>
      <w:r w:rsidR="00195BE3" w:rsidRPr="00C81336">
        <w:rPr>
          <w:lang w:val="lt-LT"/>
        </w:rPr>
        <w:t xml:space="preserve"> </w:t>
      </w:r>
      <w:r w:rsidR="0058580E" w:rsidRPr="00C81336">
        <w:rPr>
          <w:lang w:val="lt-LT"/>
        </w:rPr>
        <w:t>Faktoringo sandorių</w:t>
      </w:r>
      <w:r w:rsidR="000D2702" w:rsidRPr="00C81336">
        <w:rPr>
          <w:lang w:val="lt-LT"/>
        </w:rPr>
        <w:t xml:space="preserve"> sumą</w:t>
      </w:r>
      <w:r w:rsidR="00195BE3" w:rsidRPr="00C81336">
        <w:rPr>
          <w:lang w:val="lt-LT"/>
        </w:rPr>
        <w:t xml:space="preserve"> į Portfelį</w:t>
      </w:r>
      <w:r w:rsidR="0087290E" w:rsidRPr="00C81336">
        <w:rPr>
          <w:lang w:val="lt-LT"/>
        </w:rPr>
        <w:t>,</w:t>
      </w:r>
      <w:r w:rsidR="00195BE3" w:rsidRPr="00C81336">
        <w:rPr>
          <w:lang w:val="lt-LT"/>
        </w:rPr>
        <w:t xml:space="preserve"> lygią </w:t>
      </w:r>
      <w:r w:rsidR="003F4BE6" w:rsidRPr="00C81336">
        <w:rPr>
          <w:lang w:val="lt-LT"/>
        </w:rPr>
        <w:t xml:space="preserve">nepanaudotai </w:t>
      </w:r>
      <w:r w:rsidR="0058580E" w:rsidRPr="00C81336">
        <w:rPr>
          <w:lang w:val="lt-LT"/>
        </w:rPr>
        <w:t>Faktoringo sandorių</w:t>
      </w:r>
      <w:r w:rsidR="00195BE3" w:rsidRPr="00C81336">
        <w:rPr>
          <w:lang w:val="lt-LT"/>
        </w:rPr>
        <w:t xml:space="preserve"> </w:t>
      </w:r>
      <w:r w:rsidR="003F4BE6" w:rsidRPr="00C81336">
        <w:rPr>
          <w:lang w:val="lt-LT"/>
        </w:rPr>
        <w:t xml:space="preserve">Faktoringo limito </w:t>
      </w:r>
      <w:r w:rsidR="00195BE3" w:rsidRPr="00C81336">
        <w:rPr>
          <w:lang w:val="lt-LT"/>
        </w:rPr>
        <w:t>sumai</w:t>
      </w:r>
      <w:r w:rsidR="0087290E" w:rsidRPr="00C81336">
        <w:rPr>
          <w:lang w:val="lt-LT"/>
        </w:rPr>
        <w:t>,</w:t>
      </w:r>
      <w:r w:rsidR="000D2702" w:rsidRPr="00C81336">
        <w:rPr>
          <w:lang w:val="lt-LT"/>
        </w:rPr>
        <w:t xml:space="preserve"> iki Sutarto </w:t>
      </w:r>
      <w:r w:rsidR="00210AD6" w:rsidRPr="00C81336">
        <w:rPr>
          <w:lang w:val="lt-LT"/>
        </w:rPr>
        <w:t>p</w:t>
      </w:r>
      <w:r w:rsidR="000D2702" w:rsidRPr="00C81336">
        <w:rPr>
          <w:lang w:val="lt-LT"/>
        </w:rPr>
        <w:t>ortfelio dydžio sumos</w:t>
      </w:r>
      <w:r w:rsidR="00195BE3" w:rsidRPr="00C81336">
        <w:rPr>
          <w:lang w:val="lt-LT"/>
        </w:rPr>
        <w:t>.</w:t>
      </w:r>
    </w:p>
    <w:p w14:paraId="157C747E" w14:textId="71B1FE39" w:rsidR="009D3653" w:rsidRPr="00C727B1" w:rsidRDefault="00C51F33" w:rsidP="009B0EE1">
      <w:pPr>
        <w:pStyle w:val="NormalWeb"/>
        <w:numPr>
          <w:ilvl w:val="1"/>
          <w:numId w:val="6"/>
        </w:numPr>
        <w:tabs>
          <w:tab w:val="left" w:pos="567"/>
        </w:tabs>
        <w:spacing w:before="0" w:beforeAutospacing="0" w:after="0" w:afterAutospacing="0" w:line="276" w:lineRule="auto"/>
        <w:ind w:left="-851" w:firstLine="851"/>
        <w:jc w:val="both"/>
        <w:rPr>
          <w:caps/>
          <w:lang w:val="lt-LT"/>
        </w:rPr>
      </w:pPr>
      <w:r w:rsidRPr="005F0E4D">
        <w:rPr>
          <w:rFonts w:eastAsia="Calibri"/>
          <w:lang w:val="lt-LT"/>
        </w:rPr>
        <w:t>PGF</w:t>
      </w:r>
      <w:r w:rsidR="00C81336" w:rsidRPr="005F0E4D">
        <w:rPr>
          <w:rFonts w:eastAsia="Calibri"/>
          <w:lang w:val="lt-LT"/>
        </w:rPr>
        <w:t>2</w:t>
      </w:r>
      <w:r w:rsidR="00195BE3" w:rsidRPr="005F0E4D">
        <w:rPr>
          <w:rFonts w:eastAsia="Calibri"/>
          <w:lang w:val="lt-LT"/>
        </w:rPr>
        <w:t xml:space="preserve"> priemonės valdytojas pateikia</w:t>
      </w:r>
      <w:r w:rsidR="009A7D96" w:rsidRPr="005F0E4D">
        <w:rPr>
          <w:rFonts w:eastAsia="Calibri"/>
          <w:lang w:val="lt-LT"/>
        </w:rPr>
        <w:t xml:space="preserve"> ataskaitą apie</w:t>
      </w:r>
      <w:r w:rsidR="00195BE3" w:rsidRPr="005F0E4D">
        <w:rPr>
          <w:rFonts w:eastAsia="Calibri"/>
          <w:lang w:val="lt-LT"/>
        </w:rPr>
        <w:t xml:space="preserve"> </w:t>
      </w:r>
      <w:r w:rsidR="00DD7633" w:rsidRPr="005F0E4D">
        <w:rPr>
          <w:rFonts w:eastAsia="Calibri"/>
          <w:lang w:val="lt-LT"/>
        </w:rPr>
        <w:t xml:space="preserve">Sutarties </w:t>
      </w:r>
      <w:r w:rsidR="00195BE3" w:rsidRPr="005F0E4D">
        <w:rPr>
          <w:rFonts w:eastAsia="Calibri"/>
          <w:lang w:val="lt-LT"/>
        </w:rPr>
        <w:t>4.</w:t>
      </w:r>
      <w:r w:rsidR="00E633F8" w:rsidRPr="005F0E4D">
        <w:rPr>
          <w:rFonts w:eastAsia="Calibri"/>
          <w:lang w:val="lt-LT"/>
        </w:rPr>
        <w:t xml:space="preserve">19 </w:t>
      </w:r>
      <w:r w:rsidR="00195BE3" w:rsidRPr="005F0E4D">
        <w:rPr>
          <w:rFonts w:eastAsia="Calibri"/>
          <w:lang w:val="lt-LT"/>
        </w:rPr>
        <w:t xml:space="preserve">punkte </w:t>
      </w:r>
      <w:r w:rsidR="00195BE3" w:rsidRPr="00C727B1">
        <w:rPr>
          <w:rFonts w:eastAsia="Calibri"/>
          <w:lang w:val="lt-LT"/>
        </w:rPr>
        <w:t xml:space="preserve">nurodytą </w:t>
      </w:r>
      <w:r w:rsidR="003F4BE6" w:rsidRPr="00C727B1">
        <w:rPr>
          <w:lang w:val="lt-LT"/>
        </w:rPr>
        <w:t>Faktoringo sandorių nepanaudotą Faktoringo limitų sumą</w:t>
      </w:r>
      <w:r w:rsidR="003F4BE6" w:rsidRPr="00C727B1" w:rsidDel="003F4BE6">
        <w:rPr>
          <w:rFonts w:eastAsia="Calibri"/>
          <w:lang w:val="lt-LT"/>
        </w:rPr>
        <w:t xml:space="preserve"> </w:t>
      </w:r>
      <w:r w:rsidR="00195BE3" w:rsidRPr="00C727B1">
        <w:rPr>
          <w:rFonts w:eastAsia="Calibri"/>
          <w:lang w:val="lt-LT"/>
        </w:rPr>
        <w:t xml:space="preserve">pagal su „Invega“ </w:t>
      </w:r>
      <w:r w:rsidR="002C5771" w:rsidRPr="00C727B1">
        <w:rPr>
          <w:rFonts w:eastAsia="Calibri"/>
          <w:lang w:val="lt-LT"/>
        </w:rPr>
        <w:t xml:space="preserve">suderintą </w:t>
      </w:r>
      <w:r w:rsidR="00DD7633" w:rsidRPr="00C727B1">
        <w:rPr>
          <w:rFonts w:eastAsia="Calibri"/>
          <w:lang w:val="lt-LT"/>
        </w:rPr>
        <w:t xml:space="preserve">ataskaitos </w:t>
      </w:r>
      <w:r w:rsidR="00195BE3" w:rsidRPr="00C727B1">
        <w:rPr>
          <w:rFonts w:eastAsia="Calibri"/>
          <w:lang w:val="lt-LT"/>
        </w:rPr>
        <w:t>form</w:t>
      </w:r>
      <w:r w:rsidR="00DD7633" w:rsidRPr="00C727B1">
        <w:rPr>
          <w:rFonts w:eastAsia="Calibri"/>
          <w:lang w:val="lt-LT"/>
        </w:rPr>
        <w:t>ą</w:t>
      </w:r>
      <w:r w:rsidR="00195BE3" w:rsidRPr="00C727B1">
        <w:rPr>
          <w:rFonts w:eastAsia="Calibri"/>
          <w:lang w:val="lt-LT"/>
        </w:rPr>
        <w:t>.</w:t>
      </w:r>
    </w:p>
    <w:p w14:paraId="1125ED9F" w14:textId="34323DBC" w:rsidR="00401271" w:rsidRPr="00E025DC" w:rsidRDefault="00401271" w:rsidP="009B0EE1">
      <w:pPr>
        <w:pStyle w:val="NormalWeb"/>
        <w:numPr>
          <w:ilvl w:val="1"/>
          <w:numId w:val="6"/>
        </w:numPr>
        <w:tabs>
          <w:tab w:val="left" w:pos="567"/>
        </w:tabs>
        <w:spacing w:before="0" w:beforeAutospacing="0" w:after="0" w:afterAutospacing="0" w:line="276" w:lineRule="auto"/>
        <w:ind w:left="-851" w:firstLine="851"/>
        <w:jc w:val="both"/>
        <w:rPr>
          <w:caps/>
          <w:lang w:val="lt-LT"/>
        </w:rPr>
      </w:pPr>
      <w:r w:rsidRPr="00C727B1">
        <w:rPr>
          <w:rFonts w:eastAsia="Calibri"/>
          <w:lang w:val="lt-LT"/>
        </w:rPr>
        <w:t xml:space="preserve">Sutartas </w:t>
      </w:r>
      <w:r w:rsidR="008D47C8" w:rsidRPr="00C727B1">
        <w:rPr>
          <w:rFonts w:eastAsia="Calibri"/>
          <w:lang w:val="lt-LT"/>
        </w:rPr>
        <w:t>p</w:t>
      </w:r>
      <w:r w:rsidRPr="00C727B1">
        <w:rPr>
          <w:rFonts w:eastAsia="Calibri"/>
          <w:lang w:val="lt-LT"/>
        </w:rPr>
        <w:t xml:space="preserve">ortfelio dydis </w:t>
      </w:r>
      <w:r w:rsidR="0019396F" w:rsidRPr="00C727B1">
        <w:rPr>
          <w:rFonts w:eastAsia="Calibri"/>
          <w:lang w:val="lt-LT"/>
        </w:rPr>
        <w:t xml:space="preserve">kiekvienam </w:t>
      </w:r>
      <w:r w:rsidR="00C51F33" w:rsidRPr="00C727B1">
        <w:rPr>
          <w:rFonts w:eastAsia="Calibri"/>
          <w:lang w:val="lt-LT"/>
        </w:rPr>
        <w:t>PGF</w:t>
      </w:r>
      <w:r w:rsidR="0019396F" w:rsidRPr="00C727B1">
        <w:rPr>
          <w:rFonts w:eastAsia="Calibri"/>
          <w:lang w:val="lt-LT"/>
        </w:rPr>
        <w:t>2</w:t>
      </w:r>
      <w:r w:rsidRPr="00C727B1">
        <w:rPr>
          <w:rFonts w:eastAsia="Calibri"/>
          <w:lang w:val="lt-LT"/>
        </w:rPr>
        <w:t xml:space="preserve"> priemonės valdytojui gali būti </w:t>
      </w:r>
      <w:r w:rsidR="00CB374A" w:rsidRPr="00C727B1">
        <w:rPr>
          <w:rFonts w:eastAsia="Calibri"/>
          <w:lang w:val="lt-LT"/>
        </w:rPr>
        <w:t xml:space="preserve">didinamas Šalių susitarimu, tuo atveju, </w:t>
      </w:r>
      <w:r w:rsidRPr="00C727B1">
        <w:rPr>
          <w:rFonts w:eastAsia="Calibri"/>
          <w:lang w:val="lt-LT"/>
        </w:rPr>
        <w:t xml:space="preserve">jei </w:t>
      </w:r>
      <w:r w:rsidR="00CB374A" w:rsidRPr="00C727B1">
        <w:rPr>
          <w:rFonts w:eastAsia="Calibri"/>
          <w:lang w:val="lt-LT"/>
        </w:rPr>
        <w:t xml:space="preserve">yra didinama </w:t>
      </w:r>
      <w:r w:rsidR="00470FF6" w:rsidRPr="00C727B1">
        <w:rPr>
          <w:rFonts w:eastAsia="Calibri"/>
          <w:lang w:val="lt-LT"/>
        </w:rPr>
        <w:t xml:space="preserve">PGF2 priemonei skiriama lėšų suma arba kiti </w:t>
      </w:r>
      <w:r w:rsidR="00C51F33" w:rsidRPr="00C727B1">
        <w:rPr>
          <w:rFonts w:eastAsia="Calibri"/>
          <w:lang w:val="lt-LT"/>
        </w:rPr>
        <w:t>PGF</w:t>
      </w:r>
      <w:r w:rsidR="00CB374A" w:rsidRPr="00C727B1">
        <w:rPr>
          <w:rFonts w:eastAsia="Calibri"/>
          <w:lang w:val="lt-LT"/>
        </w:rPr>
        <w:t>2</w:t>
      </w:r>
      <w:r w:rsidR="007A5680" w:rsidRPr="00C727B1">
        <w:rPr>
          <w:rFonts w:eastAsia="Calibri"/>
          <w:lang w:val="lt-LT"/>
        </w:rPr>
        <w:t> </w:t>
      </w:r>
      <w:r w:rsidRPr="00C727B1">
        <w:rPr>
          <w:rFonts w:eastAsia="Calibri"/>
          <w:lang w:val="lt-LT"/>
        </w:rPr>
        <w:t xml:space="preserve"> priemonės valdytoja</w:t>
      </w:r>
      <w:r w:rsidR="00470FF6" w:rsidRPr="00C727B1">
        <w:rPr>
          <w:rFonts w:eastAsia="Calibri"/>
          <w:lang w:val="lt-LT"/>
        </w:rPr>
        <w:t>i</w:t>
      </w:r>
      <w:r w:rsidRPr="00C727B1">
        <w:rPr>
          <w:rFonts w:eastAsia="Calibri"/>
          <w:lang w:val="lt-LT"/>
        </w:rPr>
        <w:t xml:space="preserve"> vėluoja formuoti Portfel</w:t>
      </w:r>
      <w:r w:rsidR="00C727B1" w:rsidRPr="00C727B1">
        <w:rPr>
          <w:rFonts w:eastAsia="Calibri"/>
          <w:lang w:val="lt-LT"/>
        </w:rPr>
        <w:t>ius</w:t>
      </w:r>
      <w:r w:rsidR="00C727B1" w:rsidRPr="00C727B1">
        <w:rPr>
          <w:lang w:val="lt-LT"/>
        </w:rPr>
        <w:t xml:space="preserve"> </w:t>
      </w:r>
      <w:r w:rsidR="00C727B1" w:rsidRPr="00C727B1">
        <w:rPr>
          <w:rFonts w:eastAsia="Calibri"/>
          <w:lang w:val="lt-LT"/>
        </w:rPr>
        <w:t>pagal Sutartyse nustatytus terminus ir jiems yra sumažinamas Sutartas Portfelio dydis.</w:t>
      </w:r>
      <w:r w:rsidR="008B259C" w:rsidRPr="008B259C">
        <w:rPr>
          <w:lang w:val="lt-LT"/>
        </w:rPr>
        <w:t xml:space="preserve"> </w:t>
      </w:r>
      <w:r w:rsidR="008B259C" w:rsidRPr="008B259C">
        <w:rPr>
          <w:rFonts w:eastAsia="Calibri"/>
          <w:lang w:val="lt-LT"/>
        </w:rPr>
        <w:t xml:space="preserve">Sutartas Portfelio dydis kiekvienam PGF2 </w:t>
      </w:r>
      <w:r w:rsidR="008B259C" w:rsidRPr="00E025DC">
        <w:rPr>
          <w:rFonts w:eastAsia="Calibri"/>
          <w:lang w:val="lt-LT"/>
        </w:rPr>
        <w:t>priemonės valdytojui gali būti sumažintas, jei PGF2 priemonės valdytojas kreipiasi su motyvuotu prašymu arba vėluoja formuoti Portfelį pagal Sutartyje nustatytą grafiką taip:</w:t>
      </w:r>
    </w:p>
    <w:p w14:paraId="191756FE" w14:textId="5472BAE1" w:rsidR="00550312" w:rsidRPr="00DE74D4" w:rsidRDefault="009F5ACD" w:rsidP="009B0EE1">
      <w:pPr>
        <w:pStyle w:val="NormalWeb"/>
        <w:numPr>
          <w:ilvl w:val="2"/>
          <w:numId w:val="6"/>
        </w:numPr>
        <w:tabs>
          <w:tab w:val="left" w:pos="851"/>
        </w:tabs>
        <w:spacing w:before="0" w:beforeAutospacing="0" w:after="0" w:afterAutospacing="0" w:line="276" w:lineRule="auto"/>
        <w:ind w:left="-851" w:firstLine="851"/>
        <w:jc w:val="both"/>
        <w:rPr>
          <w:rFonts w:eastAsia="Calibri"/>
          <w:lang w:val="lt-LT"/>
        </w:rPr>
      </w:pPr>
      <w:r w:rsidRPr="00E025DC">
        <w:rPr>
          <w:rFonts w:eastAsia="Calibri"/>
          <w:lang w:val="lt-LT"/>
        </w:rPr>
        <w:t xml:space="preserve">jei PGF2 priemonės valdytojas pagal Sutartyje nustatytą grafiką vėluoja formuoti Portfelį </w:t>
      </w:r>
      <w:r w:rsidR="00401271" w:rsidRPr="00E025DC">
        <w:rPr>
          <w:rFonts w:eastAsia="Calibri"/>
          <w:lang w:val="lt-LT"/>
        </w:rPr>
        <w:t xml:space="preserve">iki 20 </w:t>
      </w:r>
      <w:r w:rsidR="00DD7633" w:rsidRPr="00E025DC">
        <w:rPr>
          <w:rFonts w:eastAsia="Calibri"/>
          <w:lang w:val="lt-LT"/>
        </w:rPr>
        <w:t xml:space="preserve">(dvidešimties) </w:t>
      </w:r>
      <w:r w:rsidR="00401271" w:rsidRPr="00E025DC">
        <w:rPr>
          <w:rFonts w:eastAsia="Calibri"/>
          <w:lang w:val="lt-LT"/>
        </w:rPr>
        <w:t xml:space="preserve">proc. </w:t>
      </w:r>
      <w:r w:rsidR="00DF017A" w:rsidRPr="00E025DC">
        <w:rPr>
          <w:rFonts w:eastAsia="Calibri"/>
          <w:lang w:val="lt-LT"/>
        </w:rPr>
        <w:t xml:space="preserve">Sutartyje nustatytame grafike nurodytos Planuojamos </w:t>
      </w:r>
      <w:r w:rsidR="00401271" w:rsidRPr="00E025DC">
        <w:rPr>
          <w:rFonts w:eastAsia="Calibri"/>
          <w:lang w:val="lt-LT"/>
        </w:rPr>
        <w:t xml:space="preserve"> į Portfelį </w:t>
      </w:r>
      <w:r w:rsidR="007F4D7C" w:rsidRPr="00E025DC">
        <w:rPr>
          <w:rFonts w:eastAsia="Calibri"/>
          <w:lang w:val="lt-LT"/>
        </w:rPr>
        <w:lastRenderedPageBreak/>
        <w:t xml:space="preserve">įtraukti Faktoringo limitų </w:t>
      </w:r>
      <w:r w:rsidR="00401271" w:rsidRPr="00E025DC">
        <w:rPr>
          <w:rFonts w:eastAsia="Calibri"/>
          <w:lang w:val="lt-LT"/>
        </w:rPr>
        <w:t xml:space="preserve">sumos – tokiu atveju Sutarto </w:t>
      </w:r>
      <w:r w:rsidR="008D47C8" w:rsidRPr="00E025DC">
        <w:rPr>
          <w:rFonts w:eastAsia="Calibri"/>
          <w:lang w:val="lt-LT"/>
        </w:rPr>
        <w:t>p</w:t>
      </w:r>
      <w:r w:rsidR="00401271" w:rsidRPr="00E025DC">
        <w:rPr>
          <w:rFonts w:eastAsia="Calibri"/>
          <w:lang w:val="lt-LT"/>
        </w:rPr>
        <w:t xml:space="preserve">ortfelio dydis gali būti mažinamas iki </w:t>
      </w:r>
      <w:r w:rsidR="002C5771" w:rsidRPr="00E025DC">
        <w:rPr>
          <w:rFonts w:eastAsia="Calibri"/>
          <w:lang w:val="lt-LT"/>
        </w:rPr>
        <w:t>30</w:t>
      </w:r>
      <w:r w:rsidR="002C5771">
        <w:rPr>
          <w:rFonts w:eastAsia="Calibri"/>
          <w:lang w:val="lt-LT"/>
        </w:rPr>
        <w:t> </w:t>
      </w:r>
      <w:r w:rsidR="00DD7633" w:rsidRPr="00E025DC">
        <w:rPr>
          <w:rFonts w:eastAsia="Calibri"/>
          <w:lang w:val="lt-LT"/>
        </w:rPr>
        <w:t xml:space="preserve">(trisdešimties) </w:t>
      </w:r>
      <w:r w:rsidR="00401271" w:rsidRPr="00E025DC">
        <w:rPr>
          <w:rFonts w:eastAsia="Calibri"/>
          <w:lang w:val="lt-LT"/>
        </w:rPr>
        <w:t>proc. ir atitinkamai mažinama</w:t>
      </w:r>
      <w:r w:rsidR="001F64FF" w:rsidRPr="00E025DC">
        <w:rPr>
          <w:lang w:val="lt-LT"/>
        </w:rPr>
        <w:t xml:space="preserve"> </w:t>
      </w:r>
      <w:r w:rsidR="001F64FF" w:rsidRPr="00E025DC">
        <w:rPr>
          <w:rFonts w:eastAsia="Calibri"/>
          <w:lang w:val="lt-LT"/>
        </w:rPr>
        <w:t>šiam PGF2 priemonės valdytojui PGF2 priemonei įgyvendinti</w:t>
      </w:r>
      <w:r w:rsidR="00401271" w:rsidRPr="00E025DC">
        <w:rPr>
          <w:rFonts w:eastAsia="Calibri"/>
          <w:lang w:val="lt-LT"/>
        </w:rPr>
        <w:t xml:space="preserve"> </w:t>
      </w:r>
      <w:r w:rsidR="000C3301" w:rsidRPr="00E025DC">
        <w:rPr>
          <w:rFonts w:eastAsia="Calibri"/>
          <w:lang w:val="lt-LT"/>
        </w:rPr>
        <w:t>s</w:t>
      </w:r>
      <w:r w:rsidR="00401271" w:rsidRPr="00E025DC">
        <w:rPr>
          <w:rFonts w:eastAsia="Calibri"/>
          <w:lang w:val="lt-LT"/>
        </w:rPr>
        <w:t xml:space="preserve">kirta </w:t>
      </w:r>
      <w:r w:rsidR="00C51F33" w:rsidRPr="00E025DC">
        <w:rPr>
          <w:rFonts w:eastAsia="Calibri"/>
          <w:lang w:val="lt-LT"/>
        </w:rPr>
        <w:t>PGF</w:t>
      </w:r>
      <w:r w:rsidR="001F64FF" w:rsidRPr="00E025DC">
        <w:rPr>
          <w:rFonts w:eastAsia="Calibri"/>
          <w:lang w:val="lt-LT"/>
        </w:rPr>
        <w:t>2</w:t>
      </w:r>
      <w:r w:rsidR="00401271" w:rsidRPr="00E025DC">
        <w:rPr>
          <w:rFonts w:eastAsia="Calibri"/>
          <w:lang w:val="lt-LT"/>
        </w:rPr>
        <w:t xml:space="preserve"> </w:t>
      </w:r>
      <w:r w:rsidR="0062733F" w:rsidRPr="00E025DC">
        <w:rPr>
          <w:rFonts w:eastAsia="Calibri"/>
          <w:lang w:val="lt-LT"/>
        </w:rPr>
        <w:t xml:space="preserve">priemonės </w:t>
      </w:r>
      <w:r w:rsidR="00401271" w:rsidRPr="00E025DC">
        <w:rPr>
          <w:rFonts w:eastAsia="Calibri"/>
          <w:lang w:val="lt-LT"/>
        </w:rPr>
        <w:t>lėšų suma</w:t>
      </w:r>
      <w:r w:rsidRPr="00E025DC">
        <w:rPr>
          <w:rFonts w:eastAsia="Calibri"/>
          <w:lang w:val="lt-LT"/>
        </w:rPr>
        <w:t xml:space="preserve">, tačiau bet kuriuo </w:t>
      </w:r>
      <w:r w:rsidRPr="00DE74D4">
        <w:rPr>
          <w:rFonts w:eastAsia="Calibri"/>
          <w:lang w:val="lt-LT"/>
        </w:rPr>
        <w:t>atveju ne daugiau kaip iki jau suformuoto Portfelio sumos;</w:t>
      </w:r>
    </w:p>
    <w:p w14:paraId="365F3DB6" w14:textId="350746A3" w:rsidR="00550312" w:rsidRPr="0010113F" w:rsidRDefault="00E85CD9" w:rsidP="009B0EE1">
      <w:pPr>
        <w:pStyle w:val="NormalWeb"/>
        <w:numPr>
          <w:ilvl w:val="2"/>
          <w:numId w:val="6"/>
        </w:numPr>
        <w:tabs>
          <w:tab w:val="left" w:pos="851"/>
        </w:tabs>
        <w:spacing w:before="0" w:beforeAutospacing="0" w:after="0" w:afterAutospacing="0" w:line="276" w:lineRule="auto"/>
        <w:ind w:left="-851" w:firstLine="851"/>
        <w:jc w:val="both"/>
        <w:rPr>
          <w:rFonts w:eastAsia="Calibri"/>
          <w:lang w:val="lt-LT"/>
        </w:rPr>
      </w:pPr>
      <w:r w:rsidRPr="00DE74D4">
        <w:rPr>
          <w:rFonts w:eastAsia="Calibri"/>
          <w:lang w:val="lt-LT"/>
        </w:rPr>
        <w:t xml:space="preserve">jei PGF2 priemonės valdytojas pagal Sutartyje nustatytą grafiką vėluoja formuoti Portfelį </w:t>
      </w:r>
      <w:r w:rsidR="00401271" w:rsidRPr="00DE74D4">
        <w:rPr>
          <w:rFonts w:eastAsia="Calibri"/>
          <w:lang w:val="lt-LT"/>
        </w:rPr>
        <w:t xml:space="preserve">iki 40 </w:t>
      </w:r>
      <w:r w:rsidR="00DD7633" w:rsidRPr="00DE74D4">
        <w:rPr>
          <w:rFonts w:eastAsia="Calibri"/>
          <w:lang w:val="lt-LT"/>
        </w:rPr>
        <w:t xml:space="preserve">(keturiasdešimties) </w:t>
      </w:r>
      <w:r w:rsidR="00401271" w:rsidRPr="00DE74D4">
        <w:rPr>
          <w:rFonts w:eastAsia="Calibri"/>
          <w:lang w:val="lt-LT"/>
        </w:rPr>
        <w:t xml:space="preserve">proc. </w:t>
      </w:r>
      <w:r w:rsidRPr="00DE74D4">
        <w:rPr>
          <w:rFonts w:eastAsia="Calibri"/>
          <w:lang w:val="lt-LT"/>
        </w:rPr>
        <w:t>Sutartyje nustatytame grafike nurodytos Planuojamos</w:t>
      </w:r>
      <w:r w:rsidR="00401271" w:rsidRPr="00DE74D4">
        <w:rPr>
          <w:rFonts w:eastAsia="Calibri"/>
          <w:lang w:val="lt-LT"/>
        </w:rPr>
        <w:t xml:space="preserve"> į Portfelį </w:t>
      </w:r>
      <w:r w:rsidRPr="00DE74D4">
        <w:rPr>
          <w:rFonts w:eastAsia="Calibri"/>
          <w:lang w:val="lt-LT"/>
        </w:rPr>
        <w:t>įtraukti Faktoringo limitų</w:t>
      </w:r>
      <w:r w:rsidR="00401271" w:rsidRPr="00DE74D4">
        <w:rPr>
          <w:rFonts w:eastAsia="Calibri"/>
          <w:lang w:val="lt-LT"/>
        </w:rPr>
        <w:t xml:space="preserve"> sumos – tokiu atveju Sutarto </w:t>
      </w:r>
      <w:r w:rsidR="008D47C8" w:rsidRPr="00DE74D4">
        <w:rPr>
          <w:rFonts w:eastAsia="Calibri"/>
          <w:lang w:val="lt-LT"/>
        </w:rPr>
        <w:t>p</w:t>
      </w:r>
      <w:r w:rsidR="00401271" w:rsidRPr="00DE74D4">
        <w:rPr>
          <w:rFonts w:eastAsia="Calibri"/>
          <w:lang w:val="lt-LT"/>
        </w:rPr>
        <w:t>ortfelio dydis gali būti mažinamas iki 50</w:t>
      </w:r>
      <w:r w:rsidR="007A5680" w:rsidRPr="00DE74D4">
        <w:rPr>
          <w:rFonts w:eastAsia="Calibri"/>
          <w:lang w:val="lt-LT"/>
        </w:rPr>
        <w:t> </w:t>
      </w:r>
      <w:r w:rsidR="00401271" w:rsidRPr="00DE74D4">
        <w:rPr>
          <w:rFonts w:eastAsia="Calibri"/>
          <w:lang w:val="lt-LT"/>
        </w:rPr>
        <w:t xml:space="preserve"> </w:t>
      </w:r>
      <w:r w:rsidR="00DD7633" w:rsidRPr="00DE74D4">
        <w:rPr>
          <w:rFonts w:eastAsia="Calibri"/>
          <w:lang w:val="lt-LT"/>
        </w:rPr>
        <w:t>(penkiasdešimties)</w:t>
      </w:r>
      <w:r w:rsidR="007A5680" w:rsidRPr="00DE74D4">
        <w:rPr>
          <w:rFonts w:eastAsia="Calibri"/>
          <w:lang w:val="lt-LT"/>
        </w:rPr>
        <w:t> </w:t>
      </w:r>
      <w:r w:rsidR="00DD7633" w:rsidRPr="00DE74D4">
        <w:rPr>
          <w:rFonts w:eastAsia="Calibri"/>
          <w:lang w:val="lt-LT"/>
        </w:rPr>
        <w:t xml:space="preserve"> </w:t>
      </w:r>
      <w:r w:rsidR="00401271" w:rsidRPr="00DE74D4">
        <w:rPr>
          <w:rFonts w:eastAsia="Calibri"/>
          <w:lang w:val="lt-LT"/>
        </w:rPr>
        <w:t xml:space="preserve">proc. ir atitinkamai mažinama </w:t>
      </w:r>
      <w:r w:rsidR="00DE74D4" w:rsidRPr="00DE74D4">
        <w:rPr>
          <w:rFonts w:eastAsia="Calibri"/>
          <w:lang w:val="lt-LT"/>
        </w:rPr>
        <w:t xml:space="preserve">šiam PGF2 </w:t>
      </w:r>
      <w:r w:rsidR="00DE74D4" w:rsidRPr="0010113F">
        <w:rPr>
          <w:rFonts w:eastAsia="Calibri"/>
          <w:lang w:val="lt-LT"/>
        </w:rPr>
        <w:t xml:space="preserve">priemonės valdytojui PGF2 priemonei įgyvendinti </w:t>
      </w:r>
      <w:r w:rsidR="000C3301" w:rsidRPr="0010113F">
        <w:rPr>
          <w:rFonts w:eastAsia="Calibri"/>
          <w:lang w:val="lt-LT"/>
        </w:rPr>
        <w:t>s</w:t>
      </w:r>
      <w:r w:rsidR="00401271" w:rsidRPr="0010113F">
        <w:rPr>
          <w:rFonts w:eastAsia="Calibri"/>
          <w:lang w:val="lt-LT"/>
        </w:rPr>
        <w:t xml:space="preserve">kirta </w:t>
      </w:r>
      <w:r w:rsidR="00C51F33" w:rsidRPr="0010113F">
        <w:rPr>
          <w:rFonts w:eastAsia="Calibri"/>
          <w:lang w:val="lt-LT"/>
        </w:rPr>
        <w:t>PGF</w:t>
      </w:r>
      <w:r w:rsidR="00DE74D4" w:rsidRPr="0010113F">
        <w:rPr>
          <w:rFonts w:eastAsia="Calibri"/>
          <w:lang w:val="lt-LT"/>
        </w:rPr>
        <w:t>2</w:t>
      </w:r>
      <w:r w:rsidR="00401271" w:rsidRPr="0010113F">
        <w:rPr>
          <w:rFonts w:eastAsia="Calibri"/>
          <w:lang w:val="lt-LT"/>
        </w:rPr>
        <w:t xml:space="preserve"> </w:t>
      </w:r>
      <w:r w:rsidR="0062733F" w:rsidRPr="0010113F">
        <w:rPr>
          <w:rFonts w:eastAsia="Calibri"/>
          <w:lang w:val="lt-LT"/>
        </w:rPr>
        <w:t xml:space="preserve">priemonės </w:t>
      </w:r>
      <w:r w:rsidR="00401271" w:rsidRPr="0010113F">
        <w:rPr>
          <w:rFonts w:eastAsia="Calibri"/>
          <w:lang w:val="lt-LT"/>
        </w:rPr>
        <w:t>lėšų suma</w:t>
      </w:r>
      <w:r w:rsidR="00C6747A" w:rsidRPr="0010113F">
        <w:rPr>
          <w:rFonts w:eastAsia="Calibri"/>
          <w:lang w:val="lt-LT"/>
        </w:rPr>
        <w:t>, tačiau bet kuriuo atveju ne daugiau kaip iki jau suformuoto Portfelio sumos;</w:t>
      </w:r>
    </w:p>
    <w:p w14:paraId="492D49EE" w14:textId="36C965C3" w:rsidR="00401271" w:rsidRPr="00A06BE9" w:rsidRDefault="00742EDE" w:rsidP="009B0EE1">
      <w:pPr>
        <w:pStyle w:val="NormalWeb"/>
        <w:numPr>
          <w:ilvl w:val="2"/>
          <w:numId w:val="6"/>
        </w:numPr>
        <w:tabs>
          <w:tab w:val="left" w:pos="851"/>
        </w:tabs>
        <w:spacing w:before="0" w:beforeAutospacing="0" w:after="0" w:afterAutospacing="0" w:line="276" w:lineRule="auto"/>
        <w:ind w:left="-851" w:firstLine="851"/>
        <w:jc w:val="both"/>
        <w:rPr>
          <w:rFonts w:eastAsia="Calibri"/>
          <w:lang w:val="lt-LT"/>
        </w:rPr>
      </w:pPr>
      <w:r w:rsidRPr="0010113F">
        <w:rPr>
          <w:rFonts w:eastAsia="Calibri"/>
          <w:lang w:val="lt-LT"/>
        </w:rPr>
        <w:t xml:space="preserve">jei PGF2 priemonės valdytojas pagal Sutartyje nustatytą grafiką vėluoja formuoti Portfelį </w:t>
      </w:r>
      <w:r w:rsidR="00401271" w:rsidRPr="0010113F">
        <w:rPr>
          <w:rFonts w:eastAsia="Calibri"/>
          <w:lang w:val="lt-LT"/>
        </w:rPr>
        <w:t xml:space="preserve">iki 60 </w:t>
      </w:r>
      <w:r w:rsidR="00DD7633" w:rsidRPr="0010113F">
        <w:rPr>
          <w:rFonts w:eastAsia="Calibri"/>
          <w:lang w:val="lt-LT"/>
        </w:rPr>
        <w:t xml:space="preserve">(šešiasdešimties) </w:t>
      </w:r>
      <w:r w:rsidR="00401271" w:rsidRPr="0010113F">
        <w:rPr>
          <w:rFonts w:eastAsia="Calibri"/>
          <w:lang w:val="lt-LT"/>
        </w:rPr>
        <w:t>proc.</w:t>
      </w:r>
      <w:r w:rsidR="003E45B9" w:rsidRPr="0010113F">
        <w:rPr>
          <w:rFonts w:eastAsia="Calibri"/>
          <w:lang w:val="lt-LT"/>
        </w:rPr>
        <w:t xml:space="preserve"> ar daugiau</w:t>
      </w:r>
      <w:r w:rsidR="00401271" w:rsidRPr="0010113F">
        <w:rPr>
          <w:rFonts w:eastAsia="Calibri"/>
          <w:lang w:val="lt-LT"/>
        </w:rPr>
        <w:t xml:space="preserve"> </w:t>
      </w:r>
      <w:r w:rsidRPr="0010113F">
        <w:rPr>
          <w:rFonts w:eastAsia="Calibri"/>
          <w:lang w:val="lt-LT"/>
        </w:rPr>
        <w:t>Sutartyje nustatytame grafike nurodytos Planuojamos</w:t>
      </w:r>
      <w:r w:rsidR="00401271" w:rsidRPr="0010113F">
        <w:rPr>
          <w:rFonts w:eastAsia="Calibri"/>
          <w:lang w:val="lt-LT"/>
        </w:rPr>
        <w:t xml:space="preserve"> į Portfelį </w:t>
      </w:r>
      <w:r w:rsidRPr="0010113F">
        <w:rPr>
          <w:rFonts w:eastAsia="Calibri"/>
          <w:lang w:val="lt-LT"/>
        </w:rPr>
        <w:t>įtraukti Faktoringo limitų</w:t>
      </w:r>
      <w:r w:rsidR="00401271" w:rsidRPr="0010113F">
        <w:rPr>
          <w:rFonts w:eastAsia="Calibri"/>
          <w:lang w:val="lt-LT"/>
        </w:rPr>
        <w:t xml:space="preserve"> sumos – tokiu atveju Sutarto </w:t>
      </w:r>
      <w:r w:rsidR="008D47C8" w:rsidRPr="0010113F">
        <w:rPr>
          <w:rFonts w:eastAsia="Calibri"/>
          <w:lang w:val="lt-LT"/>
        </w:rPr>
        <w:t>p</w:t>
      </w:r>
      <w:r w:rsidR="00401271" w:rsidRPr="0010113F">
        <w:rPr>
          <w:rFonts w:eastAsia="Calibri"/>
          <w:lang w:val="lt-LT"/>
        </w:rPr>
        <w:t xml:space="preserve">ortfelio dydis gali būti mažinamas iki 100 </w:t>
      </w:r>
      <w:r w:rsidR="00DD7633" w:rsidRPr="0010113F">
        <w:rPr>
          <w:rFonts w:eastAsia="Calibri"/>
          <w:lang w:val="lt-LT"/>
        </w:rPr>
        <w:t xml:space="preserve">(vieno šimto) </w:t>
      </w:r>
      <w:r w:rsidR="00401271" w:rsidRPr="0010113F">
        <w:rPr>
          <w:rFonts w:eastAsia="Calibri"/>
          <w:lang w:val="lt-LT"/>
        </w:rPr>
        <w:t xml:space="preserve">proc. ir </w:t>
      </w:r>
      <w:r w:rsidR="00401271" w:rsidRPr="00A06BE9">
        <w:rPr>
          <w:rFonts w:eastAsia="Calibri"/>
          <w:lang w:val="lt-LT"/>
        </w:rPr>
        <w:t xml:space="preserve">atitinkamai mažinama </w:t>
      </w:r>
      <w:r w:rsidR="0010113F" w:rsidRPr="00A06BE9">
        <w:rPr>
          <w:rFonts w:eastAsia="Calibri"/>
          <w:lang w:val="lt-LT"/>
        </w:rPr>
        <w:t xml:space="preserve">šiam PGF2 priemonės valdytojui PGF2 priemonei įgyvendinti </w:t>
      </w:r>
      <w:r w:rsidR="000C3301" w:rsidRPr="00A06BE9">
        <w:rPr>
          <w:rFonts w:eastAsia="Calibri"/>
          <w:lang w:val="lt-LT"/>
        </w:rPr>
        <w:t>s</w:t>
      </w:r>
      <w:r w:rsidR="00401271" w:rsidRPr="00A06BE9">
        <w:rPr>
          <w:rFonts w:eastAsia="Calibri"/>
          <w:lang w:val="lt-LT"/>
        </w:rPr>
        <w:t xml:space="preserve">kirta </w:t>
      </w:r>
      <w:r w:rsidR="00C51F33" w:rsidRPr="00A06BE9">
        <w:rPr>
          <w:rFonts w:eastAsia="Calibri"/>
          <w:lang w:val="lt-LT"/>
        </w:rPr>
        <w:t>PGF</w:t>
      </w:r>
      <w:r w:rsidR="0010113F" w:rsidRPr="00A06BE9">
        <w:rPr>
          <w:rFonts w:eastAsia="Calibri"/>
          <w:lang w:val="lt-LT"/>
        </w:rPr>
        <w:t>2</w:t>
      </w:r>
      <w:r w:rsidR="00401271" w:rsidRPr="00A06BE9">
        <w:rPr>
          <w:rFonts w:eastAsia="Calibri"/>
          <w:lang w:val="lt-LT"/>
        </w:rPr>
        <w:t xml:space="preserve"> </w:t>
      </w:r>
      <w:r w:rsidR="0062733F" w:rsidRPr="00A06BE9">
        <w:rPr>
          <w:rFonts w:eastAsia="Calibri"/>
          <w:lang w:val="lt-LT"/>
        </w:rPr>
        <w:t xml:space="preserve">priemonės </w:t>
      </w:r>
      <w:r w:rsidR="00401271" w:rsidRPr="00A06BE9">
        <w:rPr>
          <w:rFonts w:eastAsia="Calibri"/>
          <w:lang w:val="lt-LT"/>
        </w:rPr>
        <w:t>lėšų suma</w:t>
      </w:r>
      <w:r w:rsidR="004B3018" w:rsidRPr="00A06BE9">
        <w:rPr>
          <w:rFonts w:eastAsia="Calibri"/>
          <w:lang w:val="lt-LT"/>
        </w:rPr>
        <w:t>, tačiau bet kuriuo atveju ne daugiau kaip iki jau suformuoto Portfelio sumos.</w:t>
      </w:r>
    </w:p>
    <w:p w14:paraId="39D502CF" w14:textId="145395A4" w:rsidR="00550312" w:rsidRPr="00CD772C" w:rsidRDefault="00D77A66" w:rsidP="009B0EE1">
      <w:pPr>
        <w:pStyle w:val="NormalWeb"/>
        <w:numPr>
          <w:ilvl w:val="1"/>
          <w:numId w:val="6"/>
        </w:numPr>
        <w:tabs>
          <w:tab w:val="left" w:pos="567"/>
        </w:tabs>
        <w:spacing w:before="0" w:beforeAutospacing="0" w:after="0" w:afterAutospacing="0" w:line="276" w:lineRule="auto"/>
        <w:ind w:left="-851" w:firstLine="851"/>
        <w:jc w:val="both"/>
        <w:rPr>
          <w:rFonts w:eastAsia="Calibri"/>
          <w:lang w:val="lt-LT"/>
        </w:rPr>
      </w:pPr>
      <w:r w:rsidRPr="00A06BE9">
        <w:rPr>
          <w:lang w:val="lt-LT"/>
        </w:rPr>
        <w:t>V</w:t>
      </w:r>
      <w:r w:rsidR="0021036F" w:rsidRPr="00A06BE9">
        <w:rPr>
          <w:lang w:val="lt-LT"/>
        </w:rPr>
        <w:t>ėlavimas formuoti Portfelį vertinamas kas pusmetį</w:t>
      </w:r>
      <w:r w:rsidR="00D04357" w:rsidRPr="00A06BE9">
        <w:rPr>
          <w:lang w:val="lt-LT"/>
        </w:rPr>
        <w:t>,</w:t>
      </w:r>
      <w:r w:rsidR="0021036F" w:rsidRPr="00A06BE9">
        <w:rPr>
          <w:lang w:val="lt-LT"/>
        </w:rPr>
        <w:t xml:space="preserve"> </w:t>
      </w:r>
      <w:r w:rsidR="00D04357" w:rsidRPr="00A06BE9">
        <w:rPr>
          <w:lang w:val="lt-LT"/>
        </w:rPr>
        <w:t xml:space="preserve">atsižvelgiant į PGF2 priemonės įgyvendinimo grafiką, </w:t>
      </w:r>
      <w:r w:rsidR="0021036F" w:rsidRPr="00A06BE9">
        <w:rPr>
          <w:lang w:val="lt-LT"/>
        </w:rPr>
        <w:t xml:space="preserve">tada, kai yra gautos ataskaitos </w:t>
      </w:r>
      <w:r w:rsidR="00102D4F" w:rsidRPr="00A06BE9">
        <w:rPr>
          <w:lang w:val="lt-LT"/>
        </w:rPr>
        <w:t xml:space="preserve">iš PGF2 priemonės valdytojo </w:t>
      </w:r>
      <w:r w:rsidR="0021036F" w:rsidRPr="00A06BE9">
        <w:rPr>
          <w:lang w:val="lt-LT"/>
        </w:rPr>
        <w:t>už du pilnus ataskaitinius ketvirčius. „Invega“</w:t>
      </w:r>
      <w:r w:rsidR="003723D5" w:rsidRPr="00A06BE9">
        <w:rPr>
          <w:lang w:val="lt-LT"/>
        </w:rPr>
        <w:t>,</w:t>
      </w:r>
      <w:r w:rsidR="0021036F" w:rsidRPr="00A06BE9">
        <w:rPr>
          <w:lang w:val="lt-LT"/>
        </w:rPr>
        <w:t xml:space="preserve"> atlikusi vertinimą ir vadovaujantis Sutarties </w:t>
      </w:r>
      <w:r w:rsidR="000A6E0C" w:rsidRPr="00A06BE9">
        <w:rPr>
          <w:lang w:val="lt-LT"/>
        </w:rPr>
        <w:t>4.</w:t>
      </w:r>
      <w:r w:rsidR="00F06A89" w:rsidRPr="00A06BE9">
        <w:rPr>
          <w:lang w:val="lt-LT"/>
        </w:rPr>
        <w:t xml:space="preserve">21 </w:t>
      </w:r>
      <w:r w:rsidR="0021036F" w:rsidRPr="00A06BE9">
        <w:rPr>
          <w:lang w:val="lt-LT"/>
        </w:rPr>
        <w:t>punkt</w:t>
      </w:r>
      <w:r w:rsidR="008E4007" w:rsidRPr="00A06BE9">
        <w:rPr>
          <w:lang w:val="lt-LT"/>
        </w:rPr>
        <w:t>u</w:t>
      </w:r>
      <w:r w:rsidR="0021036F" w:rsidRPr="00A06BE9">
        <w:rPr>
          <w:lang w:val="lt-LT"/>
        </w:rPr>
        <w:t xml:space="preserve"> priėmusi sprendimą dėl </w:t>
      </w:r>
      <w:r w:rsidR="00524E8F" w:rsidRPr="00A06BE9">
        <w:rPr>
          <w:lang w:val="lt-LT"/>
        </w:rPr>
        <w:t>s</w:t>
      </w:r>
      <w:r w:rsidR="0021036F" w:rsidRPr="00A06BE9">
        <w:rPr>
          <w:lang w:val="lt-LT"/>
        </w:rPr>
        <w:t xml:space="preserve">kirtos </w:t>
      </w:r>
      <w:r w:rsidR="00C51F33" w:rsidRPr="00A06BE9">
        <w:rPr>
          <w:lang w:val="lt-LT"/>
        </w:rPr>
        <w:t>PGF</w:t>
      </w:r>
      <w:r w:rsidR="00524E8F" w:rsidRPr="00A06BE9">
        <w:rPr>
          <w:lang w:val="lt-LT"/>
        </w:rPr>
        <w:t>2</w:t>
      </w:r>
      <w:r w:rsidR="0021036F" w:rsidRPr="00A06BE9">
        <w:rPr>
          <w:lang w:val="lt-LT"/>
        </w:rPr>
        <w:t xml:space="preserve"> priemonės lėšų sumos mažinimo, apie tokį sprendimą informuoja </w:t>
      </w:r>
      <w:r w:rsidR="00345FCF" w:rsidRPr="00A06BE9">
        <w:rPr>
          <w:lang w:val="lt-LT"/>
        </w:rPr>
        <w:t>PGF2</w:t>
      </w:r>
      <w:r w:rsidR="00345FCF">
        <w:rPr>
          <w:lang w:val="lt-LT"/>
        </w:rPr>
        <w:t> </w:t>
      </w:r>
      <w:r w:rsidR="0021036F" w:rsidRPr="00A06BE9">
        <w:rPr>
          <w:lang w:val="lt-LT"/>
        </w:rPr>
        <w:t>priemonės valdytoją</w:t>
      </w:r>
      <w:r w:rsidR="00B715C8" w:rsidRPr="00A06BE9">
        <w:rPr>
          <w:lang w:val="lt-LT"/>
        </w:rPr>
        <w:t xml:space="preserve"> ir PGF2 priemonės valdytojas pateikia atnaujintą PGF2 priemonės įgyvendinimo grafiką.</w:t>
      </w:r>
      <w:r w:rsidR="0021036F" w:rsidRPr="00A06BE9">
        <w:rPr>
          <w:lang w:val="lt-LT"/>
        </w:rPr>
        <w:t xml:space="preserve"> </w:t>
      </w:r>
      <w:r w:rsidR="008E4007" w:rsidRPr="00A06BE9">
        <w:rPr>
          <w:lang w:val="lt-LT"/>
        </w:rPr>
        <w:t xml:space="preserve">Skirtos </w:t>
      </w:r>
      <w:r w:rsidR="00C51F33" w:rsidRPr="00A06BE9">
        <w:rPr>
          <w:lang w:val="lt-LT"/>
        </w:rPr>
        <w:t>PGF</w:t>
      </w:r>
      <w:r w:rsidR="00A06BE9" w:rsidRPr="00A06BE9">
        <w:rPr>
          <w:lang w:val="lt-LT"/>
        </w:rPr>
        <w:t>2</w:t>
      </w:r>
      <w:r w:rsidR="008E4007" w:rsidRPr="00A06BE9">
        <w:rPr>
          <w:lang w:val="lt-LT"/>
        </w:rPr>
        <w:t xml:space="preserve"> priemonės lėšų sumos sumaži</w:t>
      </w:r>
      <w:r w:rsidR="001B43FA" w:rsidRPr="00A06BE9">
        <w:rPr>
          <w:lang w:val="lt-LT"/>
        </w:rPr>
        <w:t>ni</w:t>
      </w:r>
      <w:r w:rsidR="008E4007" w:rsidRPr="00A06BE9">
        <w:rPr>
          <w:lang w:val="lt-LT"/>
        </w:rPr>
        <w:t xml:space="preserve">mas įforminamas Sutarties pakeitimu, kuris pasirašomas abiejų Šalių, pridedant atnaujintą </w:t>
      </w:r>
      <w:r w:rsidR="0058580E" w:rsidRPr="00A06BE9">
        <w:rPr>
          <w:lang w:val="lt-LT"/>
        </w:rPr>
        <w:t>Faktoringo sandorių</w:t>
      </w:r>
      <w:r w:rsidR="008E4007" w:rsidRPr="00A06BE9">
        <w:rPr>
          <w:lang w:val="lt-LT"/>
        </w:rPr>
        <w:t xml:space="preserve"> įtraukimo į Portfelį grafiką</w:t>
      </w:r>
      <w:r w:rsidR="00EB38F2" w:rsidRPr="00A06BE9">
        <w:rPr>
          <w:lang w:val="lt-LT"/>
        </w:rPr>
        <w:t>.</w:t>
      </w:r>
      <w:r w:rsidR="002D0AB8" w:rsidRPr="00A06BE9">
        <w:rPr>
          <w:rFonts w:eastAsia="Calibri"/>
          <w:lang w:val="lt-LT"/>
        </w:rPr>
        <w:t xml:space="preserve"> Bet kokiu atveju Sutartas portfelio dydis </w:t>
      </w:r>
      <w:r w:rsidR="00C51F33" w:rsidRPr="00A06BE9">
        <w:rPr>
          <w:rFonts w:eastAsia="Calibri"/>
          <w:lang w:val="lt-LT"/>
        </w:rPr>
        <w:t>PGF</w:t>
      </w:r>
      <w:r w:rsidR="00524E8F" w:rsidRPr="00A06BE9">
        <w:rPr>
          <w:rFonts w:eastAsia="Calibri"/>
          <w:lang w:val="lt-LT"/>
        </w:rPr>
        <w:t>2</w:t>
      </w:r>
      <w:r w:rsidR="002D0AB8" w:rsidRPr="00A06BE9">
        <w:rPr>
          <w:rFonts w:eastAsia="Calibri"/>
          <w:lang w:val="lt-LT"/>
        </w:rPr>
        <w:t xml:space="preserve"> priemonės </w:t>
      </w:r>
      <w:r w:rsidR="002D0AB8" w:rsidRPr="00CD772C">
        <w:rPr>
          <w:rFonts w:eastAsia="Calibri"/>
          <w:lang w:val="lt-LT"/>
        </w:rPr>
        <w:t>valdytojui pagal šį punktą gali būti sumažintas ne daugiau kaip iki Faktinio portfelio dydžio</w:t>
      </w:r>
      <w:r w:rsidR="007A5680" w:rsidRPr="00CD772C">
        <w:rPr>
          <w:rFonts w:eastAsia="Calibri"/>
          <w:lang w:val="lt-LT"/>
        </w:rPr>
        <w:t>, esančio</w:t>
      </w:r>
      <w:r w:rsidR="00E9018C" w:rsidRPr="00CD772C">
        <w:rPr>
          <w:rFonts w:eastAsia="Calibri"/>
          <w:lang w:val="lt-LT"/>
        </w:rPr>
        <w:t xml:space="preserve"> </w:t>
      </w:r>
      <w:r w:rsidR="002D0AB8" w:rsidRPr="00CD772C">
        <w:rPr>
          <w:rFonts w:eastAsia="Calibri"/>
          <w:lang w:val="lt-LT"/>
        </w:rPr>
        <w:t>vertinimo metu.</w:t>
      </w:r>
    </w:p>
    <w:p w14:paraId="57B79289" w14:textId="0387176A" w:rsidR="00550312" w:rsidRPr="00CD772C" w:rsidRDefault="009C4E14" w:rsidP="009B0EE1">
      <w:pPr>
        <w:pStyle w:val="NormalWeb"/>
        <w:numPr>
          <w:ilvl w:val="1"/>
          <w:numId w:val="6"/>
        </w:numPr>
        <w:tabs>
          <w:tab w:val="left" w:pos="567"/>
        </w:tabs>
        <w:spacing w:before="0" w:beforeAutospacing="0" w:after="0" w:afterAutospacing="0" w:line="276" w:lineRule="auto"/>
        <w:ind w:left="-851" w:firstLine="851"/>
        <w:jc w:val="both"/>
        <w:rPr>
          <w:rFonts w:eastAsia="Calibri"/>
          <w:lang w:val="lt-LT"/>
        </w:rPr>
      </w:pPr>
      <w:r w:rsidRPr="00CD772C">
        <w:rPr>
          <w:rFonts w:eastAsia="Calibri"/>
          <w:lang w:val="lt-LT"/>
        </w:rPr>
        <w:t>Pasibaigus Tinkamumo laikotarpiui</w:t>
      </w:r>
      <w:r w:rsidR="007541B9" w:rsidRPr="00CD772C">
        <w:rPr>
          <w:rFonts w:eastAsia="Calibri"/>
          <w:lang w:val="lt-LT"/>
        </w:rPr>
        <w:t xml:space="preserve"> </w:t>
      </w:r>
      <w:r w:rsidRPr="00CD772C">
        <w:rPr>
          <w:rFonts w:eastAsia="Calibri"/>
          <w:lang w:val="lt-LT"/>
        </w:rPr>
        <w:t xml:space="preserve">į Portfelį gali būti </w:t>
      </w:r>
      <w:r w:rsidR="00D10EC2" w:rsidRPr="00CD772C">
        <w:rPr>
          <w:rFonts w:eastAsia="Calibri"/>
          <w:lang w:val="lt-LT"/>
        </w:rPr>
        <w:t xml:space="preserve">įtraukiami </w:t>
      </w:r>
      <w:r w:rsidRPr="00CD772C">
        <w:rPr>
          <w:rFonts w:eastAsia="Calibri"/>
          <w:lang w:val="lt-LT"/>
        </w:rPr>
        <w:t>tik t</w:t>
      </w:r>
      <w:r w:rsidR="00D10EC2" w:rsidRPr="00CD772C">
        <w:rPr>
          <w:rFonts w:eastAsia="Calibri"/>
          <w:lang w:val="lt-LT"/>
        </w:rPr>
        <w:t>ie</w:t>
      </w:r>
      <w:r w:rsidRPr="00CD772C">
        <w:rPr>
          <w:rFonts w:eastAsia="Calibri"/>
          <w:lang w:val="lt-LT"/>
        </w:rPr>
        <w:t xml:space="preserve"> </w:t>
      </w:r>
      <w:r w:rsidR="00F21757" w:rsidRPr="00CD772C">
        <w:rPr>
          <w:rFonts w:eastAsia="Calibri"/>
          <w:lang w:val="lt-LT"/>
        </w:rPr>
        <w:t>Faktoringo sandori</w:t>
      </w:r>
      <w:r w:rsidR="00D10EC2" w:rsidRPr="00CD772C">
        <w:rPr>
          <w:rFonts w:eastAsia="Calibri"/>
          <w:lang w:val="lt-LT"/>
        </w:rPr>
        <w:t>ai</w:t>
      </w:r>
      <w:r w:rsidRPr="00CD772C">
        <w:rPr>
          <w:rFonts w:eastAsia="Calibri"/>
          <w:lang w:val="lt-LT"/>
        </w:rPr>
        <w:t>, dėl kurių suteikimo</w:t>
      </w:r>
      <w:r w:rsidR="00945D5A" w:rsidRPr="00CD772C">
        <w:rPr>
          <w:rFonts w:eastAsia="Calibri"/>
          <w:lang w:val="lt-LT"/>
        </w:rPr>
        <w:t xml:space="preserve"> iki Tinkamumo laikotarpio pabaigos </w:t>
      </w:r>
      <w:r w:rsidRPr="00CD772C">
        <w:rPr>
          <w:rFonts w:eastAsia="Calibri"/>
          <w:lang w:val="lt-LT"/>
        </w:rPr>
        <w:t xml:space="preserve">buvo priimtas </w:t>
      </w:r>
      <w:r w:rsidR="00C51F33" w:rsidRPr="00CD772C">
        <w:rPr>
          <w:rFonts w:eastAsia="Calibri"/>
          <w:lang w:val="lt-LT"/>
        </w:rPr>
        <w:t>PGF</w:t>
      </w:r>
      <w:r w:rsidR="00CD772C" w:rsidRPr="00CD772C">
        <w:rPr>
          <w:rFonts w:eastAsia="Calibri"/>
          <w:lang w:val="lt-LT"/>
        </w:rPr>
        <w:t>2</w:t>
      </w:r>
      <w:r w:rsidRPr="00CD772C">
        <w:rPr>
          <w:rFonts w:eastAsia="Calibri"/>
          <w:lang w:val="lt-LT"/>
        </w:rPr>
        <w:t xml:space="preserve"> priemonės valdytojo sprendimas. </w:t>
      </w:r>
      <w:r w:rsidR="00D10EC2" w:rsidRPr="00CD772C">
        <w:rPr>
          <w:rFonts w:eastAsia="Calibri"/>
          <w:lang w:val="lt-LT"/>
        </w:rPr>
        <w:t xml:space="preserve">Tokie </w:t>
      </w:r>
      <w:r w:rsidR="00F21757" w:rsidRPr="00CD772C">
        <w:rPr>
          <w:rFonts w:eastAsia="Calibri"/>
          <w:lang w:val="lt-LT"/>
        </w:rPr>
        <w:t>Faktoringo sandor</w:t>
      </w:r>
      <w:r w:rsidR="00D10EC2" w:rsidRPr="00CD772C">
        <w:rPr>
          <w:rFonts w:eastAsia="Calibri"/>
          <w:lang w:val="lt-LT"/>
        </w:rPr>
        <w:t>ių avansai</w:t>
      </w:r>
      <w:r w:rsidR="00222612" w:rsidRPr="00CD772C">
        <w:rPr>
          <w:rFonts w:eastAsia="Calibri"/>
          <w:lang w:val="lt-LT"/>
        </w:rPr>
        <w:t>, kaip ir kitų į Portfelį įtrauktų Faktoringo sandorių avansai,</w:t>
      </w:r>
      <w:r w:rsidRPr="00CD772C">
        <w:rPr>
          <w:rFonts w:eastAsia="Calibri"/>
          <w:lang w:val="lt-LT"/>
        </w:rPr>
        <w:t xml:space="preserve"> turi būti išmokėt</w:t>
      </w:r>
      <w:r w:rsidR="00D10EC2" w:rsidRPr="00CD772C">
        <w:rPr>
          <w:rFonts w:eastAsia="Calibri"/>
          <w:lang w:val="lt-LT"/>
        </w:rPr>
        <w:t>i</w:t>
      </w:r>
      <w:r w:rsidRPr="00CD772C">
        <w:rPr>
          <w:rFonts w:eastAsia="Calibri"/>
          <w:lang w:val="lt-LT"/>
        </w:rPr>
        <w:t xml:space="preserve"> iki </w:t>
      </w:r>
      <w:r w:rsidR="007A5680" w:rsidRPr="00CD772C">
        <w:rPr>
          <w:rFonts w:eastAsia="Calibri"/>
          <w:lang w:val="lt-LT"/>
        </w:rPr>
        <w:t>Faktoringo avansų i</w:t>
      </w:r>
      <w:r w:rsidRPr="00CD772C">
        <w:rPr>
          <w:rFonts w:eastAsia="Calibri"/>
          <w:lang w:val="lt-LT"/>
        </w:rPr>
        <w:t>šmokėjimo laikotarpio pabaigos. Apie toki</w:t>
      </w:r>
      <w:r w:rsidR="00D10EC2" w:rsidRPr="00CD772C">
        <w:rPr>
          <w:rFonts w:eastAsia="Calibri"/>
          <w:lang w:val="lt-LT"/>
        </w:rPr>
        <w:t>us</w:t>
      </w:r>
      <w:r w:rsidRPr="00CD772C">
        <w:rPr>
          <w:rFonts w:eastAsia="Calibri"/>
          <w:lang w:val="lt-LT"/>
        </w:rPr>
        <w:t xml:space="preserve"> </w:t>
      </w:r>
      <w:r w:rsidR="00BE1664" w:rsidRPr="00CD772C">
        <w:rPr>
          <w:rFonts w:eastAsia="Calibri"/>
          <w:lang w:val="lt-LT"/>
        </w:rPr>
        <w:t xml:space="preserve">Faktoringo </w:t>
      </w:r>
      <w:r w:rsidR="00D10EC2" w:rsidRPr="00CD772C">
        <w:rPr>
          <w:rFonts w:eastAsia="Calibri"/>
          <w:lang w:val="lt-LT"/>
        </w:rPr>
        <w:t>sandorius</w:t>
      </w:r>
      <w:r w:rsidRPr="00CD772C">
        <w:rPr>
          <w:rFonts w:eastAsia="Calibri"/>
          <w:lang w:val="lt-LT"/>
        </w:rPr>
        <w:t xml:space="preserve"> </w:t>
      </w:r>
      <w:r w:rsidR="00C51F33" w:rsidRPr="00CD772C">
        <w:rPr>
          <w:rFonts w:eastAsia="Calibri"/>
          <w:lang w:val="lt-LT"/>
        </w:rPr>
        <w:t>PGF</w:t>
      </w:r>
      <w:r w:rsidR="00CD772C" w:rsidRPr="00CD772C">
        <w:rPr>
          <w:rFonts w:eastAsia="Calibri"/>
          <w:lang w:val="lt-LT"/>
        </w:rPr>
        <w:t>2</w:t>
      </w:r>
      <w:r w:rsidRPr="00CD772C">
        <w:rPr>
          <w:rFonts w:eastAsia="Calibri"/>
          <w:lang w:val="lt-LT"/>
        </w:rPr>
        <w:t xml:space="preserve"> priemonės valdytojas turi pranešti </w:t>
      </w:r>
      <w:r w:rsidR="00814262" w:rsidRPr="00CD772C">
        <w:rPr>
          <w:rFonts w:eastAsia="Calibri"/>
          <w:lang w:val="lt-LT"/>
        </w:rPr>
        <w:t xml:space="preserve">(laisva forma) </w:t>
      </w:r>
      <w:r w:rsidRPr="00CD772C">
        <w:rPr>
          <w:rFonts w:eastAsia="Calibri"/>
          <w:lang w:val="lt-LT"/>
        </w:rPr>
        <w:t>„Invegai“</w:t>
      </w:r>
      <w:r w:rsidR="0003038E" w:rsidRPr="00CD772C">
        <w:rPr>
          <w:rFonts w:eastAsia="Calibri"/>
          <w:lang w:val="lt-LT"/>
        </w:rPr>
        <w:t xml:space="preserve"> per 10 </w:t>
      </w:r>
      <w:r w:rsidR="00EE391F" w:rsidRPr="00CD772C">
        <w:rPr>
          <w:rFonts w:eastAsia="Calibri"/>
          <w:lang w:val="lt-LT"/>
        </w:rPr>
        <w:t xml:space="preserve">(dešimt) </w:t>
      </w:r>
      <w:r w:rsidR="0003038E" w:rsidRPr="00CD772C">
        <w:rPr>
          <w:rFonts w:eastAsia="Calibri"/>
          <w:lang w:val="lt-LT"/>
        </w:rPr>
        <w:t>kalendorinių dienų nuo Tinkamumo laikotarpio pabaigos</w:t>
      </w:r>
      <w:r w:rsidR="00DD47B0" w:rsidRPr="00CD772C">
        <w:rPr>
          <w:rFonts w:eastAsia="Calibri"/>
          <w:lang w:val="lt-LT"/>
        </w:rPr>
        <w:t xml:space="preserve"> ir vėliau </w:t>
      </w:r>
      <w:r w:rsidR="00D10EC2" w:rsidRPr="00CD772C">
        <w:rPr>
          <w:rFonts w:eastAsia="Calibri"/>
          <w:lang w:val="lt-LT"/>
        </w:rPr>
        <w:t xml:space="preserve">šiuos </w:t>
      </w:r>
      <w:r w:rsidR="00BE1664" w:rsidRPr="00CD772C">
        <w:rPr>
          <w:rFonts w:eastAsia="Calibri"/>
          <w:lang w:val="lt-LT"/>
        </w:rPr>
        <w:t>Faktoringo sandori</w:t>
      </w:r>
      <w:r w:rsidR="00D10EC2" w:rsidRPr="00CD772C">
        <w:rPr>
          <w:rFonts w:eastAsia="Calibri"/>
          <w:lang w:val="lt-LT"/>
        </w:rPr>
        <w:t>u</w:t>
      </w:r>
      <w:r w:rsidR="00065B12" w:rsidRPr="00CD772C">
        <w:rPr>
          <w:rFonts w:eastAsia="Calibri"/>
          <w:lang w:val="lt-LT"/>
        </w:rPr>
        <w:t>s</w:t>
      </w:r>
      <w:r w:rsidR="00EE391F" w:rsidRPr="00CD772C">
        <w:rPr>
          <w:rFonts w:eastAsia="Calibri"/>
          <w:lang w:val="lt-LT"/>
        </w:rPr>
        <w:t xml:space="preserve"> Sutartyje nustatyta tv</w:t>
      </w:r>
      <w:r w:rsidR="003723D5" w:rsidRPr="00CD772C">
        <w:rPr>
          <w:rFonts w:eastAsia="Calibri"/>
          <w:lang w:val="lt-LT"/>
        </w:rPr>
        <w:t>a</w:t>
      </w:r>
      <w:r w:rsidR="00EE391F" w:rsidRPr="00CD772C">
        <w:rPr>
          <w:rFonts w:eastAsia="Calibri"/>
          <w:lang w:val="lt-LT"/>
        </w:rPr>
        <w:t>rka</w:t>
      </w:r>
      <w:r w:rsidR="00065B12" w:rsidRPr="00CD772C">
        <w:rPr>
          <w:rFonts w:eastAsia="Calibri"/>
          <w:lang w:val="lt-LT"/>
        </w:rPr>
        <w:t xml:space="preserve"> </w:t>
      </w:r>
      <w:r w:rsidR="00DD47B0" w:rsidRPr="00CD772C">
        <w:rPr>
          <w:rFonts w:eastAsia="Calibri"/>
          <w:lang w:val="lt-LT"/>
        </w:rPr>
        <w:t>įtraukti į ketvirti</w:t>
      </w:r>
      <w:r w:rsidR="00065B12" w:rsidRPr="00CD772C">
        <w:rPr>
          <w:rFonts w:eastAsia="Calibri"/>
          <w:lang w:val="lt-LT"/>
        </w:rPr>
        <w:t>nes ataskaitas</w:t>
      </w:r>
      <w:r w:rsidR="00C80AF9" w:rsidRPr="00CD772C">
        <w:rPr>
          <w:rFonts w:eastAsia="Calibri"/>
          <w:lang w:val="lt-LT"/>
        </w:rPr>
        <w:t xml:space="preserve">. </w:t>
      </w:r>
    </w:p>
    <w:p w14:paraId="15B1FBED" w14:textId="7099E4FE" w:rsidR="007A5680" w:rsidRPr="00CD772C" w:rsidRDefault="007A5680" w:rsidP="009B0EE1">
      <w:pPr>
        <w:pStyle w:val="NormalWeb"/>
        <w:numPr>
          <w:ilvl w:val="1"/>
          <w:numId w:val="6"/>
        </w:numPr>
        <w:tabs>
          <w:tab w:val="left" w:pos="567"/>
        </w:tabs>
        <w:spacing w:before="0" w:beforeAutospacing="0" w:after="0" w:afterAutospacing="0" w:line="276" w:lineRule="auto"/>
        <w:ind w:left="-851" w:firstLine="851"/>
        <w:jc w:val="both"/>
        <w:rPr>
          <w:rFonts w:eastAsia="Calibri"/>
          <w:lang w:val="lt-LT"/>
        </w:rPr>
      </w:pPr>
      <w:r w:rsidRPr="00CD772C">
        <w:rPr>
          <w:rFonts w:eastAsia="Calibri"/>
          <w:lang w:val="lt-LT"/>
        </w:rPr>
        <w:t xml:space="preserve">Visa likusi nepanaudota </w:t>
      </w:r>
      <w:r w:rsidR="000C3301" w:rsidRPr="00CD772C">
        <w:rPr>
          <w:rFonts w:eastAsia="Calibri"/>
          <w:lang w:val="lt-LT"/>
        </w:rPr>
        <w:t>s</w:t>
      </w:r>
      <w:r w:rsidRPr="00CD772C">
        <w:rPr>
          <w:rFonts w:eastAsia="Calibri"/>
          <w:lang w:val="lt-LT"/>
        </w:rPr>
        <w:t>kirta PGF</w:t>
      </w:r>
      <w:r w:rsidR="00CD772C" w:rsidRPr="00CD772C">
        <w:rPr>
          <w:rFonts w:eastAsia="Calibri"/>
          <w:lang w:val="lt-LT"/>
        </w:rPr>
        <w:t>2</w:t>
      </w:r>
      <w:r w:rsidRPr="00CD772C">
        <w:rPr>
          <w:rFonts w:eastAsia="Calibri"/>
          <w:lang w:val="lt-LT"/>
        </w:rPr>
        <w:t xml:space="preserve"> priemonės lėšų suma pasibaigus Tinkamumo laikotarpiui, įvertinus į Portfelį įtrauktus Faktoringo sandorius pagal 4.2</w:t>
      </w:r>
      <w:r w:rsidR="003277A5" w:rsidRPr="00CD772C">
        <w:rPr>
          <w:rFonts w:eastAsia="Calibri"/>
          <w:lang w:val="lt-LT"/>
        </w:rPr>
        <w:t>3</w:t>
      </w:r>
      <w:r w:rsidRPr="00CD772C">
        <w:rPr>
          <w:rFonts w:eastAsia="Calibri"/>
          <w:lang w:val="lt-LT"/>
        </w:rPr>
        <w:t xml:space="preserve"> punktą, yra atšaukiama. </w:t>
      </w:r>
    </w:p>
    <w:p w14:paraId="0E0B140D" w14:textId="64DC4E3D" w:rsidR="00550312" w:rsidRPr="00CD772C" w:rsidRDefault="000D2702" w:rsidP="009B0EE1">
      <w:pPr>
        <w:pStyle w:val="NormalWeb"/>
        <w:numPr>
          <w:ilvl w:val="1"/>
          <w:numId w:val="6"/>
        </w:numPr>
        <w:tabs>
          <w:tab w:val="left" w:pos="567"/>
        </w:tabs>
        <w:spacing w:before="0" w:beforeAutospacing="0" w:after="0" w:afterAutospacing="0" w:line="276" w:lineRule="auto"/>
        <w:ind w:left="-851" w:firstLine="851"/>
        <w:jc w:val="both"/>
        <w:rPr>
          <w:rFonts w:eastAsia="Calibri"/>
          <w:lang w:val="lt-LT"/>
        </w:rPr>
      </w:pPr>
      <w:r w:rsidRPr="00CD772C">
        <w:rPr>
          <w:lang w:val="lt-LT"/>
        </w:rPr>
        <w:t xml:space="preserve">Tuo atveju, jei dalis </w:t>
      </w:r>
      <w:r w:rsidR="00F21757" w:rsidRPr="00CD772C">
        <w:rPr>
          <w:lang w:val="lt-LT"/>
        </w:rPr>
        <w:t>Faktoringo sandorio</w:t>
      </w:r>
      <w:r w:rsidR="00D10EC2" w:rsidRPr="00CD772C">
        <w:rPr>
          <w:lang w:val="lt-LT"/>
        </w:rPr>
        <w:t xml:space="preserve"> Faktoringo avansų</w:t>
      </w:r>
      <w:r w:rsidRPr="00CD772C">
        <w:rPr>
          <w:lang w:val="lt-LT"/>
        </w:rPr>
        <w:t xml:space="preserve"> buvo išmokėta po </w:t>
      </w:r>
      <w:r w:rsidR="007A5680" w:rsidRPr="00CD772C">
        <w:rPr>
          <w:rFonts w:eastAsia="Calibri"/>
          <w:lang w:val="lt-LT"/>
        </w:rPr>
        <w:t xml:space="preserve">Faktoringo avansų </w:t>
      </w:r>
      <w:r w:rsidR="007A5680" w:rsidRPr="00CD772C">
        <w:rPr>
          <w:lang w:val="lt-LT"/>
        </w:rPr>
        <w:t>i</w:t>
      </w:r>
      <w:r w:rsidRPr="00CD772C">
        <w:rPr>
          <w:lang w:val="lt-LT"/>
        </w:rPr>
        <w:t xml:space="preserve">šmokėjimo laikotarpio pabaigos, </w:t>
      </w:r>
      <w:r w:rsidR="00C51F33" w:rsidRPr="00CD772C">
        <w:rPr>
          <w:lang w:val="lt-LT"/>
        </w:rPr>
        <w:t>PGF</w:t>
      </w:r>
      <w:r w:rsidR="00CD772C" w:rsidRPr="00CD772C">
        <w:rPr>
          <w:lang w:val="lt-LT"/>
        </w:rPr>
        <w:t>2</w:t>
      </w:r>
      <w:r w:rsidRPr="00CD772C">
        <w:rPr>
          <w:lang w:val="lt-LT"/>
        </w:rPr>
        <w:t xml:space="preserve"> priemonės valdytojui garantuojama ta </w:t>
      </w:r>
      <w:r w:rsidR="00F21757" w:rsidRPr="00CD772C">
        <w:rPr>
          <w:lang w:val="lt-LT"/>
        </w:rPr>
        <w:t>Faktoringo sandorio</w:t>
      </w:r>
      <w:r w:rsidR="00D10EC2" w:rsidRPr="00CD772C">
        <w:rPr>
          <w:lang w:val="lt-LT"/>
        </w:rPr>
        <w:t xml:space="preserve"> avansų</w:t>
      </w:r>
      <w:r w:rsidRPr="00CD772C">
        <w:rPr>
          <w:lang w:val="lt-LT"/>
        </w:rPr>
        <w:t xml:space="preserve"> dalis, kuri</w:t>
      </w:r>
      <w:r w:rsidR="00D10EC2" w:rsidRPr="00CD772C">
        <w:rPr>
          <w:lang w:val="lt-LT"/>
        </w:rPr>
        <w:t>e</w:t>
      </w:r>
      <w:r w:rsidRPr="00CD772C">
        <w:rPr>
          <w:lang w:val="lt-LT"/>
        </w:rPr>
        <w:t xml:space="preserve"> buvo </w:t>
      </w:r>
      <w:r w:rsidR="00D10EC2" w:rsidRPr="00CD772C">
        <w:rPr>
          <w:lang w:val="lt-LT"/>
        </w:rPr>
        <w:t xml:space="preserve">išmokėti </w:t>
      </w:r>
      <w:r w:rsidRPr="00CD772C">
        <w:rPr>
          <w:lang w:val="lt-LT"/>
        </w:rPr>
        <w:t xml:space="preserve">iki </w:t>
      </w:r>
      <w:r w:rsidR="007A5680" w:rsidRPr="00CD772C">
        <w:rPr>
          <w:rFonts w:eastAsia="Calibri"/>
          <w:lang w:val="lt-LT"/>
        </w:rPr>
        <w:t xml:space="preserve">Faktoringo avansų </w:t>
      </w:r>
      <w:r w:rsidR="007A5680" w:rsidRPr="00CD772C">
        <w:rPr>
          <w:lang w:val="lt-LT"/>
        </w:rPr>
        <w:t>i</w:t>
      </w:r>
      <w:r w:rsidRPr="00CD772C">
        <w:rPr>
          <w:lang w:val="lt-LT"/>
        </w:rPr>
        <w:t>šmokėjimo laikotarpio pabaigos.</w:t>
      </w:r>
    </w:p>
    <w:p w14:paraId="5FA04F57" w14:textId="77777777" w:rsidR="00401271" w:rsidRPr="000F171A" w:rsidRDefault="00401271" w:rsidP="009B0EE1">
      <w:pPr>
        <w:pStyle w:val="NormalWeb"/>
        <w:spacing w:before="0" w:beforeAutospacing="0" w:after="0" w:afterAutospacing="0" w:line="276" w:lineRule="auto"/>
        <w:ind w:left="-851" w:firstLine="851"/>
        <w:jc w:val="both"/>
        <w:rPr>
          <w:caps/>
          <w:lang w:val="lt-LT"/>
        </w:rPr>
      </w:pPr>
    </w:p>
    <w:p w14:paraId="7D4669AF" w14:textId="57F7302E" w:rsidR="00525512" w:rsidRPr="000F171A" w:rsidRDefault="00EB7A7B" w:rsidP="009B0EE1">
      <w:pPr>
        <w:pStyle w:val="NormalWeb"/>
        <w:spacing w:before="0" w:beforeAutospacing="0" w:after="0" w:afterAutospacing="0" w:line="276" w:lineRule="auto"/>
        <w:ind w:left="-709" w:firstLine="709"/>
        <w:jc w:val="center"/>
        <w:rPr>
          <w:b/>
          <w:caps/>
          <w:lang w:val="lt-LT"/>
        </w:rPr>
      </w:pPr>
      <w:r w:rsidRPr="000F171A">
        <w:rPr>
          <w:b/>
          <w:caps/>
          <w:lang w:val="lt-LT"/>
        </w:rPr>
        <w:t xml:space="preserve">V </w:t>
      </w:r>
      <w:r w:rsidR="005A3E5C" w:rsidRPr="000F171A">
        <w:rPr>
          <w:b/>
          <w:caps/>
          <w:lang w:val="lt-LT"/>
        </w:rPr>
        <w:t xml:space="preserve">SKYRIUS. </w:t>
      </w:r>
      <w:r w:rsidR="00BB7BE7" w:rsidRPr="000F171A">
        <w:rPr>
          <w:b/>
          <w:caps/>
          <w:lang w:val="lt-LT"/>
        </w:rPr>
        <w:t xml:space="preserve">Faktoringo sandorių </w:t>
      </w:r>
      <w:r w:rsidR="005A32CD" w:rsidRPr="000F171A">
        <w:rPr>
          <w:b/>
          <w:caps/>
          <w:lang w:val="lt-LT"/>
        </w:rPr>
        <w:t>TEIKIMO SĄLYGOS</w:t>
      </w:r>
    </w:p>
    <w:p w14:paraId="12EB9CF0" w14:textId="77777777" w:rsidR="00EB7A7B" w:rsidRPr="00BD2257" w:rsidRDefault="00EB7A7B" w:rsidP="009B0EE1">
      <w:pPr>
        <w:pStyle w:val="NormalWeb"/>
        <w:spacing w:before="0" w:beforeAutospacing="0" w:after="0" w:afterAutospacing="0" w:line="276" w:lineRule="auto"/>
        <w:ind w:left="-709" w:firstLine="709"/>
        <w:jc w:val="both"/>
        <w:rPr>
          <w:caps/>
          <w:lang w:val="lt-LT"/>
        </w:rPr>
      </w:pPr>
    </w:p>
    <w:p w14:paraId="73288595" w14:textId="3A3A9561" w:rsidR="00EA0164" w:rsidRPr="0073638C" w:rsidRDefault="00BE1664" w:rsidP="009B0EE1">
      <w:pPr>
        <w:pStyle w:val="NormalWeb"/>
        <w:numPr>
          <w:ilvl w:val="1"/>
          <w:numId w:val="19"/>
        </w:numPr>
        <w:tabs>
          <w:tab w:val="left" w:pos="567"/>
        </w:tabs>
        <w:spacing w:before="0" w:beforeAutospacing="0" w:after="0" w:afterAutospacing="0" w:line="276" w:lineRule="auto"/>
        <w:ind w:left="-851" w:firstLine="851"/>
        <w:jc w:val="both"/>
        <w:rPr>
          <w:lang w:val="lt-LT"/>
        </w:rPr>
      </w:pPr>
      <w:r w:rsidRPr="0073638C">
        <w:rPr>
          <w:lang w:val="lt-LT"/>
        </w:rPr>
        <w:t>Faktoringo sandoris</w:t>
      </w:r>
      <w:r w:rsidR="00EA0164" w:rsidRPr="0073638C">
        <w:rPr>
          <w:lang w:val="lt-LT"/>
        </w:rPr>
        <w:t>, kuri</w:t>
      </w:r>
      <w:r w:rsidR="00F43427" w:rsidRPr="0073638C">
        <w:rPr>
          <w:lang w:val="lt-LT"/>
        </w:rPr>
        <w:t>am</w:t>
      </w:r>
      <w:r w:rsidR="00EA0164" w:rsidRPr="0073638C">
        <w:rPr>
          <w:lang w:val="lt-LT"/>
        </w:rPr>
        <w:t xml:space="preserve"> suteikiama Garantija ir kuri</w:t>
      </w:r>
      <w:r w:rsidR="00F43427" w:rsidRPr="0073638C">
        <w:rPr>
          <w:lang w:val="lt-LT"/>
        </w:rPr>
        <w:t>s</w:t>
      </w:r>
      <w:r w:rsidR="00EA0164" w:rsidRPr="0073638C">
        <w:rPr>
          <w:lang w:val="lt-LT"/>
        </w:rPr>
        <w:t xml:space="preserve"> įtraukiama</w:t>
      </w:r>
      <w:r w:rsidR="00F43427" w:rsidRPr="0073638C">
        <w:rPr>
          <w:lang w:val="lt-LT"/>
        </w:rPr>
        <w:t>s</w:t>
      </w:r>
      <w:r w:rsidR="00EA0164" w:rsidRPr="0073638C">
        <w:rPr>
          <w:lang w:val="lt-LT"/>
        </w:rPr>
        <w:t xml:space="preserve"> į Portfelį, turi būti </w:t>
      </w:r>
      <w:r w:rsidR="00F43427" w:rsidRPr="0073638C">
        <w:rPr>
          <w:lang w:val="lt-LT"/>
        </w:rPr>
        <w:t>su</w:t>
      </w:r>
      <w:r w:rsidR="00EA0164" w:rsidRPr="0073638C">
        <w:rPr>
          <w:lang w:val="lt-LT"/>
        </w:rPr>
        <w:t>teikiama</w:t>
      </w:r>
      <w:r w:rsidR="00F43427" w:rsidRPr="0073638C">
        <w:rPr>
          <w:lang w:val="lt-LT"/>
        </w:rPr>
        <w:t>s</w:t>
      </w:r>
      <w:r w:rsidR="00EA0164" w:rsidRPr="0073638C">
        <w:rPr>
          <w:lang w:val="lt-LT"/>
        </w:rPr>
        <w:t xml:space="preserve"> laikantis </w:t>
      </w:r>
      <w:r w:rsidR="00C7047F" w:rsidRPr="0073638C">
        <w:rPr>
          <w:lang w:val="lt-LT"/>
        </w:rPr>
        <w:t xml:space="preserve">toliau </w:t>
      </w:r>
      <w:r w:rsidR="00EA0164" w:rsidRPr="0073638C">
        <w:rPr>
          <w:lang w:val="lt-LT"/>
        </w:rPr>
        <w:t>nurodytų</w:t>
      </w:r>
      <w:r w:rsidR="003452FA" w:rsidRPr="0073638C">
        <w:rPr>
          <w:lang w:val="lt-LT"/>
        </w:rPr>
        <w:t xml:space="preserve"> MVĮ tinkamumo</w:t>
      </w:r>
      <w:r w:rsidR="00EA0164" w:rsidRPr="0073638C">
        <w:rPr>
          <w:lang w:val="lt-LT"/>
        </w:rPr>
        <w:t xml:space="preserve"> sąlygų:</w:t>
      </w:r>
    </w:p>
    <w:p w14:paraId="33EF2C8D" w14:textId="2CA6FB3C" w:rsidR="00D61A91" w:rsidRPr="00B96108" w:rsidRDefault="00D61A91" w:rsidP="009B0EE1">
      <w:pPr>
        <w:pStyle w:val="NormalWeb"/>
        <w:numPr>
          <w:ilvl w:val="2"/>
          <w:numId w:val="19"/>
        </w:numPr>
        <w:tabs>
          <w:tab w:val="left" w:pos="142"/>
          <w:tab w:val="left" w:pos="426"/>
          <w:tab w:val="left" w:pos="709"/>
          <w:tab w:val="left" w:pos="1418"/>
        </w:tabs>
        <w:spacing w:line="276" w:lineRule="auto"/>
        <w:ind w:left="-851" w:firstLine="851"/>
        <w:jc w:val="both"/>
        <w:rPr>
          <w:lang w:val="lt-LT"/>
        </w:rPr>
      </w:pPr>
      <w:r w:rsidRPr="0073638C">
        <w:rPr>
          <w:lang w:val="lt-LT"/>
        </w:rPr>
        <w:t xml:space="preserve">Faktoringo sandorio, įtraukiamo į Portfelį, gavėjas yra subjektas, kuris pagal </w:t>
      </w:r>
      <w:r w:rsidRPr="00B96108">
        <w:rPr>
          <w:lang w:val="lt-LT"/>
        </w:rPr>
        <w:t>SVV</w:t>
      </w:r>
      <w:r w:rsidR="00073B9F" w:rsidRPr="00B96108">
        <w:rPr>
          <w:lang w:val="lt-LT"/>
        </w:rPr>
        <w:t> </w:t>
      </w:r>
      <w:r w:rsidRPr="00B96108">
        <w:rPr>
          <w:lang w:val="lt-LT"/>
        </w:rPr>
        <w:t xml:space="preserve"> įstatymą priskiriamas MVĮ;</w:t>
      </w:r>
    </w:p>
    <w:p w14:paraId="6085CBF8" w14:textId="29ACBBFA" w:rsidR="00BB7BE7" w:rsidRPr="00667253" w:rsidRDefault="00BB7BE7" w:rsidP="009B0EE1">
      <w:pPr>
        <w:pStyle w:val="NormalWeb"/>
        <w:numPr>
          <w:ilvl w:val="2"/>
          <w:numId w:val="19"/>
        </w:numPr>
        <w:tabs>
          <w:tab w:val="left" w:pos="142"/>
          <w:tab w:val="left" w:pos="426"/>
          <w:tab w:val="left" w:pos="709"/>
          <w:tab w:val="left" w:pos="1418"/>
        </w:tabs>
        <w:spacing w:line="276" w:lineRule="auto"/>
        <w:ind w:left="-851" w:firstLine="851"/>
        <w:jc w:val="both"/>
        <w:rPr>
          <w:lang w:val="lt-LT"/>
        </w:rPr>
      </w:pPr>
      <w:r w:rsidRPr="00667253">
        <w:rPr>
          <w:lang w:val="lt-LT"/>
        </w:rPr>
        <w:t xml:space="preserve">MVĮ, kurių Faktoringo </w:t>
      </w:r>
      <w:r w:rsidR="003452FA" w:rsidRPr="00667253">
        <w:rPr>
          <w:lang w:val="lt-LT"/>
        </w:rPr>
        <w:t xml:space="preserve">sandoris </w:t>
      </w:r>
      <w:r w:rsidRPr="00667253">
        <w:rPr>
          <w:lang w:val="lt-LT"/>
        </w:rPr>
        <w:t>traukiam</w:t>
      </w:r>
      <w:r w:rsidR="003452FA" w:rsidRPr="00667253">
        <w:rPr>
          <w:lang w:val="lt-LT"/>
        </w:rPr>
        <w:t>as</w:t>
      </w:r>
      <w:r w:rsidRPr="00667253">
        <w:rPr>
          <w:lang w:val="lt-LT"/>
        </w:rPr>
        <w:t xml:space="preserve"> į Portfel</w:t>
      </w:r>
      <w:r w:rsidR="003452FA" w:rsidRPr="00667253">
        <w:rPr>
          <w:lang w:val="lt-LT"/>
        </w:rPr>
        <w:t>į</w:t>
      </w:r>
      <w:r w:rsidRPr="00667253">
        <w:rPr>
          <w:lang w:val="lt-LT"/>
        </w:rPr>
        <w:t xml:space="preserve">, turi veikti Lietuvos Respublikoje. MVĮ laikomas veikiančiu Lietuvos Respublikoje tuo atveju, jei jis kuria darbo vietas Lietuvos </w:t>
      </w:r>
      <w:r w:rsidRPr="00667253">
        <w:rPr>
          <w:lang w:val="lt-LT"/>
        </w:rPr>
        <w:lastRenderedPageBreak/>
        <w:t>Respublikoje ir (arba) nuo savo vykdomos veiklos moka mokesčius arba Valstybinio socialinio draudimo fondo valdybos prie Socialinės apsaugos ir darbo ministerijos įmokas į Lietuvos Respublikos biudžetą;</w:t>
      </w:r>
    </w:p>
    <w:p w14:paraId="01A90232" w14:textId="55F9A2CB" w:rsidR="003452FA" w:rsidRPr="00363673" w:rsidRDefault="00D61A91" w:rsidP="009B0EE1">
      <w:pPr>
        <w:pStyle w:val="NormalWeb"/>
        <w:numPr>
          <w:ilvl w:val="2"/>
          <w:numId w:val="19"/>
        </w:numPr>
        <w:tabs>
          <w:tab w:val="left" w:pos="851"/>
        </w:tabs>
        <w:spacing w:before="0" w:beforeAutospacing="0" w:after="0" w:afterAutospacing="0" w:line="276" w:lineRule="auto"/>
        <w:ind w:left="-851" w:firstLine="851"/>
        <w:jc w:val="both"/>
        <w:rPr>
          <w:lang w:val="lt-LT"/>
        </w:rPr>
      </w:pPr>
      <w:r w:rsidRPr="00ED757B">
        <w:rPr>
          <w:lang w:val="lt-LT"/>
        </w:rPr>
        <w:t>MVĮ finansavimo rizika patenka į priimtinos rizikos kategoriją, jeigu PGF</w:t>
      </w:r>
      <w:r w:rsidR="00B91F20" w:rsidRPr="00ED757B">
        <w:rPr>
          <w:lang w:val="lt-LT"/>
        </w:rPr>
        <w:t>2</w:t>
      </w:r>
      <w:r w:rsidRPr="00ED757B">
        <w:rPr>
          <w:lang w:val="lt-LT"/>
        </w:rPr>
        <w:t xml:space="preserve"> priemonės valdytojo Faktoringo </w:t>
      </w:r>
      <w:r w:rsidR="00B91F20" w:rsidRPr="00ED757B">
        <w:rPr>
          <w:lang w:val="lt-LT"/>
        </w:rPr>
        <w:t xml:space="preserve">sandorio </w:t>
      </w:r>
      <w:r w:rsidRPr="00ED757B">
        <w:rPr>
          <w:lang w:val="lt-LT"/>
        </w:rPr>
        <w:t>gavėjui nustatytas finansavimo reitingas yra ne mažesnis kaip „B-“ ar „B3“ reitingai pagal tarptautinių reitingų agentūrų (angl. Standard and Poor‘s, Fitch ir Moody‘s) naudojamą reitingavimą arba šiems reitingams prilygintas PGF</w:t>
      </w:r>
      <w:r w:rsidR="00B91F20" w:rsidRPr="00ED757B">
        <w:rPr>
          <w:lang w:val="lt-LT"/>
        </w:rPr>
        <w:t>2</w:t>
      </w:r>
      <w:r w:rsidRPr="00ED757B">
        <w:rPr>
          <w:lang w:val="lt-LT"/>
        </w:rPr>
        <w:t xml:space="preserve"> priemonės valdytojo Faktoringo </w:t>
      </w:r>
      <w:r w:rsidR="00B91F20" w:rsidRPr="00363673">
        <w:rPr>
          <w:lang w:val="lt-LT"/>
        </w:rPr>
        <w:t xml:space="preserve">sandorio </w:t>
      </w:r>
      <w:r w:rsidRPr="00363673">
        <w:rPr>
          <w:lang w:val="lt-LT"/>
        </w:rPr>
        <w:t>gavėjui nustatytas finansavimo reitingas</w:t>
      </w:r>
      <w:r w:rsidR="003452FA" w:rsidRPr="00363673">
        <w:rPr>
          <w:lang w:val="lt-LT"/>
        </w:rPr>
        <w:t>;</w:t>
      </w:r>
    </w:p>
    <w:p w14:paraId="03AF453B" w14:textId="4092C857" w:rsidR="003452FA" w:rsidRPr="00833954" w:rsidRDefault="003452FA" w:rsidP="009B0EE1">
      <w:pPr>
        <w:pStyle w:val="NormalWeb"/>
        <w:numPr>
          <w:ilvl w:val="2"/>
          <w:numId w:val="19"/>
        </w:numPr>
        <w:tabs>
          <w:tab w:val="left" w:pos="851"/>
        </w:tabs>
        <w:spacing w:line="276" w:lineRule="auto"/>
        <w:ind w:left="-851" w:firstLine="851"/>
        <w:jc w:val="both"/>
        <w:rPr>
          <w:lang w:val="lt-LT"/>
        </w:rPr>
      </w:pPr>
      <w:r w:rsidRPr="00833954">
        <w:rPr>
          <w:lang w:val="lt-LT"/>
        </w:rPr>
        <w:t xml:space="preserve"> Faktoringo sandoris negali būti skirtas MV</w:t>
      </w:r>
      <w:r w:rsidRPr="00833954">
        <w:rPr>
          <w:rFonts w:hint="eastAsia"/>
          <w:lang w:val="lt-LT"/>
        </w:rPr>
        <w:t>Į</w:t>
      </w:r>
      <w:r w:rsidRPr="00833954">
        <w:rPr>
          <w:lang w:val="lt-LT"/>
        </w:rPr>
        <w:t xml:space="preserve">, veikiančiai </w:t>
      </w:r>
      <w:r w:rsidRPr="00833954">
        <w:rPr>
          <w:i/>
          <w:lang w:val="lt-LT"/>
        </w:rPr>
        <w:t xml:space="preserve">De minimis </w:t>
      </w:r>
      <w:r w:rsidRPr="00833954">
        <w:rPr>
          <w:lang w:val="lt-LT"/>
        </w:rPr>
        <w:t xml:space="preserve">reglamento </w:t>
      </w:r>
      <w:r w:rsidR="00345FCF" w:rsidRPr="00833954">
        <w:rPr>
          <w:lang w:val="lt-LT"/>
        </w:rPr>
        <w:t>1</w:t>
      </w:r>
      <w:r w:rsidR="00345FCF">
        <w:rPr>
          <w:lang w:val="lt-LT"/>
        </w:rPr>
        <w:t> </w:t>
      </w:r>
      <w:r w:rsidRPr="00833954">
        <w:rPr>
          <w:lang w:val="lt-LT"/>
        </w:rPr>
        <w:t>straipsnio 1  dalyje išvardytuose sektoriuose;</w:t>
      </w:r>
    </w:p>
    <w:p w14:paraId="75FF996F" w14:textId="60CD3DE0" w:rsidR="003452FA" w:rsidRPr="00833954" w:rsidRDefault="003452FA" w:rsidP="009B0EE1">
      <w:pPr>
        <w:pStyle w:val="NormalWeb"/>
        <w:numPr>
          <w:ilvl w:val="2"/>
          <w:numId w:val="19"/>
        </w:numPr>
        <w:tabs>
          <w:tab w:val="left" w:pos="709"/>
        </w:tabs>
        <w:spacing w:line="276" w:lineRule="auto"/>
        <w:ind w:left="-709" w:firstLine="709"/>
        <w:jc w:val="both"/>
        <w:rPr>
          <w:lang w:val="lt-LT"/>
        </w:rPr>
      </w:pPr>
      <w:r w:rsidRPr="00833954">
        <w:rPr>
          <w:lang w:val="lt-LT"/>
        </w:rPr>
        <w:t>Faktoringo sandoris negali būti skirtas MV</w:t>
      </w:r>
      <w:r w:rsidRPr="00833954">
        <w:rPr>
          <w:rFonts w:hint="eastAsia"/>
          <w:lang w:val="lt-LT"/>
        </w:rPr>
        <w:t>Į</w:t>
      </w:r>
      <w:r w:rsidRPr="00833954">
        <w:rPr>
          <w:lang w:val="lt-LT"/>
        </w:rPr>
        <w:t>, kuriai gal</w:t>
      </w:r>
      <w:r w:rsidRPr="00833954">
        <w:rPr>
          <w:rFonts w:hint="eastAsia"/>
          <w:lang w:val="lt-LT"/>
        </w:rPr>
        <w:t>ė</w:t>
      </w:r>
      <w:r w:rsidRPr="00833954">
        <w:rPr>
          <w:lang w:val="lt-LT"/>
        </w:rPr>
        <w:t>t</w:t>
      </w:r>
      <w:r w:rsidRPr="00833954">
        <w:rPr>
          <w:rFonts w:hint="eastAsia"/>
          <w:lang w:val="lt-LT"/>
        </w:rPr>
        <w:t>ų</w:t>
      </w:r>
      <w:r w:rsidRPr="00833954">
        <w:rPr>
          <w:lang w:val="lt-LT"/>
        </w:rPr>
        <w:t xml:space="preserve"> b</w:t>
      </w:r>
      <w:r w:rsidRPr="00833954">
        <w:rPr>
          <w:rFonts w:hint="eastAsia"/>
          <w:lang w:val="lt-LT"/>
        </w:rPr>
        <w:t>ū</w:t>
      </w:r>
      <w:r w:rsidRPr="00833954">
        <w:rPr>
          <w:lang w:val="lt-LT"/>
        </w:rPr>
        <w:t xml:space="preserve">ti ir (arba) yra taikoma </w:t>
      </w:r>
      <w:r w:rsidRPr="00833954">
        <w:rPr>
          <w:i/>
          <w:lang w:val="lt-LT"/>
        </w:rPr>
        <w:t xml:space="preserve">De minimis </w:t>
      </w:r>
      <w:r w:rsidRPr="00833954">
        <w:rPr>
          <w:lang w:val="lt-LT"/>
        </w:rPr>
        <w:t>reglamento 4 straipsnio 3 dalies a punkte nurodyta kolektyvin</w:t>
      </w:r>
      <w:r w:rsidRPr="00833954">
        <w:rPr>
          <w:rFonts w:hint="eastAsia"/>
          <w:lang w:val="lt-LT"/>
        </w:rPr>
        <w:t>ė</w:t>
      </w:r>
      <w:r w:rsidRPr="00833954">
        <w:rPr>
          <w:lang w:val="lt-LT"/>
        </w:rPr>
        <w:t xml:space="preserve"> nemokumo proced</w:t>
      </w:r>
      <w:r w:rsidRPr="00833954">
        <w:rPr>
          <w:rFonts w:hint="eastAsia"/>
          <w:lang w:val="lt-LT"/>
        </w:rPr>
        <w:t>ū</w:t>
      </w:r>
      <w:r w:rsidRPr="00833954">
        <w:rPr>
          <w:lang w:val="lt-LT"/>
        </w:rPr>
        <w:t>ra;</w:t>
      </w:r>
    </w:p>
    <w:p w14:paraId="3CCB9869" w14:textId="071C203E" w:rsidR="00C5586C" w:rsidRPr="00833954" w:rsidRDefault="00C5586C" w:rsidP="009B0EE1">
      <w:pPr>
        <w:pStyle w:val="NormalWeb"/>
        <w:numPr>
          <w:ilvl w:val="2"/>
          <w:numId w:val="19"/>
        </w:numPr>
        <w:tabs>
          <w:tab w:val="left" w:pos="709"/>
        </w:tabs>
        <w:spacing w:line="276" w:lineRule="auto"/>
        <w:ind w:left="-709" w:firstLine="709"/>
        <w:jc w:val="both"/>
        <w:rPr>
          <w:lang w:val="lt-LT"/>
        </w:rPr>
      </w:pPr>
      <w:r w:rsidRPr="00833954">
        <w:rPr>
          <w:lang w:val="lt-LT"/>
        </w:rPr>
        <w:t>Faktoringo sandoris, kuri</w:t>
      </w:r>
      <w:r w:rsidR="00833954" w:rsidRPr="00833954">
        <w:rPr>
          <w:lang w:val="lt-LT"/>
        </w:rPr>
        <w:t>s</w:t>
      </w:r>
      <w:r w:rsidRPr="00833954">
        <w:rPr>
          <w:lang w:val="lt-LT"/>
        </w:rPr>
        <w:t xml:space="preserve"> skirt</w:t>
      </w:r>
      <w:r w:rsidR="00833954" w:rsidRPr="00833954">
        <w:rPr>
          <w:lang w:val="lt-LT"/>
        </w:rPr>
        <w:t>as</w:t>
      </w:r>
      <w:r w:rsidRPr="00833954">
        <w:rPr>
          <w:lang w:val="lt-LT"/>
        </w:rPr>
        <w:t xml:space="preserve"> finansuoti MVĮ ir su MVĮ susijusių ir partnerinių įmonių, kaip jos apibrėžtos SVV įstatyme, tarpusavio prekybinius sandorius</w:t>
      </w:r>
      <w:r w:rsidR="00833954" w:rsidRPr="00833954">
        <w:rPr>
          <w:lang w:val="lt-LT"/>
        </w:rPr>
        <w:t>;</w:t>
      </w:r>
    </w:p>
    <w:p w14:paraId="15F1ADAE" w14:textId="58842364" w:rsidR="008F0D0E" w:rsidRPr="00B260EB" w:rsidRDefault="008F0D0E" w:rsidP="00BD2257">
      <w:pPr>
        <w:pStyle w:val="NormalWeb"/>
        <w:numPr>
          <w:ilvl w:val="1"/>
          <w:numId w:val="19"/>
        </w:numPr>
        <w:tabs>
          <w:tab w:val="left" w:pos="567"/>
          <w:tab w:val="left" w:pos="709"/>
        </w:tabs>
        <w:spacing w:before="0" w:beforeAutospacing="0" w:after="0" w:afterAutospacing="0" w:line="276" w:lineRule="auto"/>
        <w:ind w:left="-709" w:firstLine="709"/>
        <w:jc w:val="both"/>
        <w:rPr>
          <w:lang w:val="lt-LT"/>
        </w:rPr>
      </w:pPr>
      <w:r w:rsidRPr="00BD2257">
        <w:rPr>
          <w:lang w:val="lt-LT"/>
        </w:rPr>
        <w:t xml:space="preserve">Faktoringo sandoris, kuriam suteikiama Garantija ir kuris įtraukiamas į Portfelį, turi būti </w:t>
      </w:r>
      <w:r w:rsidRPr="00B260EB">
        <w:rPr>
          <w:lang w:val="lt-LT"/>
        </w:rPr>
        <w:t xml:space="preserve">suteikiamas laikantis </w:t>
      </w:r>
      <w:r w:rsidR="00C7047F" w:rsidRPr="00B260EB">
        <w:rPr>
          <w:lang w:val="lt-LT"/>
        </w:rPr>
        <w:t xml:space="preserve">toliau </w:t>
      </w:r>
      <w:r w:rsidRPr="00B260EB">
        <w:rPr>
          <w:lang w:val="lt-LT"/>
        </w:rPr>
        <w:t>nurodytų Faktoringo sandorių, įtraukiamų į Portfelį, tinkamumo sąlygų:</w:t>
      </w:r>
    </w:p>
    <w:p w14:paraId="45E579F6" w14:textId="65A079BC" w:rsidR="00345FCF" w:rsidRDefault="00BE1664" w:rsidP="005C04B6">
      <w:pPr>
        <w:pStyle w:val="NormalWeb"/>
        <w:numPr>
          <w:ilvl w:val="2"/>
          <w:numId w:val="19"/>
        </w:numPr>
        <w:tabs>
          <w:tab w:val="left" w:pos="851"/>
        </w:tabs>
        <w:spacing w:before="0" w:beforeAutospacing="0" w:after="0" w:afterAutospacing="0" w:line="276" w:lineRule="auto"/>
        <w:ind w:left="-851" w:firstLine="851"/>
        <w:jc w:val="both"/>
        <w:rPr>
          <w:lang w:val="lt-LT"/>
        </w:rPr>
      </w:pPr>
      <w:r w:rsidRPr="005C04B6">
        <w:rPr>
          <w:lang w:val="lt-LT"/>
        </w:rPr>
        <w:t>Faktoringo sandoris</w:t>
      </w:r>
      <w:r w:rsidR="005D3A4A" w:rsidRPr="005C04B6">
        <w:rPr>
          <w:lang w:val="lt-LT"/>
        </w:rPr>
        <w:t xml:space="preserve"> finansuojama</w:t>
      </w:r>
      <w:r w:rsidR="00F4009D" w:rsidRPr="005C04B6">
        <w:rPr>
          <w:lang w:val="lt-LT"/>
        </w:rPr>
        <w:t>s</w:t>
      </w:r>
      <w:r w:rsidR="005D3A4A" w:rsidRPr="005C04B6">
        <w:rPr>
          <w:lang w:val="lt-LT"/>
        </w:rPr>
        <w:t xml:space="preserve"> iš </w:t>
      </w:r>
      <w:r w:rsidR="00C51F33" w:rsidRPr="005C04B6">
        <w:rPr>
          <w:lang w:val="lt-LT"/>
        </w:rPr>
        <w:t>PGF</w:t>
      </w:r>
      <w:r w:rsidR="00B260EB" w:rsidRPr="005C04B6">
        <w:rPr>
          <w:lang w:val="lt-LT"/>
        </w:rPr>
        <w:t>2</w:t>
      </w:r>
      <w:r w:rsidR="005D3A4A" w:rsidRPr="005C04B6">
        <w:rPr>
          <w:lang w:val="lt-LT"/>
        </w:rPr>
        <w:t xml:space="preserve"> priemonės valdytoj</w:t>
      </w:r>
      <w:r w:rsidR="00A0566B" w:rsidRPr="005C04B6">
        <w:rPr>
          <w:lang w:val="lt-LT"/>
        </w:rPr>
        <w:t>o</w:t>
      </w:r>
      <w:r w:rsidR="00C37B5B" w:rsidRPr="005C04B6">
        <w:rPr>
          <w:lang w:val="lt-LT"/>
        </w:rPr>
        <w:t xml:space="preserve"> lėšų</w:t>
      </w:r>
      <w:r w:rsidR="008F0D0E" w:rsidRPr="005C04B6">
        <w:rPr>
          <w:lang w:val="lt-LT"/>
        </w:rPr>
        <w:t>;</w:t>
      </w:r>
    </w:p>
    <w:p w14:paraId="46311B4E" w14:textId="55BCC52F" w:rsidR="009D3653" w:rsidRPr="005C04B6" w:rsidRDefault="00711292" w:rsidP="005C04B6">
      <w:pPr>
        <w:pStyle w:val="NormalWeb"/>
        <w:numPr>
          <w:ilvl w:val="2"/>
          <w:numId w:val="19"/>
        </w:numPr>
        <w:tabs>
          <w:tab w:val="left" w:pos="851"/>
        </w:tabs>
        <w:spacing w:before="0" w:beforeAutospacing="0" w:after="0" w:afterAutospacing="0" w:line="276" w:lineRule="auto"/>
        <w:ind w:left="-851" w:firstLine="851"/>
        <w:jc w:val="both"/>
        <w:rPr>
          <w:lang w:val="lt-LT"/>
        </w:rPr>
      </w:pPr>
      <w:r w:rsidRPr="005C04B6">
        <w:rPr>
          <w:rFonts w:eastAsia="Calibri"/>
          <w:lang w:val="lt-LT"/>
        </w:rPr>
        <w:t>Portfeline garantija garantuota</w:t>
      </w:r>
      <w:r w:rsidR="00BB7BE7" w:rsidRPr="005C04B6">
        <w:rPr>
          <w:rFonts w:eastAsia="Calibri"/>
          <w:lang w:val="lt-LT"/>
        </w:rPr>
        <w:t>s</w:t>
      </w:r>
      <w:r w:rsidRPr="005C04B6">
        <w:rPr>
          <w:rFonts w:eastAsia="Calibri"/>
          <w:lang w:val="lt-LT"/>
        </w:rPr>
        <w:t xml:space="preserve"> </w:t>
      </w:r>
      <w:r w:rsidR="00BE1664" w:rsidRPr="005C04B6">
        <w:rPr>
          <w:rFonts w:eastAsia="Calibri"/>
          <w:lang w:val="lt-LT"/>
        </w:rPr>
        <w:t>Faktoringo sandoris</w:t>
      </w:r>
      <w:r w:rsidRPr="005C04B6">
        <w:rPr>
          <w:rFonts w:eastAsia="Calibri"/>
          <w:lang w:val="lt-LT"/>
        </w:rPr>
        <w:t xml:space="preserve"> yra suteikiama</w:t>
      </w:r>
      <w:r w:rsidR="00BB7BE7" w:rsidRPr="005C04B6">
        <w:rPr>
          <w:rFonts w:eastAsia="Calibri"/>
          <w:lang w:val="lt-LT"/>
        </w:rPr>
        <w:t>s</w:t>
      </w:r>
      <w:r w:rsidRPr="005C04B6">
        <w:rPr>
          <w:rFonts w:eastAsia="Calibri"/>
          <w:lang w:val="lt-LT"/>
        </w:rPr>
        <w:t xml:space="preserve"> su </w:t>
      </w:r>
      <w:r w:rsidR="00DB5353" w:rsidRPr="005C04B6">
        <w:rPr>
          <w:rFonts w:eastAsia="Calibri"/>
          <w:i/>
          <w:lang w:val="lt-LT"/>
        </w:rPr>
        <w:t xml:space="preserve">de </w:t>
      </w:r>
      <w:r w:rsidRPr="005C04B6">
        <w:rPr>
          <w:rFonts w:eastAsia="Calibri"/>
          <w:i/>
          <w:lang w:val="lt-LT"/>
        </w:rPr>
        <w:t>minimis</w:t>
      </w:r>
      <w:r w:rsidRPr="005C04B6">
        <w:rPr>
          <w:rFonts w:eastAsia="Calibri"/>
          <w:lang w:val="lt-LT"/>
        </w:rPr>
        <w:t xml:space="preserve"> pagalba</w:t>
      </w:r>
      <w:r w:rsidR="008F0D0E" w:rsidRPr="005C04B6">
        <w:rPr>
          <w:rFonts w:eastAsia="Calibri"/>
          <w:lang w:val="lt-LT"/>
        </w:rPr>
        <w:t>;</w:t>
      </w:r>
    </w:p>
    <w:p w14:paraId="69CA46AF" w14:textId="15C880D0" w:rsidR="009D3653" w:rsidRPr="00A74AFE" w:rsidRDefault="00F21757" w:rsidP="009B0EE1">
      <w:pPr>
        <w:pStyle w:val="NormalWeb"/>
        <w:numPr>
          <w:ilvl w:val="2"/>
          <w:numId w:val="19"/>
        </w:numPr>
        <w:tabs>
          <w:tab w:val="left" w:pos="851"/>
        </w:tabs>
        <w:spacing w:before="0" w:beforeAutospacing="0" w:after="0" w:afterAutospacing="0" w:line="276" w:lineRule="auto"/>
        <w:ind w:left="-851" w:firstLine="851"/>
        <w:jc w:val="both"/>
        <w:rPr>
          <w:lang w:val="lt-LT"/>
        </w:rPr>
      </w:pPr>
      <w:r w:rsidRPr="00083B02">
        <w:rPr>
          <w:lang w:val="lt-LT"/>
        </w:rPr>
        <w:t>Faktoringo sandori</w:t>
      </w:r>
      <w:r w:rsidR="00482581" w:rsidRPr="00083B02">
        <w:rPr>
          <w:lang w:val="lt-LT"/>
        </w:rPr>
        <w:t>s</w:t>
      </w:r>
      <w:r w:rsidR="005D3A4A" w:rsidRPr="00083B02">
        <w:rPr>
          <w:lang w:val="lt-LT"/>
        </w:rPr>
        <w:t xml:space="preserve"> </w:t>
      </w:r>
      <w:r w:rsidR="00482581" w:rsidRPr="00083B02">
        <w:rPr>
          <w:lang w:val="lt-LT"/>
        </w:rPr>
        <w:t xml:space="preserve">turi būti </w:t>
      </w:r>
      <w:r w:rsidR="005D3A4A" w:rsidRPr="00083B02">
        <w:rPr>
          <w:lang w:val="lt-LT"/>
        </w:rPr>
        <w:t>sudaryta</w:t>
      </w:r>
      <w:r w:rsidR="00482581" w:rsidRPr="00083B02">
        <w:rPr>
          <w:lang w:val="lt-LT"/>
        </w:rPr>
        <w:t>s</w:t>
      </w:r>
      <w:r w:rsidR="005D3A4A" w:rsidRPr="00083B02">
        <w:rPr>
          <w:lang w:val="lt-LT"/>
        </w:rPr>
        <w:t xml:space="preserve"> ir į </w:t>
      </w:r>
      <w:r w:rsidR="00CC22F7" w:rsidRPr="00083B02">
        <w:rPr>
          <w:lang w:val="lt-LT"/>
        </w:rPr>
        <w:t>P</w:t>
      </w:r>
      <w:r w:rsidR="005D3A4A" w:rsidRPr="00083B02">
        <w:rPr>
          <w:lang w:val="lt-LT"/>
        </w:rPr>
        <w:t>ortfelį įtraukta</w:t>
      </w:r>
      <w:r w:rsidR="00482581" w:rsidRPr="00083B02">
        <w:rPr>
          <w:lang w:val="lt-LT"/>
        </w:rPr>
        <w:t>s</w:t>
      </w:r>
      <w:r w:rsidR="005D3A4A" w:rsidRPr="00083B02">
        <w:rPr>
          <w:lang w:val="lt-LT"/>
        </w:rPr>
        <w:t xml:space="preserve"> per Tinkamumo laikotarpį </w:t>
      </w:r>
      <w:r w:rsidR="00482581" w:rsidRPr="00083B02">
        <w:rPr>
          <w:lang w:val="lt-LT"/>
        </w:rPr>
        <w:t>(</w:t>
      </w:r>
      <w:r w:rsidRPr="00083B02">
        <w:rPr>
          <w:lang w:val="lt-LT"/>
        </w:rPr>
        <w:t>Faktoringo sandori</w:t>
      </w:r>
      <w:r w:rsidR="00C901B3" w:rsidRPr="00083B02">
        <w:rPr>
          <w:lang w:val="lt-LT"/>
        </w:rPr>
        <w:t>ai</w:t>
      </w:r>
      <w:r w:rsidR="005D3A4A" w:rsidRPr="00083B02">
        <w:rPr>
          <w:lang w:val="lt-LT"/>
        </w:rPr>
        <w:t xml:space="preserve">, </w:t>
      </w:r>
      <w:r w:rsidR="00752FE4" w:rsidRPr="00083B02">
        <w:rPr>
          <w:lang w:val="lt-LT"/>
        </w:rPr>
        <w:t xml:space="preserve">kurie yra refinansuojami arba </w:t>
      </w:r>
      <w:r w:rsidR="00C901B3" w:rsidRPr="00083B02">
        <w:rPr>
          <w:lang w:val="lt-LT"/>
        </w:rPr>
        <w:t xml:space="preserve">kurių </w:t>
      </w:r>
      <w:r w:rsidR="005D3A4A" w:rsidRPr="00083B02">
        <w:rPr>
          <w:lang w:val="lt-LT"/>
        </w:rPr>
        <w:t>trukmė yra pratęsiama, nėra laikom</w:t>
      </w:r>
      <w:r w:rsidR="00CD4D8B" w:rsidRPr="00083B02">
        <w:rPr>
          <w:lang w:val="lt-LT"/>
        </w:rPr>
        <w:t>i</w:t>
      </w:r>
      <w:r w:rsidR="005D3A4A" w:rsidRPr="00083B02">
        <w:rPr>
          <w:lang w:val="lt-LT"/>
        </w:rPr>
        <w:t xml:space="preserve"> </w:t>
      </w:r>
      <w:r w:rsidR="005D3A4A" w:rsidRPr="00A74AFE">
        <w:rPr>
          <w:lang w:val="lt-LT"/>
        </w:rPr>
        <w:t>nauj</w:t>
      </w:r>
      <w:r w:rsidR="00CD4D8B" w:rsidRPr="00A74AFE">
        <w:rPr>
          <w:lang w:val="lt-LT"/>
        </w:rPr>
        <w:t>ai</w:t>
      </w:r>
      <w:r w:rsidR="005D3A4A" w:rsidRPr="00A74AFE">
        <w:rPr>
          <w:lang w:val="lt-LT"/>
        </w:rPr>
        <w:t>s</w:t>
      </w:r>
      <w:r w:rsidR="005264B3" w:rsidRPr="00A74AFE">
        <w:rPr>
          <w:lang w:val="lt-LT"/>
        </w:rPr>
        <w:t xml:space="preserve"> Faktoringo sandoriais)</w:t>
      </w:r>
      <w:r w:rsidR="005D3A4A" w:rsidRPr="00A74AFE">
        <w:rPr>
          <w:lang w:val="lt-LT"/>
        </w:rPr>
        <w:t>;</w:t>
      </w:r>
    </w:p>
    <w:p w14:paraId="08961769" w14:textId="56E91426" w:rsidR="00C901B3" w:rsidRPr="00A74AFE" w:rsidRDefault="00A74AFE" w:rsidP="009B0EE1">
      <w:pPr>
        <w:pStyle w:val="NormalWeb"/>
        <w:numPr>
          <w:ilvl w:val="2"/>
          <w:numId w:val="19"/>
        </w:numPr>
        <w:tabs>
          <w:tab w:val="left" w:pos="851"/>
        </w:tabs>
        <w:spacing w:line="276" w:lineRule="auto"/>
        <w:ind w:left="-851" w:firstLine="851"/>
        <w:jc w:val="both"/>
        <w:rPr>
          <w:lang w:val="lt-LT"/>
        </w:rPr>
      </w:pPr>
      <w:r w:rsidRPr="00A74AFE">
        <w:rPr>
          <w:lang w:val="lt-LT"/>
        </w:rPr>
        <w:t>Faktoringo sandoriai gali būti sudaromi su MVĮ atsiskaityti su pirkėjais, su kuriais sudaryta prekių ir (arba) paslaugų pirkimo–pardavimo sutartis ir (ar) kurie pateikia prekių ir (arba) paslaugų užsakymų lapus;</w:t>
      </w:r>
    </w:p>
    <w:p w14:paraId="61AF33FA" w14:textId="1F778737" w:rsidR="00C901B3" w:rsidRPr="000311CE" w:rsidRDefault="00C901B3" w:rsidP="009B0EE1">
      <w:pPr>
        <w:pStyle w:val="NormalWeb"/>
        <w:numPr>
          <w:ilvl w:val="2"/>
          <w:numId w:val="19"/>
        </w:numPr>
        <w:tabs>
          <w:tab w:val="left" w:pos="851"/>
        </w:tabs>
        <w:spacing w:line="276" w:lineRule="auto"/>
        <w:ind w:left="-851" w:firstLine="851"/>
        <w:jc w:val="both"/>
        <w:rPr>
          <w:lang w:val="lt-LT"/>
        </w:rPr>
      </w:pPr>
      <w:r w:rsidRPr="003822F1">
        <w:rPr>
          <w:lang w:val="lt-LT"/>
        </w:rPr>
        <w:t xml:space="preserve">Finansavimas Faktoringo sandorio forma gali būti skirtas tik potencialiai ekonomiškai </w:t>
      </w:r>
      <w:r w:rsidRPr="000311CE">
        <w:rPr>
          <w:lang w:val="lt-LT"/>
        </w:rPr>
        <w:t>gyvybingoms veikloms;</w:t>
      </w:r>
    </w:p>
    <w:p w14:paraId="0EDC1081" w14:textId="5FDCEBA2" w:rsidR="00C901B3" w:rsidRPr="000311CE" w:rsidRDefault="00C901B3" w:rsidP="009B0EE1">
      <w:pPr>
        <w:pStyle w:val="NormalWeb"/>
        <w:numPr>
          <w:ilvl w:val="2"/>
          <w:numId w:val="19"/>
        </w:numPr>
        <w:tabs>
          <w:tab w:val="left" w:pos="851"/>
        </w:tabs>
        <w:spacing w:line="276" w:lineRule="auto"/>
        <w:ind w:left="-851" w:firstLine="851"/>
        <w:jc w:val="both"/>
        <w:rPr>
          <w:lang w:val="lt-LT"/>
        </w:rPr>
      </w:pPr>
      <w:r w:rsidRPr="000311CE">
        <w:rPr>
          <w:lang w:val="lt-LT"/>
        </w:rPr>
        <w:t>Faktoringo sandorio lėšomis negali būti finansuojam</w:t>
      </w:r>
      <w:r w:rsidR="00B248D8" w:rsidRPr="000311CE">
        <w:rPr>
          <w:lang w:val="lt-LT"/>
        </w:rPr>
        <w:t xml:space="preserve">i </w:t>
      </w:r>
      <w:r w:rsidRPr="000311CE">
        <w:rPr>
          <w:lang w:val="lt-LT"/>
        </w:rPr>
        <w:t>sąskait</w:t>
      </w:r>
      <w:r w:rsidR="000311CE" w:rsidRPr="000311CE">
        <w:rPr>
          <w:lang w:val="lt-LT"/>
        </w:rPr>
        <w:t>o</w:t>
      </w:r>
      <w:r w:rsidRPr="000311CE">
        <w:rPr>
          <w:lang w:val="lt-LT"/>
        </w:rPr>
        <w:t>s faktūr</w:t>
      </w:r>
      <w:r w:rsidR="000311CE" w:rsidRPr="000311CE">
        <w:rPr>
          <w:lang w:val="lt-LT"/>
        </w:rPr>
        <w:t>o</w:t>
      </w:r>
      <w:r w:rsidRPr="000311CE">
        <w:rPr>
          <w:lang w:val="lt-LT"/>
        </w:rPr>
        <w:t>s, MVĮ išrašyt</w:t>
      </w:r>
      <w:r w:rsidR="000311CE" w:rsidRPr="000311CE">
        <w:rPr>
          <w:lang w:val="lt-LT"/>
        </w:rPr>
        <w:t>o</w:t>
      </w:r>
      <w:r w:rsidRPr="000311CE">
        <w:rPr>
          <w:lang w:val="lt-LT"/>
        </w:rPr>
        <w:t>s susijusioms ir partnerinėms įmonėms, kaip jos suprantamos pagal SVV įstatymą;</w:t>
      </w:r>
    </w:p>
    <w:p w14:paraId="2B71E4EE" w14:textId="332B50BF" w:rsidR="00C901B3" w:rsidRPr="00AA5AF1" w:rsidRDefault="00C901B3" w:rsidP="009B0EE1">
      <w:pPr>
        <w:pStyle w:val="NormalWeb"/>
        <w:numPr>
          <w:ilvl w:val="2"/>
          <w:numId w:val="19"/>
        </w:numPr>
        <w:tabs>
          <w:tab w:val="left" w:pos="851"/>
        </w:tabs>
        <w:spacing w:line="276" w:lineRule="auto"/>
        <w:ind w:left="-851" w:firstLine="851"/>
        <w:jc w:val="both"/>
        <w:rPr>
          <w:lang w:val="lt-LT"/>
        </w:rPr>
      </w:pPr>
      <w:r w:rsidRPr="000311CE">
        <w:rPr>
          <w:lang w:val="lt-LT"/>
        </w:rPr>
        <w:t>PGF</w:t>
      </w:r>
      <w:r w:rsidR="00391A96" w:rsidRPr="000311CE">
        <w:rPr>
          <w:lang w:val="lt-LT"/>
        </w:rPr>
        <w:t>2</w:t>
      </w:r>
      <w:r w:rsidRPr="000311CE">
        <w:rPr>
          <w:lang w:val="lt-LT"/>
        </w:rPr>
        <w:t xml:space="preserve"> priemonės</w:t>
      </w:r>
      <w:r w:rsidRPr="00AA5AF1">
        <w:rPr>
          <w:lang w:val="lt-LT"/>
        </w:rPr>
        <w:t xml:space="preserve"> valdytojas, suteikęs Faktoringo sandorį, turi turėti Faktoringo avansų išmokėjimą pagrindžiančius dokumentus, sąskait</w:t>
      </w:r>
      <w:r w:rsidR="00B35EB5" w:rsidRPr="00AA5AF1">
        <w:rPr>
          <w:lang w:val="lt-LT"/>
        </w:rPr>
        <w:t>ų</w:t>
      </w:r>
      <w:r w:rsidRPr="00AA5AF1">
        <w:rPr>
          <w:lang w:val="lt-LT"/>
        </w:rPr>
        <w:t xml:space="preserve"> faktūr</w:t>
      </w:r>
      <w:r w:rsidR="00B35EB5" w:rsidRPr="00AA5AF1">
        <w:rPr>
          <w:lang w:val="lt-LT"/>
        </w:rPr>
        <w:t>ų</w:t>
      </w:r>
      <w:r w:rsidRPr="00AA5AF1">
        <w:rPr>
          <w:lang w:val="lt-LT"/>
        </w:rPr>
        <w:t xml:space="preserve"> ir (arba) užsakymų lap</w:t>
      </w:r>
      <w:r w:rsidR="00AA5AF1" w:rsidRPr="00AA5AF1">
        <w:rPr>
          <w:lang w:val="lt-LT"/>
        </w:rPr>
        <w:t>us</w:t>
      </w:r>
      <w:r w:rsidRPr="00AA5AF1">
        <w:rPr>
          <w:lang w:val="lt-LT"/>
        </w:rPr>
        <w:t>, ir (arba) kitus pirkimo–pardavimo sandorį įrodančius dokumentus;</w:t>
      </w:r>
    </w:p>
    <w:p w14:paraId="4B683D8D" w14:textId="5B700DB0" w:rsidR="00C901B3" w:rsidRPr="004959B1" w:rsidRDefault="00C901B3" w:rsidP="009B0EE1">
      <w:pPr>
        <w:pStyle w:val="NormalWeb"/>
        <w:numPr>
          <w:ilvl w:val="2"/>
          <w:numId w:val="19"/>
        </w:numPr>
        <w:tabs>
          <w:tab w:val="left" w:pos="851"/>
        </w:tabs>
        <w:spacing w:line="276" w:lineRule="auto"/>
        <w:ind w:left="-851" w:firstLine="851"/>
        <w:jc w:val="both"/>
        <w:rPr>
          <w:lang w:val="lt-LT"/>
        </w:rPr>
      </w:pPr>
      <w:r w:rsidRPr="004959B1">
        <w:rPr>
          <w:lang w:val="lt-LT"/>
        </w:rPr>
        <w:t>Faktoringo sandori</w:t>
      </w:r>
      <w:r w:rsidR="008F0D0E" w:rsidRPr="004959B1">
        <w:rPr>
          <w:lang w:val="lt-LT"/>
        </w:rPr>
        <w:t>o</w:t>
      </w:r>
      <w:r w:rsidRPr="004959B1">
        <w:rPr>
          <w:lang w:val="lt-LT"/>
        </w:rPr>
        <w:t xml:space="preserve"> finansavimo laikotarpis – ne ilgesnis nei 12 mėnesių laikotarpis. Jei Faktoringo sandoris sudarytas trumpesniam nei 12 mėnesių laikotarpiui, Faktoringo sandorio finansavimo laikotarpis gali būti pratęstas, tačiau bet kuriuo atveju Faktoringo sandorio finansavimo laikotarpis negali būti ilgesnis nei 12 mėn</w:t>
      </w:r>
      <w:r w:rsidR="004959B1" w:rsidRPr="004959B1">
        <w:rPr>
          <w:lang w:val="lt-LT"/>
        </w:rPr>
        <w:t>esių</w:t>
      </w:r>
      <w:r w:rsidRPr="004959B1">
        <w:rPr>
          <w:lang w:val="lt-LT"/>
        </w:rPr>
        <w:t xml:space="preserve">, finansavimo laikotarpį skaičiuojant nuo </w:t>
      </w:r>
      <w:r w:rsidR="003F68FC">
        <w:rPr>
          <w:lang w:val="lt-LT"/>
        </w:rPr>
        <w:t>pradinės</w:t>
      </w:r>
      <w:r w:rsidRPr="004959B1">
        <w:rPr>
          <w:lang w:val="lt-LT"/>
        </w:rPr>
        <w:t xml:space="preserve"> Faktoringo sandorio sutarties sudarymo dienos;</w:t>
      </w:r>
    </w:p>
    <w:p w14:paraId="790E21D0" w14:textId="74552D4C" w:rsidR="00C901B3" w:rsidRPr="00754C28" w:rsidRDefault="00C901B3" w:rsidP="009B0EE1">
      <w:pPr>
        <w:pStyle w:val="NormalWeb"/>
        <w:numPr>
          <w:ilvl w:val="2"/>
          <w:numId w:val="19"/>
        </w:numPr>
        <w:tabs>
          <w:tab w:val="left" w:pos="851"/>
        </w:tabs>
        <w:spacing w:line="276" w:lineRule="auto"/>
        <w:ind w:left="-851" w:firstLine="851"/>
        <w:jc w:val="both"/>
        <w:rPr>
          <w:lang w:val="lt-LT"/>
        </w:rPr>
      </w:pPr>
      <w:r w:rsidRPr="00754C28">
        <w:rPr>
          <w:lang w:val="lt-LT"/>
        </w:rPr>
        <w:t xml:space="preserve">Faktoringo </w:t>
      </w:r>
      <w:r w:rsidR="008F0D0E" w:rsidRPr="00754C28">
        <w:rPr>
          <w:lang w:val="lt-LT"/>
        </w:rPr>
        <w:t xml:space="preserve">sandorio </w:t>
      </w:r>
      <w:r w:rsidRPr="00754C28">
        <w:rPr>
          <w:lang w:val="lt-LT"/>
        </w:rPr>
        <w:t>valiuta: eurai. Pasikeitus valiutai – nauja nacionaline valiuta ir (arba) eurais;</w:t>
      </w:r>
    </w:p>
    <w:p w14:paraId="1E3E44B8" w14:textId="66CDA8B5" w:rsidR="00C901B3" w:rsidRPr="003B55EB" w:rsidRDefault="00C901B3" w:rsidP="009B0EE1">
      <w:pPr>
        <w:pStyle w:val="NormalWeb"/>
        <w:numPr>
          <w:ilvl w:val="2"/>
          <w:numId w:val="19"/>
        </w:numPr>
        <w:tabs>
          <w:tab w:val="left" w:pos="851"/>
        </w:tabs>
        <w:spacing w:line="276" w:lineRule="auto"/>
        <w:ind w:left="-851" w:firstLine="851"/>
        <w:jc w:val="both"/>
        <w:rPr>
          <w:lang w:val="lt-LT"/>
        </w:rPr>
      </w:pPr>
      <w:r w:rsidRPr="00754C28">
        <w:rPr>
          <w:lang w:val="lt-LT"/>
        </w:rPr>
        <w:t xml:space="preserve"> Faktoringo sandori</w:t>
      </w:r>
      <w:r w:rsidR="008F0D0E" w:rsidRPr="00754C28">
        <w:rPr>
          <w:lang w:val="lt-LT"/>
        </w:rPr>
        <w:t>s</w:t>
      </w:r>
      <w:r w:rsidRPr="00754C28">
        <w:rPr>
          <w:lang w:val="lt-LT"/>
        </w:rPr>
        <w:t xml:space="preserve"> teikiam</w:t>
      </w:r>
      <w:r w:rsidR="00EA1F81" w:rsidRPr="00754C28">
        <w:rPr>
          <w:lang w:val="lt-LT"/>
        </w:rPr>
        <w:t>as</w:t>
      </w:r>
      <w:r w:rsidRPr="00754C28">
        <w:rPr>
          <w:lang w:val="lt-LT"/>
        </w:rPr>
        <w:t xml:space="preserve"> pagal vidines PGF</w:t>
      </w:r>
      <w:r w:rsidR="00754C28" w:rsidRPr="00754C28">
        <w:rPr>
          <w:lang w:val="lt-LT"/>
        </w:rPr>
        <w:t>2</w:t>
      </w:r>
      <w:r w:rsidRPr="00754C28">
        <w:rPr>
          <w:lang w:val="lt-LT"/>
        </w:rPr>
        <w:t xml:space="preserve"> priemonės valdytojų </w:t>
      </w:r>
      <w:r w:rsidRPr="003B55EB">
        <w:rPr>
          <w:lang w:val="lt-LT"/>
        </w:rPr>
        <w:t>procedūras ir standartinę kreditavimo tvarką.</w:t>
      </w:r>
    </w:p>
    <w:p w14:paraId="208E0FC9" w14:textId="172D6F37" w:rsidR="008F0D0E" w:rsidRPr="003B55EB" w:rsidRDefault="00AC4669" w:rsidP="009B0EE1">
      <w:pPr>
        <w:pStyle w:val="NormalWeb"/>
        <w:numPr>
          <w:ilvl w:val="2"/>
          <w:numId w:val="19"/>
        </w:numPr>
        <w:tabs>
          <w:tab w:val="left" w:pos="851"/>
        </w:tabs>
        <w:spacing w:before="0" w:beforeAutospacing="0" w:after="0" w:afterAutospacing="0" w:line="276" w:lineRule="auto"/>
        <w:ind w:left="-851" w:firstLine="851"/>
        <w:jc w:val="both"/>
        <w:rPr>
          <w:lang w:val="lt-LT"/>
        </w:rPr>
      </w:pPr>
      <w:r w:rsidRPr="003B55EB">
        <w:rPr>
          <w:lang w:val="lt-LT"/>
        </w:rPr>
        <w:t>D</w:t>
      </w:r>
      <w:r w:rsidR="005D3A4A" w:rsidRPr="003B55EB">
        <w:rPr>
          <w:lang w:val="lt-LT"/>
        </w:rPr>
        <w:t>idžiausia</w:t>
      </w:r>
      <w:r w:rsidRPr="003B55EB">
        <w:rPr>
          <w:lang w:val="lt-LT"/>
        </w:rPr>
        <w:t xml:space="preserve"> vieno</w:t>
      </w:r>
      <w:r w:rsidR="005D3A4A" w:rsidRPr="003B55EB">
        <w:rPr>
          <w:lang w:val="lt-LT"/>
        </w:rPr>
        <w:t xml:space="preserve"> </w:t>
      </w:r>
      <w:r w:rsidR="00F21757" w:rsidRPr="003B55EB">
        <w:rPr>
          <w:lang w:val="lt-LT"/>
        </w:rPr>
        <w:t>Faktoringo sandorio</w:t>
      </w:r>
      <w:r w:rsidR="005D3A4A" w:rsidRPr="003B55EB">
        <w:rPr>
          <w:lang w:val="lt-LT"/>
        </w:rPr>
        <w:t xml:space="preserve"> </w:t>
      </w:r>
      <w:r w:rsidR="00BB5AC4" w:rsidRPr="003B55EB">
        <w:rPr>
          <w:lang w:val="lt-LT"/>
        </w:rPr>
        <w:t xml:space="preserve">limito </w:t>
      </w:r>
      <w:r w:rsidR="005D3A4A" w:rsidRPr="003B55EB">
        <w:rPr>
          <w:lang w:val="lt-LT"/>
        </w:rPr>
        <w:t xml:space="preserve">suma – </w:t>
      </w:r>
      <w:r w:rsidR="00BC04C4" w:rsidRPr="003B55EB">
        <w:rPr>
          <w:lang w:val="lt-LT"/>
        </w:rPr>
        <w:t>1</w:t>
      </w:r>
      <w:r w:rsidR="00BC04C4">
        <w:rPr>
          <w:lang w:val="lt-LT"/>
        </w:rPr>
        <w:t>  </w:t>
      </w:r>
      <w:r w:rsidR="00BC04C4" w:rsidRPr="003B55EB">
        <w:rPr>
          <w:lang w:val="lt-LT"/>
        </w:rPr>
        <w:t>875</w:t>
      </w:r>
      <w:r w:rsidR="00BC04C4">
        <w:rPr>
          <w:lang w:val="lt-LT"/>
        </w:rPr>
        <w:t>  </w:t>
      </w:r>
      <w:r w:rsidR="00BC04C4" w:rsidRPr="003B55EB">
        <w:rPr>
          <w:lang w:val="lt-LT"/>
        </w:rPr>
        <w:t>000</w:t>
      </w:r>
      <w:r w:rsidR="00BC04C4">
        <w:rPr>
          <w:lang w:val="lt-LT"/>
        </w:rPr>
        <w:t> </w:t>
      </w:r>
      <w:r w:rsidR="00ED6BE1" w:rsidRPr="003B55EB">
        <w:rPr>
          <w:lang w:val="lt-LT"/>
        </w:rPr>
        <w:t>(vienas milijonas aštuoni šimtai septyniasdešimt penki tūkstančiai</w:t>
      </w:r>
      <w:r w:rsidR="009F7902" w:rsidRPr="003B55EB">
        <w:rPr>
          <w:lang w:val="lt-LT"/>
        </w:rPr>
        <w:t>) EUR</w:t>
      </w:r>
      <w:r w:rsidR="005D3A4A" w:rsidRPr="003B55EB">
        <w:rPr>
          <w:lang w:val="lt-LT"/>
        </w:rPr>
        <w:t xml:space="preserve">, </w:t>
      </w:r>
      <w:r w:rsidR="00C820CF" w:rsidRPr="003B55EB">
        <w:rPr>
          <w:lang w:val="lt-LT"/>
        </w:rPr>
        <w:t xml:space="preserve">o </w:t>
      </w:r>
      <w:r w:rsidR="00F21757" w:rsidRPr="003B55EB">
        <w:rPr>
          <w:lang w:val="lt-LT"/>
        </w:rPr>
        <w:t xml:space="preserve">Faktoringo </w:t>
      </w:r>
      <w:r w:rsidR="00ED6BE1" w:rsidRPr="003B55EB">
        <w:rPr>
          <w:lang w:val="lt-LT"/>
        </w:rPr>
        <w:t>gavėjų</w:t>
      </w:r>
      <w:r w:rsidR="005D3A4A" w:rsidRPr="003B55EB">
        <w:rPr>
          <w:lang w:val="lt-LT"/>
        </w:rPr>
        <w:t>, vykdančių krovinių vežimo keliais veiklą</w:t>
      </w:r>
      <w:r w:rsidR="00ED6BE1" w:rsidRPr="003B55EB">
        <w:rPr>
          <w:lang w:val="lt-LT"/>
        </w:rPr>
        <w:t>,</w:t>
      </w:r>
      <w:r w:rsidR="005D3A4A" w:rsidRPr="003B55EB">
        <w:rPr>
          <w:lang w:val="lt-LT"/>
        </w:rPr>
        <w:t xml:space="preserve"> atveju – 937 500 </w:t>
      </w:r>
      <w:r w:rsidR="00ED6BE1" w:rsidRPr="003B55EB">
        <w:rPr>
          <w:lang w:val="lt-LT"/>
        </w:rPr>
        <w:t>(devyni šimtai trisdešimt septyni tūkstančiai penki šimtai)</w:t>
      </w:r>
      <w:r w:rsidR="009F7902" w:rsidRPr="003B55EB">
        <w:rPr>
          <w:lang w:val="lt-LT"/>
        </w:rPr>
        <w:t xml:space="preserve"> EUR</w:t>
      </w:r>
      <w:r w:rsidR="005D3A4A" w:rsidRPr="003B55EB">
        <w:rPr>
          <w:lang w:val="lt-LT"/>
        </w:rPr>
        <w:t xml:space="preserve">. </w:t>
      </w:r>
      <w:r w:rsidRPr="003B55EB">
        <w:rPr>
          <w:lang w:val="lt-LT"/>
        </w:rPr>
        <w:t xml:space="preserve">Pasibaigus Faktoringo sandorio finansavimo laikotarpiui, su MVĮ gali būti sudaromas naujas Faktoringo sandoris, tačiau bet kokiu atveju MVĮ pagal Faktoringo sandorio limitą apskaičiuota </w:t>
      </w:r>
      <w:r w:rsidRPr="003B55EB">
        <w:rPr>
          <w:i/>
          <w:lang w:val="lt-LT"/>
        </w:rPr>
        <w:t>de minimis</w:t>
      </w:r>
      <w:r w:rsidRPr="003B55EB">
        <w:rPr>
          <w:lang w:val="lt-LT"/>
        </w:rPr>
        <w:t xml:space="preserve"> pagalbos </w:t>
      </w:r>
      <w:r w:rsidRPr="003B55EB">
        <w:rPr>
          <w:lang w:val="lt-LT"/>
        </w:rPr>
        <w:lastRenderedPageBreak/>
        <w:t xml:space="preserve">suma negali būti didesnė nei pagal </w:t>
      </w:r>
      <w:r w:rsidRPr="003B55EB">
        <w:rPr>
          <w:i/>
          <w:lang w:val="lt-LT"/>
        </w:rPr>
        <w:t>De minimis</w:t>
      </w:r>
      <w:r w:rsidRPr="003B55EB">
        <w:rPr>
          <w:lang w:val="lt-LT"/>
        </w:rPr>
        <w:t xml:space="preserve"> reglamento nuostatas leidžiama didžiausia </w:t>
      </w:r>
      <w:r w:rsidRPr="003B55EB">
        <w:rPr>
          <w:i/>
          <w:lang w:val="lt-LT"/>
        </w:rPr>
        <w:t>de minimis</w:t>
      </w:r>
      <w:r w:rsidRPr="003B55EB">
        <w:rPr>
          <w:lang w:val="lt-LT"/>
        </w:rPr>
        <w:t xml:space="preserve"> pagalbos suma. </w:t>
      </w:r>
    </w:p>
    <w:p w14:paraId="67C3ED0C" w14:textId="27A87269" w:rsidR="009D3653" w:rsidRPr="009C30F8" w:rsidRDefault="008F0D0E" w:rsidP="009B0EE1">
      <w:pPr>
        <w:pStyle w:val="NormalWeb"/>
        <w:numPr>
          <w:ilvl w:val="1"/>
          <w:numId w:val="19"/>
        </w:numPr>
        <w:tabs>
          <w:tab w:val="left" w:pos="567"/>
        </w:tabs>
        <w:spacing w:before="0" w:beforeAutospacing="0" w:after="0" w:afterAutospacing="0" w:line="276" w:lineRule="auto"/>
        <w:ind w:left="-851" w:firstLine="851"/>
        <w:jc w:val="both"/>
        <w:rPr>
          <w:lang w:val="lt-LT"/>
        </w:rPr>
      </w:pPr>
      <w:r w:rsidRPr="00094806">
        <w:rPr>
          <w:lang w:val="lt-LT"/>
        </w:rPr>
        <w:t xml:space="preserve">Pažeidus </w:t>
      </w:r>
      <w:r w:rsidR="006B3675" w:rsidRPr="00094806">
        <w:rPr>
          <w:lang w:val="lt-LT"/>
        </w:rPr>
        <w:t>MVĮ tinkamumo sąlygas ir (ar) Faktoringo sandori</w:t>
      </w:r>
      <w:r w:rsidR="00A539D2" w:rsidRPr="00094806">
        <w:rPr>
          <w:lang w:val="lt-LT"/>
        </w:rPr>
        <w:t>ų, įtraukiamų į Portfelį,</w:t>
      </w:r>
      <w:r w:rsidR="006B3675" w:rsidRPr="00094806">
        <w:rPr>
          <w:lang w:val="lt-LT"/>
        </w:rPr>
        <w:t xml:space="preserve"> t</w:t>
      </w:r>
      <w:r w:rsidRPr="00094806">
        <w:rPr>
          <w:lang w:val="lt-LT"/>
        </w:rPr>
        <w:t xml:space="preserve">inkamumo </w:t>
      </w:r>
      <w:r w:rsidRPr="009C30F8">
        <w:rPr>
          <w:lang w:val="lt-LT"/>
        </w:rPr>
        <w:t>s</w:t>
      </w:r>
      <w:r w:rsidRPr="009C30F8">
        <w:rPr>
          <w:rFonts w:hint="eastAsia"/>
          <w:lang w:val="lt-LT"/>
        </w:rPr>
        <w:t>ą</w:t>
      </w:r>
      <w:r w:rsidRPr="009C30F8">
        <w:rPr>
          <w:lang w:val="lt-LT"/>
        </w:rPr>
        <w:t>lygas bus stabdomas PGF</w:t>
      </w:r>
      <w:r w:rsidR="00094806" w:rsidRPr="009C30F8">
        <w:rPr>
          <w:lang w:val="lt-LT"/>
        </w:rPr>
        <w:t>2</w:t>
      </w:r>
      <w:r w:rsidRPr="009C30F8">
        <w:rPr>
          <w:lang w:val="lt-LT"/>
        </w:rPr>
        <w:t xml:space="preserve"> priemon</w:t>
      </w:r>
      <w:r w:rsidRPr="009C30F8">
        <w:rPr>
          <w:rFonts w:hint="eastAsia"/>
          <w:lang w:val="lt-LT"/>
        </w:rPr>
        <w:t>ė</w:t>
      </w:r>
      <w:r w:rsidRPr="009C30F8">
        <w:rPr>
          <w:lang w:val="lt-LT"/>
        </w:rPr>
        <w:t xml:space="preserve">s Tinkamumo laikotarpis ir atšaukiama </w:t>
      </w:r>
      <w:r w:rsidR="00BC04C4" w:rsidRPr="009C30F8">
        <w:rPr>
          <w:lang w:val="lt-LT"/>
        </w:rPr>
        <w:t>PGF2</w:t>
      </w:r>
      <w:r w:rsidR="00BC04C4">
        <w:rPr>
          <w:lang w:val="lt-LT"/>
        </w:rPr>
        <w:t> </w:t>
      </w:r>
      <w:r w:rsidRPr="009C30F8">
        <w:rPr>
          <w:lang w:val="lt-LT"/>
        </w:rPr>
        <w:t>priemon</w:t>
      </w:r>
      <w:r w:rsidRPr="009C30F8">
        <w:rPr>
          <w:rFonts w:hint="eastAsia"/>
          <w:lang w:val="lt-LT"/>
        </w:rPr>
        <w:t>ė</w:t>
      </w:r>
      <w:r w:rsidRPr="009C30F8">
        <w:rPr>
          <w:lang w:val="lt-LT"/>
        </w:rPr>
        <w:t>s valdytojui nepanaudota skirta PGF</w:t>
      </w:r>
      <w:r w:rsidR="00094806" w:rsidRPr="009C30F8">
        <w:rPr>
          <w:lang w:val="lt-LT"/>
        </w:rPr>
        <w:t>2</w:t>
      </w:r>
      <w:r w:rsidRPr="009C30F8">
        <w:rPr>
          <w:lang w:val="lt-LT"/>
        </w:rPr>
        <w:t xml:space="preserve"> priemon</w:t>
      </w:r>
      <w:r w:rsidRPr="009C30F8">
        <w:rPr>
          <w:rFonts w:hint="eastAsia"/>
          <w:lang w:val="lt-LT"/>
        </w:rPr>
        <w:t>ė</w:t>
      </w:r>
      <w:r w:rsidRPr="009C30F8">
        <w:rPr>
          <w:lang w:val="lt-LT"/>
        </w:rPr>
        <w:t>s l</w:t>
      </w:r>
      <w:r w:rsidRPr="009C30F8">
        <w:rPr>
          <w:rFonts w:hint="eastAsia"/>
          <w:lang w:val="lt-LT"/>
        </w:rPr>
        <w:t>ėšų</w:t>
      </w:r>
      <w:r w:rsidRPr="009C30F8">
        <w:rPr>
          <w:lang w:val="lt-LT"/>
        </w:rPr>
        <w:t xml:space="preserve"> suma.</w:t>
      </w:r>
    </w:p>
    <w:p w14:paraId="757D68D6" w14:textId="3BD95007" w:rsidR="009C30F8" w:rsidRPr="00CE1ECD" w:rsidRDefault="009C30F8" w:rsidP="00CE1ECD">
      <w:pPr>
        <w:pStyle w:val="ListParagraph"/>
        <w:numPr>
          <w:ilvl w:val="1"/>
          <w:numId w:val="19"/>
        </w:numPr>
        <w:tabs>
          <w:tab w:val="left" w:pos="567"/>
          <w:tab w:val="left" w:pos="709"/>
        </w:tabs>
        <w:ind w:left="-851" w:firstLine="851"/>
        <w:jc w:val="both"/>
        <w:rPr>
          <w:sz w:val="24"/>
          <w:szCs w:val="24"/>
          <w:lang w:val="lt-LT"/>
        </w:rPr>
      </w:pPr>
      <w:r w:rsidRPr="00CE1ECD">
        <w:rPr>
          <w:sz w:val="24"/>
          <w:szCs w:val="24"/>
          <w:lang w:val="lt-LT"/>
        </w:rPr>
        <w:t>Tai, ar Faktoringo sandorio gavėjas atitinka</w:t>
      </w:r>
      <w:r w:rsidR="00442A72" w:rsidRPr="00CE1ECD">
        <w:rPr>
          <w:sz w:val="24"/>
          <w:szCs w:val="24"/>
          <w:lang w:val="lt-LT"/>
        </w:rPr>
        <w:t xml:space="preserve"> Sutarties</w:t>
      </w:r>
      <w:r w:rsidRPr="00CE1ECD">
        <w:rPr>
          <w:sz w:val="24"/>
          <w:szCs w:val="24"/>
          <w:lang w:val="lt-LT"/>
        </w:rPr>
        <w:t xml:space="preserve"> 5.1.1–5.1.3 punktuose nustatytas MVĮ tinkamumo sąlygas, </w:t>
      </w:r>
      <w:r w:rsidR="00FF0645" w:rsidRPr="00CE1ECD">
        <w:rPr>
          <w:sz w:val="24"/>
          <w:szCs w:val="24"/>
          <w:lang w:val="lt-LT"/>
        </w:rPr>
        <w:t>F</w:t>
      </w:r>
      <w:r w:rsidRPr="00CE1ECD">
        <w:rPr>
          <w:sz w:val="24"/>
          <w:szCs w:val="24"/>
          <w:lang w:val="lt-LT"/>
        </w:rPr>
        <w:t xml:space="preserve">aktoringo suteikimo metu </w:t>
      </w:r>
      <w:r w:rsidR="00CE1ECD" w:rsidRPr="00CE1ECD">
        <w:rPr>
          <w:sz w:val="24"/>
          <w:szCs w:val="24"/>
          <w:lang w:val="lt-LT"/>
        </w:rPr>
        <w:t xml:space="preserve">(faktoringo suteikimas čia ir toliau šioje Sutartyje suprantamas kaip procesas arba laikotarpis nuo Faktoringo sandorio gavėjo kreipimosi į </w:t>
      </w:r>
      <w:r w:rsidR="00BC04C4" w:rsidRPr="00CE1ECD">
        <w:rPr>
          <w:sz w:val="24"/>
          <w:szCs w:val="24"/>
          <w:lang w:val="lt-LT"/>
        </w:rPr>
        <w:t>PGF2</w:t>
      </w:r>
      <w:r w:rsidR="00BC04C4">
        <w:rPr>
          <w:sz w:val="24"/>
          <w:szCs w:val="24"/>
          <w:lang w:val="lt-LT"/>
        </w:rPr>
        <w:t> </w:t>
      </w:r>
      <w:r w:rsidR="00CE1ECD" w:rsidRPr="00CE1ECD">
        <w:rPr>
          <w:sz w:val="24"/>
          <w:szCs w:val="24"/>
          <w:lang w:val="lt-LT"/>
        </w:rPr>
        <w:t>priemonės valdytoją dėl faktoringo iki Faktoringo sandorio sutarties pasirašymo dienos)</w:t>
      </w:r>
      <w:r w:rsidR="00CE1ECD">
        <w:rPr>
          <w:sz w:val="24"/>
          <w:szCs w:val="24"/>
          <w:lang w:val="lt-LT"/>
        </w:rPr>
        <w:t xml:space="preserve"> </w:t>
      </w:r>
      <w:r w:rsidRPr="00CE1ECD">
        <w:rPr>
          <w:sz w:val="24"/>
          <w:szCs w:val="24"/>
          <w:lang w:val="lt-LT"/>
        </w:rPr>
        <w:t>nustato PGF2 priemonės valdytojas.</w:t>
      </w:r>
    </w:p>
    <w:p w14:paraId="2EFBD39B" w14:textId="1E29B1B2" w:rsidR="009C30F8" w:rsidRDefault="00442A72" w:rsidP="009B0EE1">
      <w:pPr>
        <w:pStyle w:val="ListParagraph"/>
        <w:numPr>
          <w:ilvl w:val="1"/>
          <w:numId w:val="19"/>
        </w:numPr>
        <w:tabs>
          <w:tab w:val="left" w:pos="567"/>
          <w:tab w:val="left" w:pos="709"/>
        </w:tabs>
        <w:ind w:left="-851" w:firstLine="851"/>
        <w:jc w:val="both"/>
        <w:rPr>
          <w:sz w:val="24"/>
          <w:szCs w:val="24"/>
          <w:lang w:val="lt-LT"/>
        </w:rPr>
      </w:pPr>
      <w:r>
        <w:rPr>
          <w:sz w:val="24"/>
          <w:szCs w:val="24"/>
          <w:lang w:val="lt-LT"/>
        </w:rPr>
        <w:t xml:space="preserve">Sutarties </w:t>
      </w:r>
      <w:r w:rsidR="009C30F8" w:rsidRPr="009C30F8">
        <w:rPr>
          <w:sz w:val="24"/>
          <w:szCs w:val="24"/>
          <w:lang w:val="lt-LT"/>
        </w:rPr>
        <w:t>5.1.4</w:t>
      </w:r>
      <w:r>
        <w:rPr>
          <w:sz w:val="24"/>
          <w:szCs w:val="24"/>
          <w:lang w:val="lt-LT"/>
        </w:rPr>
        <w:t>–</w:t>
      </w:r>
      <w:r w:rsidR="009C30F8" w:rsidRPr="009C30F8">
        <w:rPr>
          <w:sz w:val="24"/>
          <w:szCs w:val="24"/>
          <w:lang w:val="lt-LT"/>
        </w:rPr>
        <w:t>5.1.6 punktuose nustatyti kriterijai nustatomi faktoringo suteikimo</w:t>
      </w:r>
      <w:r w:rsidR="00D67B4B">
        <w:rPr>
          <w:sz w:val="24"/>
          <w:szCs w:val="24"/>
          <w:lang w:val="lt-LT"/>
        </w:rPr>
        <w:t xml:space="preserve"> (finansavimo)</w:t>
      </w:r>
      <w:r w:rsidR="009C30F8" w:rsidRPr="009C30F8">
        <w:rPr>
          <w:sz w:val="24"/>
          <w:szCs w:val="24"/>
          <w:lang w:val="lt-LT"/>
        </w:rPr>
        <w:t xml:space="preserve"> metu</w:t>
      </w:r>
      <w:r w:rsidR="00CE1ECD">
        <w:rPr>
          <w:sz w:val="24"/>
          <w:szCs w:val="24"/>
          <w:lang w:val="lt-LT"/>
        </w:rPr>
        <w:t>.</w:t>
      </w:r>
      <w:r w:rsidR="009C30F8" w:rsidRPr="009C30F8">
        <w:rPr>
          <w:sz w:val="24"/>
          <w:szCs w:val="24"/>
          <w:lang w:val="lt-LT"/>
        </w:rPr>
        <w:t xml:space="preserve"> </w:t>
      </w:r>
    </w:p>
    <w:p w14:paraId="75684A72" w14:textId="7BF808FA" w:rsidR="00C313D2" w:rsidRPr="009C30F8" w:rsidRDefault="00F21757" w:rsidP="009B0EE1">
      <w:pPr>
        <w:pStyle w:val="ListParagraph"/>
        <w:numPr>
          <w:ilvl w:val="1"/>
          <w:numId w:val="19"/>
        </w:numPr>
        <w:tabs>
          <w:tab w:val="left" w:pos="567"/>
          <w:tab w:val="left" w:pos="709"/>
        </w:tabs>
        <w:ind w:left="-851" w:firstLine="851"/>
        <w:jc w:val="both"/>
        <w:rPr>
          <w:sz w:val="24"/>
          <w:szCs w:val="24"/>
          <w:lang w:val="lt-LT"/>
        </w:rPr>
      </w:pPr>
      <w:r w:rsidRPr="009C30F8">
        <w:rPr>
          <w:sz w:val="24"/>
          <w:szCs w:val="24"/>
          <w:lang w:val="lt-LT"/>
        </w:rPr>
        <w:t>Faktoringo sandorio</w:t>
      </w:r>
      <w:r w:rsidR="00C313D2" w:rsidRPr="009C30F8">
        <w:rPr>
          <w:sz w:val="24"/>
          <w:szCs w:val="24"/>
          <w:lang w:val="lt-LT"/>
        </w:rPr>
        <w:t xml:space="preserve"> </w:t>
      </w:r>
      <w:r w:rsidR="00F4009D" w:rsidRPr="009C30F8">
        <w:rPr>
          <w:sz w:val="24"/>
          <w:szCs w:val="24"/>
          <w:lang w:val="lt-LT"/>
        </w:rPr>
        <w:t xml:space="preserve">finansavimo laikotarpio </w:t>
      </w:r>
      <w:r w:rsidR="00C313D2" w:rsidRPr="009C30F8">
        <w:rPr>
          <w:sz w:val="24"/>
          <w:szCs w:val="24"/>
          <w:lang w:val="lt-LT"/>
        </w:rPr>
        <w:t xml:space="preserve">pratęsimo </w:t>
      </w:r>
      <w:r w:rsidR="006A6FD3" w:rsidRPr="009C30F8">
        <w:rPr>
          <w:sz w:val="24"/>
          <w:szCs w:val="24"/>
          <w:lang w:val="lt-LT"/>
        </w:rPr>
        <w:t xml:space="preserve">atveju </w:t>
      </w:r>
      <w:r w:rsidR="001F7419" w:rsidRPr="009C30F8">
        <w:rPr>
          <w:sz w:val="24"/>
          <w:szCs w:val="24"/>
          <w:lang w:val="lt-LT"/>
        </w:rPr>
        <w:t xml:space="preserve">arba </w:t>
      </w:r>
      <w:r w:rsidR="00752FE4" w:rsidRPr="009C30F8">
        <w:rPr>
          <w:sz w:val="24"/>
          <w:szCs w:val="24"/>
          <w:lang w:val="lt-LT"/>
        </w:rPr>
        <w:t>d</w:t>
      </w:r>
      <w:r w:rsidR="001F7419" w:rsidRPr="009C30F8">
        <w:rPr>
          <w:sz w:val="24"/>
          <w:szCs w:val="24"/>
          <w:lang w:val="lt-LT"/>
        </w:rPr>
        <w:t xml:space="preserve">idinant Faktoringo sandorio </w:t>
      </w:r>
      <w:r w:rsidR="00752FE4" w:rsidRPr="009C30F8">
        <w:rPr>
          <w:sz w:val="24"/>
          <w:szCs w:val="24"/>
          <w:lang w:val="lt-LT"/>
        </w:rPr>
        <w:t xml:space="preserve">limito </w:t>
      </w:r>
      <w:r w:rsidR="001F7419" w:rsidRPr="009C30F8">
        <w:rPr>
          <w:sz w:val="24"/>
          <w:szCs w:val="24"/>
          <w:lang w:val="lt-LT"/>
        </w:rPr>
        <w:t xml:space="preserve">sumą </w:t>
      </w:r>
      <w:r w:rsidR="00C313D2" w:rsidRPr="009C30F8">
        <w:rPr>
          <w:sz w:val="24"/>
          <w:szCs w:val="24"/>
          <w:lang w:val="lt-LT"/>
        </w:rPr>
        <w:t>iš naujo turi būti vertinamos visos  sąlygos</w:t>
      </w:r>
      <w:r w:rsidR="001D654B" w:rsidRPr="009C30F8">
        <w:rPr>
          <w:sz w:val="24"/>
          <w:szCs w:val="24"/>
          <w:lang w:val="lt-LT"/>
        </w:rPr>
        <w:t>, nurodytos IV ir V Sutarties skyriuose.</w:t>
      </w:r>
    </w:p>
    <w:p w14:paraId="24109E04" w14:textId="65BDEEFD" w:rsidR="005A3E5C" w:rsidRPr="00E32D44" w:rsidRDefault="004336AF" w:rsidP="00E01DA6">
      <w:pPr>
        <w:keepNext/>
        <w:spacing w:line="276" w:lineRule="auto"/>
        <w:ind w:left="-851" w:firstLine="851"/>
        <w:jc w:val="center"/>
        <w:rPr>
          <w:rFonts w:ascii="Times New Roman" w:hAnsi="Times New Roman"/>
          <w:b/>
          <w:szCs w:val="24"/>
        </w:rPr>
      </w:pPr>
      <w:r w:rsidRPr="00E32D44">
        <w:rPr>
          <w:rFonts w:ascii="Times New Roman" w:hAnsi="Times New Roman"/>
          <w:b/>
          <w:szCs w:val="24"/>
        </w:rPr>
        <w:t xml:space="preserve">VI. </w:t>
      </w:r>
      <w:r w:rsidR="007115AB" w:rsidRPr="00E32D44">
        <w:rPr>
          <w:rFonts w:ascii="Times New Roman" w:hAnsi="Times New Roman"/>
          <w:b/>
          <w:szCs w:val="24"/>
        </w:rPr>
        <w:t>GARANTIJOS MOKESTIS</w:t>
      </w:r>
    </w:p>
    <w:p w14:paraId="42865121" w14:textId="77777777" w:rsidR="00EB7A7B" w:rsidRPr="00E32D44" w:rsidRDefault="00EB7A7B" w:rsidP="00E01DA6">
      <w:pPr>
        <w:keepNext/>
        <w:spacing w:line="276" w:lineRule="auto"/>
        <w:ind w:left="-851" w:firstLine="851"/>
        <w:jc w:val="both"/>
        <w:rPr>
          <w:rFonts w:ascii="Times New Roman" w:hAnsi="Times New Roman"/>
          <w:caps/>
          <w:szCs w:val="24"/>
        </w:rPr>
      </w:pPr>
    </w:p>
    <w:p w14:paraId="75C6566B" w14:textId="5B36F436" w:rsidR="009D3653" w:rsidRPr="00E32D44" w:rsidRDefault="007115AB" w:rsidP="00F811BC">
      <w:pPr>
        <w:pStyle w:val="NormalWeb"/>
        <w:keepNext/>
        <w:numPr>
          <w:ilvl w:val="1"/>
          <w:numId w:val="7"/>
        </w:numPr>
        <w:tabs>
          <w:tab w:val="left" w:pos="567"/>
        </w:tabs>
        <w:spacing w:before="0" w:beforeAutospacing="0" w:after="0" w:afterAutospacing="0" w:line="276" w:lineRule="auto"/>
        <w:ind w:left="-709" w:firstLine="709"/>
        <w:jc w:val="both"/>
        <w:rPr>
          <w:lang w:val="lt-LT"/>
        </w:rPr>
      </w:pPr>
      <w:r w:rsidRPr="00E32D44">
        <w:rPr>
          <w:lang w:val="lt-LT"/>
        </w:rPr>
        <w:t xml:space="preserve">Garantijos mokestis yra mokamas už kiekvieną į Portfelį įtraukiamą </w:t>
      </w:r>
      <w:r w:rsidR="00CB1DE7" w:rsidRPr="00E32D44">
        <w:rPr>
          <w:lang w:val="lt-LT"/>
        </w:rPr>
        <w:t xml:space="preserve">arba keičiamą </w:t>
      </w:r>
      <w:r w:rsidR="00A36D4E" w:rsidRPr="00E32D44">
        <w:rPr>
          <w:lang w:val="lt-LT"/>
        </w:rPr>
        <w:t>Faktoringo sandorį</w:t>
      </w:r>
      <w:r w:rsidRPr="00E32D44">
        <w:rPr>
          <w:lang w:val="lt-LT"/>
        </w:rPr>
        <w:t xml:space="preserve">. Garantijos mokestis pervedamas į </w:t>
      </w:r>
      <w:r w:rsidR="00A7470F" w:rsidRPr="00E32D44">
        <w:rPr>
          <w:lang w:val="lt-LT"/>
        </w:rPr>
        <w:t>Einamąją sąskaitą</w:t>
      </w:r>
      <w:r w:rsidRPr="00E32D44">
        <w:rPr>
          <w:lang w:val="lt-LT"/>
        </w:rPr>
        <w:t xml:space="preserve"> kas ketvirtį </w:t>
      </w:r>
      <w:r w:rsidR="008055A9" w:rsidRPr="00E32D44">
        <w:rPr>
          <w:lang w:val="lt-LT"/>
        </w:rPr>
        <w:t xml:space="preserve">ne vėliau kaip </w:t>
      </w:r>
      <w:r w:rsidRPr="00E32D44">
        <w:rPr>
          <w:lang w:val="lt-LT"/>
        </w:rPr>
        <w:t xml:space="preserve">iki </w:t>
      </w:r>
      <w:r w:rsidR="009A20D6" w:rsidRPr="00E32D44">
        <w:rPr>
          <w:lang w:val="lt-LT"/>
        </w:rPr>
        <w:t xml:space="preserve">pirmo </w:t>
      </w:r>
      <w:r w:rsidRPr="00E32D44">
        <w:rPr>
          <w:lang w:val="lt-LT"/>
        </w:rPr>
        <w:t xml:space="preserve">mėnesio, einančio po ataskaitinio laikotarpio, </w:t>
      </w:r>
      <w:r w:rsidR="009A20D6" w:rsidRPr="00E32D44">
        <w:rPr>
          <w:lang w:val="lt-LT"/>
        </w:rPr>
        <w:t xml:space="preserve">30 </w:t>
      </w:r>
      <w:r w:rsidR="00776F88" w:rsidRPr="00E32D44">
        <w:rPr>
          <w:lang w:val="lt-LT"/>
        </w:rPr>
        <w:t>(</w:t>
      </w:r>
      <w:r w:rsidR="009A20D6" w:rsidRPr="00E32D44">
        <w:rPr>
          <w:lang w:val="lt-LT"/>
        </w:rPr>
        <w:t>trisdešimtos</w:t>
      </w:r>
      <w:r w:rsidR="00776F88" w:rsidRPr="00E32D44">
        <w:rPr>
          <w:lang w:val="lt-LT"/>
        </w:rPr>
        <w:t xml:space="preserve">) </w:t>
      </w:r>
      <w:r w:rsidRPr="00E32D44">
        <w:rPr>
          <w:lang w:val="lt-LT"/>
        </w:rPr>
        <w:t>dienos</w:t>
      </w:r>
      <w:r w:rsidR="007E5395" w:rsidRPr="00E32D44">
        <w:rPr>
          <w:lang w:val="lt-LT"/>
        </w:rPr>
        <w:t xml:space="preserve"> už per </w:t>
      </w:r>
      <w:r w:rsidR="00776F88" w:rsidRPr="00E32D44">
        <w:rPr>
          <w:lang w:val="lt-LT"/>
        </w:rPr>
        <w:t xml:space="preserve">ataskaitinį </w:t>
      </w:r>
      <w:r w:rsidR="007E5395" w:rsidRPr="00E32D44">
        <w:rPr>
          <w:lang w:val="lt-LT"/>
        </w:rPr>
        <w:t>ketvirtį į Portfelį įtraukt</w:t>
      </w:r>
      <w:r w:rsidR="00A36D4E" w:rsidRPr="00E32D44">
        <w:rPr>
          <w:lang w:val="lt-LT"/>
        </w:rPr>
        <w:t>u</w:t>
      </w:r>
      <w:r w:rsidR="007E5395" w:rsidRPr="00E32D44">
        <w:rPr>
          <w:lang w:val="lt-LT"/>
        </w:rPr>
        <w:t xml:space="preserve">s </w:t>
      </w:r>
      <w:r w:rsidR="00BE1664" w:rsidRPr="00E32D44">
        <w:rPr>
          <w:lang w:val="lt-LT"/>
        </w:rPr>
        <w:t xml:space="preserve">Faktoringo </w:t>
      </w:r>
      <w:r w:rsidR="00A36D4E" w:rsidRPr="00E32D44">
        <w:rPr>
          <w:lang w:val="lt-LT"/>
        </w:rPr>
        <w:t>sandorius</w:t>
      </w:r>
      <w:r w:rsidR="000C3A80" w:rsidRPr="00E32D44">
        <w:rPr>
          <w:lang w:val="lt-LT"/>
        </w:rPr>
        <w:t>, pavedimo paskirtyje nurodant „Garantijos mokestis pagal priemonę PGF</w:t>
      </w:r>
      <w:r w:rsidR="00C06E1B" w:rsidRPr="00E32D44">
        <w:rPr>
          <w:lang w:val="lt-LT"/>
        </w:rPr>
        <w:t>2</w:t>
      </w:r>
      <w:r w:rsidR="000C3A80" w:rsidRPr="00E32D44">
        <w:rPr>
          <w:lang w:val="lt-LT"/>
        </w:rPr>
        <w:t>“</w:t>
      </w:r>
      <w:r w:rsidR="008F1DCB" w:rsidRPr="00E32D44">
        <w:rPr>
          <w:lang w:val="lt-LT"/>
        </w:rPr>
        <w:t>.</w:t>
      </w:r>
      <w:r w:rsidR="00987B90" w:rsidRPr="00E32D44">
        <w:rPr>
          <w:lang w:val="lt-LT"/>
        </w:rPr>
        <w:t xml:space="preserve"> </w:t>
      </w:r>
      <w:r w:rsidR="00DE6D81" w:rsidRPr="00E32D44">
        <w:rPr>
          <w:lang w:val="lt-LT"/>
        </w:rPr>
        <w:t xml:space="preserve">Garantijos mokestį </w:t>
      </w:r>
      <w:r w:rsidR="00C06E1B" w:rsidRPr="00E32D44">
        <w:rPr>
          <w:lang w:val="lt-LT"/>
        </w:rPr>
        <w:t xml:space="preserve">ir (ar) garantijos mokesčio priemoką </w:t>
      </w:r>
      <w:r w:rsidR="00DE6D81" w:rsidRPr="00E32D44">
        <w:rPr>
          <w:lang w:val="lt-LT"/>
        </w:rPr>
        <w:t>„Invegai“ sumoka PGF</w:t>
      </w:r>
      <w:r w:rsidR="00C06E1B" w:rsidRPr="00E32D44">
        <w:rPr>
          <w:lang w:val="lt-LT"/>
        </w:rPr>
        <w:t>2</w:t>
      </w:r>
      <w:r w:rsidR="00DE6D81" w:rsidRPr="00E32D44">
        <w:rPr>
          <w:lang w:val="lt-LT"/>
        </w:rPr>
        <w:t xml:space="preserve"> priemonės valdytojas už </w:t>
      </w:r>
      <w:r w:rsidR="0004630E" w:rsidRPr="00E32D44">
        <w:rPr>
          <w:lang w:val="lt-LT"/>
        </w:rPr>
        <w:t xml:space="preserve">per ketvirtį </w:t>
      </w:r>
      <w:r w:rsidR="00DE6D81" w:rsidRPr="00E32D44">
        <w:rPr>
          <w:lang w:val="lt-LT"/>
        </w:rPr>
        <w:t xml:space="preserve">į Portfelį įtrauktus </w:t>
      </w:r>
      <w:r w:rsidR="0004630E" w:rsidRPr="00E32D44">
        <w:rPr>
          <w:lang w:val="lt-LT"/>
        </w:rPr>
        <w:t xml:space="preserve">ir (ar) pakeistus </w:t>
      </w:r>
      <w:r w:rsidR="00DE6D81" w:rsidRPr="00E32D44">
        <w:rPr>
          <w:lang w:val="lt-LT"/>
        </w:rPr>
        <w:t xml:space="preserve">Faktoringo </w:t>
      </w:r>
      <w:r w:rsidR="0004630E" w:rsidRPr="00E32D44">
        <w:rPr>
          <w:lang w:val="lt-LT"/>
        </w:rPr>
        <w:t>s</w:t>
      </w:r>
      <w:r w:rsidR="00DE6D81" w:rsidRPr="00E32D44">
        <w:rPr>
          <w:lang w:val="lt-LT"/>
        </w:rPr>
        <w:t>andorius</w:t>
      </w:r>
      <w:r w:rsidR="00987B90" w:rsidRPr="00E32D44">
        <w:rPr>
          <w:lang w:val="lt-LT"/>
        </w:rPr>
        <w:t>.</w:t>
      </w:r>
      <w:r w:rsidR="00C5223D">
        <w:rPr>
          <w:lang w:val="lt-LT"/>
        </w:rPr>
        <w:t xml:space="preserve"> </w:t>
      </w:r>
      <w:r w:rsidR="00C5223D" w:rsidRPr="00C5223D">
        <w:rPr>
          <w:lang w:val="lt-LT"/>
        </w:rPr>
        <w:t>MVĮ sumoka Garantijos mokestį PGF2 priemonės valdytojui, kuris, Sutartyje nustatyta tvarka, jį perveda „Invegai“</w:t>
      </w:r>
      <w:r w:rsidR="00C5223D">
        <w:rPr>
          <w:lang w:val="lt-LT"/>
        </w:rPr>
        <w:t>.</w:t>
      </w:r>
    </w:p>
    <w:p w14:paraId="52B47CFD" w14:textId="03F80441" w:rsidR="00987B90" w:rsidRPr="004A7AEA" w:rsidRDefault="007115AB" w:rsidP="00987B90">
      <w:pPr>
        <w:pStyle w:val="NormalWeb"/>
        <w:numPr>
          <w:ilvl w:val="1"/>
          <w:numId w:val="7"/>
        </w:numPr>
        <w:tabs>
          <w:tab w:val="left" w:pos="142"/>
          <w:tab w:val="left" w:pos="426"/>
        </w:tabs>
        <w:spacing w:before="0" w:beforeAutospacing="0" w:after="0" w:afterAutospacing="0" w:line="276" w:lineRule="auto"/>
        <w:ind w:left="-709" w:firstLine="709"/>
        <w:jc w:val="both"/>
        <w:rPr>
          <w:lang w:val="lt-LT"/>
        </w:rPr>
      </w:pPr>
      <w:r w:rsidRPr="00780D45">
        <w:rPr>
          <w:lang w:val="lt-LT"/>
        </w:rPr>
        <w:t xml:space="preserve">Garantijos mokestis už vieną </w:t>
      </w:r>
      <w:r w:rsidR="00A36D4E" w:rsidRPr="00780D45">
        <w:rPr>
          <w:lang w:val="lt-LT"/>
        </w:rPr>
        <w:t xml:space="preserve">Faktoringo sandorį </w:t>
      </w:r>
      <w:r w:rsidRPr="00780D45">
        <w:rPr>
          <w:lang w:val="lt-LT"/>
        </w:rPr>
        <w:t>yra vienkartinis</w:t>
      </w:r>
      <w:r w:rsidR="00D16B4E" w:rsidRPr="00780D45">
        <w:rPr>
          <w:lang w:val="lt-LT"/>
        </w:rPr>
        <w:t xml:space="preserve"> ir </w:t>
      </w:r>
      <w:r w:rsidR="00D16B4E" w:rsidRPr="00780D45">
        <w:rPr>
          <w:bCs/>
          <w:lang w:val="lt-LT"/>
        </w:rPr>
        <w:t xml:space="preserve">priklauso nuo įtraukiamo į Portfelį garantuojamo </w:t>
      </w:r>
      <w:r w:rsidR="00F21757" w:rsidRPr="00780D45">
        <w:rPr>
          <w:bCs/>
          <w:lang w:val="lt-LT"/>
        </w:rPr>
        <w:t>Faktoringo sandorio</w:t>
      </w:r>
      <w:r w:rsidR="00D16B4E" w:rsidRPr="00780D45">
        <w:rPr>
          <w:bCs/>
          <w:lang w:val="lt-LT"/>
        </w:rPr>
        <w:t xml:space="preserve"> </w:t>
      </w:r>
      <w:r w:rsidR="00752FE4" w:rsidRPr="00780D45">
        <w:rPr>
          <w:bCs/>
          <w:lang w:val="lt-LT"/>
        </w:rPr>
        <w:t xml:space="preserve">limito </w:t>
      </w:r>
      <w:r w:rsidR="00D16B4E" w:rsidRPr="00780D45">
        <w:rPr>
          <w:bCs/>
          <w:lang w:val="lt-LT"/>
        </w:rPr>
        <w:t xml:space="preserve">sumos </w:t>
      </w:r>
      <w:r w:rsidR="00780D45" w:rsidRPr="00780D45">
        <w:rPr>
          <w:bCs/>
          <w:lang w:val="lt-LT"/>
        </w:rPr>
        <w:t xml:space="preserve">ir Faktoringo sandorio finansavimo laikotarpio </w:t>
      </w:r>
      <w:r w:rsidR="00C36503" w:rsidRPr="00780D45">
        <w:rPr>
          <w:bCs/>
          <w:lang w:val="lt-LT"/>
        </w:rPr>
        <w:t>bei</w:t>
      </w:r>
      <w:r w:rsidR="0039600B" w:rsidRPr="00780D45">
        <w:rPr>
          <w:bCs/>
          <w:lang w:val="lt-LT"/>
        </w:rPr>
        <w:t xml:space="preserve"> Maksimalaus mokėjimo atidėjimo pirkėjams termino.</w:t>
      </w:r>
      <w:r w:rsidR="008802E7" w:rsidRPr="00780D45">
        <w:rPr>
          <w:lang w:val="lt-LT"/>
        </w:rPr>
        <w:t xml:space="preserve"> </w:t>
      </w:r>
      <w:r w:rsidR="008802E7" w:rsidRPr="00780D45">
        <w:rPr>
          <w:bCs/>
          <w:lang w:val="lt-LT"/>
        </w:rPr>
        <w:t xml:space="preserve">Tuo atveju, jei </w:t>
      </w:r>
      <w:r w:rsidR="008802E7" w:rsidRPr="002B07A7">
        <w:rPr>
          <w:bCs/>
          <w:lang w:val="lt-LT"/>
        </w:rPr>
        <w:t xml:space="preserve">ilginamas Maksimalus mokėjimo atidėjimo pirkėjams terminas, ar didinamas Faktoringo sandorio </w:t>
      </w:r>
      <w:r w:rsidR="008802E7" w:rsidRPr="004A7AEA">
        <w:rPr>
          <w:bCs/>
          <w:lang w:val="lt-LT"/>
        </w:rPr>
        <w:t>limitas, ar ilginamas Faktoringo sandorio finansavimo laikotarpis, atliekama garantijos mokesčio priemoka.</w:t>
      </w:r>
    </w:p>
    <w:p w14:paraId="1BC2DC99" w14:textId="575B1009" w:rsidR="009D3653" w:rsidRPr="004A7AEA" w:rsidRDefault="007115AB" w:rsidP="00987B90">
      <w:pPr>
        <w:pStyle w:val="NormalWeb"/>
        <w:numPr>
          <w:ilvl w:val="1"/>
          <w:numId w:val="7"/>
        </w:numPr>
        <w:tabs>
          <w:tab w:val="left" w:pos="426"/>
          <w:tab w:val="left" w:pos="567"/>
        </w:tabs>
        <w:spacing w:before="0" w:beforeAutospacing="0" w:after="0" w:afterAutospacing="0" w:line="276" w:lineRule="auto"/>
        <w:ind w:left="-709" w:firstLine="709"/>
        <w:jc w:val="both"/>
        <w:rPr>
          <w:lang w:val="lt-LT"/>
        </w:rPr>
      </w:pPr>
      <w:r w:rsidRPr="004A7AEA">
        <w:rPr>
          <w:lang w:val="lt-LT"/>
        </w:rPr>
        <w:t>Garantijos mokestis nėra grąžinamas ir perskaičiuojamas</w:t>
      </w:r>
      <w:r w:rsidR="0073504B" w:rsidRPr="004A7AEA">
        <w:rPr>
          <w:lang w:val="lt-LT"/>
        </w:rPr>
        <w:t xml:space="preserve">, </w:t>
      </w:r>
      <w:r w:rsidR="002B07A7" w:rsidRPr="004A7AEA">
        <w:rPr>
          <w:lang w:val="lt-LT"/>
        </w:rPr>
        <w:t xml:space="preserve">kai Maksimalus mokėjimo atidėjimo pirkėjams terminas trumpinamas arba mažinamas Faktoringo sandorio limitas, arba trumpinamas Faktoringo sandorio finansavimo laikotarpis, </w:t>
      </w:r>
      <w:r w:rsidR="0073504B" w:rsidRPr="004A7AEA">
        <w:rPr>
          <w:lang w:val="lt-LT"/>
        </w:rPr>
        <w:t xml:space="preserve">išskyrus Sutarties </w:t>
      </w:r>
      <w:r w:rsidR="00E63739" w:rsidRPr="004A7AEA">
        <w:rPr>
          <w:lang w:val="lt-LT"/>
        </w:rPr>
        <w:t>4.</w:t>
      </w:r>
      <w:r w:rsidR="008F1DCB" w:rsidRPr="004A7AEA">
        <w:rPr>
          <w:lang w:val="lt-LT"/>
        </w:rPr>
        <w:t>1</w:t>
      </w:r>
      <w:r w:rsidR="000D2922" w:rsidRPr="004A7AEA">
        <w:rPr>
          <w:lang w:val="lt-LT"/>
        </w:rPr>
        <w:t>1</w:t>
      </w:r>
      <w:r w:rsidR="008F1DCB" w:rsidRPr="004A7AEA">
        <w:rPr>
          <w:lang w:val="lt-LT"/>
        </w:rPr>
        <w:t xml:space="preserve"> ir 4.1</w:t>
      </w:r>
      <w:r w:rsidR="000D2922" w:rsidRPr="004A7AEA">
        <w:rPr>
          <w:lang w:val="lt-LT"/>
        </w:rPr>
        <w:t>2</w:t>
      </w:r>
      <w:r w:rsidR="006449C8" w:rsidRPr="004A7AEA">
        <w:rPr>
          <w:lang w:val="lt-LT"/>
        </w:rPr>
        <w:t> </w:t>
      </w:r>
      <w:r w:rsidR="0073504B" w:rsidRPr="004A7AEA">
        <w:rPr>
          <w:lang w:val="lt-LT"/>
        </w:rPr>
        <w:t xml:space="preserve"> punkt</w:t>
      </w:r>
      <w:r w:rsidR="008F1DCB" w:rsidRPr="004A7AEA">
        <w:rPr>
          <w:lang w:val="lt-LT"/>
        </w:rPr>
        <w:t>uos</w:t>
      </w:r>
      <w:r w:rsidR="00E63739" w:rsidRPr="004A7AEA">
        <w:rPr>
          <w:lang w:val="lt-LT"/>
        </w:rPr>
        <w:t>e</w:t>
      </w:r>
      <w:r w:rsidR="0073504B" w:rsidRPr="004A7AEA">
        <w:rPr>
          <w:lang w:val="lt-LT"/>
        </w:rPr>
        <w:t xml:space="preserve"> nurodyt</w:t>
      </w:r>
      <w:r w:rsidR="008F1DCB" w:rsidRPr="004A7AEA">
        <w:rPr>
          <w:lang w:val="lt-LT"/>
        </w:rPr>
        <w:t>us</w:t>
      </w:r>
      <w:r w:rsidR="0073504B" w:rsidRPr="004A7AEA">
        <w:rPr>
          <w:lang w:val="lt-LT"/>
        </w:rPr>
        <w:t xml:space="preserve"> </w:t>
      </w:r>
      <w:r w:rsidR="00900780" w:rsidRPr="004A7AEA">
        <w:rPr>
          <w:lang w:val="lt-LT"/>
        </w:rPr>
        <w:t>atvej</w:t>
      </w:r>
      <w:r w:rsidR="008F1DCB" w:rsidRPr="004A7AEA">
        <w:rPr>
          <w:lang w:val="lt-LT"/>
        </w:rPr>
        <w:t>us.</w:t>
      </w:r>
    </w:p>
    <w:p w14:paraId="33075A18" w14:textId="1D9588DD" w:rsidR="007115AB" w:rsidRPr="004A7AEA" w:rsidRDefault="007115AB" w:rsidP="00E72379">
      <w:pPr>
        <w:pStyle w:val="NormalWeb"/>
        <w:numPr>
          <w:ilvl w:val="1"/>
          <w:numId w:val="7"/>
        </w:numPr>
        <w:tabs>
          <w:tab w:val="left" w:pos="426"/>
          <w:tab w:val="left" w:pos="567"/>
        </w:tabs>
        <w:spacing w:before="0" w:beforeAutospacing="0" w:after="0" w:afterAutospacing="0" w:line="276" w:lineRule="auto"/>
        <w:ind w:left="-709" w:firstLine="709"/>
        <w:jc w:val="both"/>
        <w:rPr>
          <w:lang w:val="lt-LT"/>
        </w:rPr>
      </w:pPr>
      <w:r w:rsidRPr="004A7AEA">
        <w:rPr>
          <w:lang w:val="lt-LT"/>
        </w:rPr>
        <w:t>Garantijos mokesčio suma skaičiuojama naudojant formulę:</w:t>
      </w:r>
    </w:p>
    <w:p w14:paraId="7B89F168" w14:textId="47985CD0" w:rsidR="00A36D4E" w:rsidRPr="004A7AEA" w:rsidRDefault="00A36D4E" w:rsidP="00F811BC">
      <w:pPr>
        <w:keepNext/>
        <w:spacing w:line="276" w:lineRule="auto"/>
        <w:contextualSpacing/>
        <w:jc w:val="both"/>
        <w:rPr>
          <w:rFonts w:ascii="Times New Roman" w:hAnsi="Times New Roman"/>
          <w:szCs w:val="24"/>
        </w:rPr>
      </w:pPr>
      <w:r w:rsidRPr="004A7AEA">
        <w:rPr>
          <w:rFonts w:ascii="Times New Roman" w:hAnsi="Times New Roman"/>
          <w:szCs w:val="24"/>
        </w:rPr>
        <w:t>M = F x G x P</w:t>
      </w:r>
      <w:r w:rsidR="000308D1" w:rsidRPr="004A7AEA">
        <w:rPr>
          <w:rFonts w:ascii="Times New Roman" w:hAnsi="Times New Roman"/>
          <w:szCs w:val="24"/>
        </w:rPr>
        <w:t xml:space="preserve"> x T</w:t>
      </w:r>
      <w:r w:rsidRPr="004A7AEA">
        <w:rPr>
          <w:rFonts w:ascii="Times New Roman" w:hAnsi="Times New Roman"/>
          <w:szCs w:val="24"/>
        </w:rPr>
        <w:t xml:space="preserve">, </w:t>
      </w:r>
    </w:p>
    <w:p w14:paraId="75FF212F" w14:textId="77777777" w:rsidR="00A36D4E" w:rsidRPr="004A7AEA" w:rsidRDefault="00A36D4E" w:rsidP="00F811BC">
      <w:pPr>
        <w:keepNext/>
        <w:spacing w:line="276" w:lineRule="auto"/>
        <w:contextualSpacing/>
        <w:jc w:val="both"/>
        <w:rPr>
          <w:rFonts w:ascii="Times New Roman" w:hAnsi="Times New Roman"/>
          <w:szCs w:val="24"/>
        </w:rPr>
      </w:pPr>
      <w:r w:rsidRPr="004A7AEA">
        <w:rPr>
          <w:rFonts w:ascii="Times New Roman" w:hAnsi="Times New Roman"/>
          <w:szCs w:val="24"/>
        </w:rPr>
        <w:t>kur:</w:t>
      </w:r>
    </w:p>
    <w:p w14:paraId="0644FC1F" w14:textId="77777777" w:rsidR="00A36D4E" w:rsidRPr="004A7AEA" w:rsidRDefault="00A36D4E" w:rsidP="00F811BC">
      <w:pPr>
        <w:keepNext/>
        <w:spacing w:line="276" w:lineRule="auto"/>
        <w:contextualSpacing/>
        <w:jc w:val="both"/>
        <w:rPr>
          <w:rFonts w:ascii="Times New Roman" w:hAnsi="Times New Roman"/>
          <w:szCs w:val="24"/>
        </w:rPr>
      </w:pPr>
      <w:r w:rsidRPr="004A7AEA">
        <w:rPr>
          <w:rFonts w:ascii="Times New Roman" w:hAnsi="Times New Roman"/>
          <w:szCs w:val="24"/>
        </w:rPr>
        <w:t>M – garantijos mokesčio suma;</w:t>
      </w:r>
    </w:p>
    <w:p w14:paraId="43DDDD39" w14:textId="1F88F4C6" w:rsidR="00A36D4E" w:rsidRPr="004A7AEA" w:rsidRDefault="00A36D4E" w:rsidP="00F811BC">
      <w:pPr>
        <w:keepNext/>
        <w:spacing w:line="276" w:lineRule="auto"/>
        <w:contextualSpacing/>
        <w:jc w:val="both"/>
        <w:rPr>
          <w:rFonts w:ascii="Times New Roman" w:hAnsi="Times New Roman"/>
          <w:szCs w:val="24"/>
        </w:rPr>
      </w:pPr>
      <w:r w:rsidRPr="004A7AEA">
        <w:rPr>
          <w:rFonts w:ascii="Times New Roman" w:hAnsi="Times New Roman"/>
          <w:szCs w:val="24"/>
        </w:rPr>
        <w:t>F – Faktoringo limitas;</w:t>
      </w:r>
    </w:p>
    <w:p w14:paraId="4F8AEB99" w14:textId="77777777" w:rsidR="00A21DD3" w:rsidRPr="004A7AEA" w:rsidRDefault="00A36D4E" w:rsidP="00F811BC">
      <w:pPr>
        <w:keepNext/>
        <w:spacing w:line="276" w:lineRule="auto"/>
        <w:contextualSpacing/>
        <w:jc w:val="both"/>
        <w:rPr>
          <w:rFonts w:ascii="Times New Roman" w:hAnsi="Times New Roman"/>
          <w:szCs w:val="24"/>
        </w:rPr>
      </w:pPr>
      <w:r w:rsidRPr="004A7AEA">
        <w:rPr>
          <w:rFonts w:ascii="Times New Roman" w:hAnsi="Times New Roman"/>
          <w:szCs w:val="24"/>
        </w:rPr>
        <w:t>G – Garantijos dydis (80 proc.);</w:t>
      </w:r>
    </w:p>
    <w:p w14:paraId="48A70CB2" w14:textId="77777777" w:rsidR="00A21DD3" w:rsidRPr="004A7AEA" w:rsidRDefault="00A36D4E" w:rsidP="00A21DD3">
      <w:pPr>
        <w:keepNext/>
        <w:spacing w:line="276" w:lineRule="auto"/>
        <w:contextualSpacing/>
        <w:jc w:val="both"/>
        <w:rPr>
          <w:rFonts w:ascii="Times New Roman" w:hAnsi="Times New Roman"/>
          <w:szCs w:val="24"/>
        </w:rPr>
      </w:pPr>
      <w:r w:rsidRPr="004A7AEA">
        <w:rPr>
          <w:rFonts w:ascii="Times New Roman" w:hAnsi="Times New Roman"/>
          <w:szCs w:val="24"/>
        </w:rPr>
        <w:t>P – Garantijos mokesčio procentinis dydis (proc.)</w:t>
      </w:r>
      <w:r w:rsidR="00B41604" w:rsidRPr="004A7AEA">
        <w:rPr>
          <w:rFonts w:ascii="Times New Roman" w:hAnsi="Times New Roman"/>
          <w:szCs w:val="24"/>
        </w:rPr>
        <w:t>, nustatomas 6.5 papunktyje nurodyta tvarka</w:t>
      </w:r>
      <w:r w:rsidR="000308D1" w:rsidRPr="004A7AEA">
        <w:rPr>
          <w:rFonts w:ascii="Times New Roman" w:hAnsi="Times New Roman"/>
          <w:szCs w:val="24"/>
        </w:rPr>
        <w:t>;</w:t>
      </w:r>
    </w:p>
    <w:p w14:paraId="2FA4BC91" w14:textId="1EB96010" w:rsidR="000308D1" w:rsidRPr="004A7AEA" w:rsidRDefault="000308D1" w:rsidP="00A21DD3">
      <w:pPr>
        <w:keepNext/>
        <w:spacing w:line="276" w:lineRule="auto"/>
        <w:contextualSpacing/>
        <w:jc w:val="both"/>
        <w:rPr>
          <w:rFonts w:ascii="Times New Roman" w:hAnsi="Times New Roman"/>
          <w:szCs w:val="24"/>
        </w:rPr>
      </w:pPr>
      <w:r w:rsidRPr="004A7AEA">
        <w:rPr>
          <w:rFonts w:ascii="Times New Roman" w:hAnsi="Times New Roman"/>
          <w:szCs w:val="24"/>
        </w:rPr>
        <w:t>T – Faktoringo sandorio finansavimo laikotarpio koeficientas (Y)</w:t>
      </w:r>
      <w:r w:rsidR="00BC42B8" w:rsidRPr="004A7AEA">
        <w:rPr>
          <w:rFonts w:ascii="Times New Roman" w:hAnsi="Times New Roman"/>
          <w:szCs w:val="24"/>
        </w:rPr>
        <w:t xml:space="preserve"> nustatomas 6.6. papunktyje nurodyta tvarka</w:t>
      </w:r>
      <w:r w:rsidR="00E00CB8" w:rsidRPr="004A7AEA">
        <w:rPr>
          <w:rFonts w:ascii="Times New Roman" w:hAnsi="Times New Roman"/>
          <w:szCs w:val="24"/>
        </w:rPr>
        <w:t>.</w:t>
      </w:r>
      <w:r w:rsidR="00E00EE4" w:rsidRPr="004A7AEA">
        <w:rPr>
          <w:rFonts w:ascii="Times New Roman" w:hAnsi="Times New Roman"/>
          <w:szCs w:val="24"/>
        </w:rPr>
        <w:t xml:space="preserve"> ;</w:t>
      </w:r>
    </w:p>
    <w:p w14:paraId="12523D06" w14:textId="1B5D5F34" w:rsidR="007115AB" w:rsidRPr="004A7AEA" w:rsidRDefault="006F4DA1" w:rsidP="00E72379">
      <w:pPr>
        <w:pStyle w:val="NormalWeb"/>
        <w:numPr>
          <w:ilvl w:val="1"/>
          <w:numId w:val="7"/>
        </w:numPr>
        <w:tabs>
          <w:tab w:val="left" w:pos="567"/>
        </w:tabs>
        <w:spacing w:before="0" w:beforeAutospacing="0" w:after="0" w:afterAutospacing="0" w:line="276" w:lineRule="auto"/>
        <w:ind w:left="-709" w:firstLine="709"/>
        <w:jc w:val="both"/>
        <w:rPr>
          <w:lang w:val="lt-LT"/>
        </w:rPr>
      </w:pPr>
      <w:r w:rsidRPr="004A7AEA">
        <w:rPr>
          <w:bCs/>
          <w:lang w:val="lt-LT"/>
        </w:rPr>
        <w:t xml:space="preserve">Taikomi šie </w:t>
      </w:r>
      <w:r w:rsidR="007115AB" w:rsidRPr="004A7AEA">
        <w:rPr>
          <w:bCs/>
          <w:lang w:val="lt-LT"/>
        </w:rPr>
        <w:t>Garantijos mokes</w:t>
      </w:r>
      <w:r w:rsidR="007E5395" w:rsidRPr="004A7AEA">
        <w:rPr>
          <w:bCs/>
          <w:lang w:val="lt-LT"/>
        </w:rPr>
        <w:t xml:space="preserve">čio </w:t>
      </w:r>
      <w:r w:rsidR="00DF659D" w:rsidRPr="004A7AEA">
        <w:rPr>
          <w:bCs/>
          <w:lang w:val="lt-LT"/>
        </w:rPr>
        <w:t xml:space="preserve">(P) </w:t>
      </w:r>
      <w:r w:rsidRPr="004A7AEA">
        <w:rPr>
          <w:bCs/>
          <w:lang w:val="lt-LT"/>
        </w:rPr>
        <w:t xml:space="preserve">procentiniai </w:t>
      </w:r>
      <w:r w:rsidR="007E5395" w:rsidRPr="004A7AEA">
        <w:rPr>
          <w:bCs/>
          <w:lang w:val="lt-LT"/>
        </w:rPr>
        <w:t>dyd</w:t>
      </w:r>
      <w:r w:rsidRPr="004A7AEA">
        <w:rPr>
          <w:bCs/>
          <w:lang w:val="lt-LT"/>
        </w:rPr>
        <w:t>žiai</w:t>
      </w:r>
      <w:r w:rsidR="007115AB" w:rsidRPr="004A7AEA">
        <w:rPr>
          <w:lang w:val="lt-LT"/>
        </w:rPr>
        <w:t>:</w:t>
      </w:r>
    </w:p>
    <w:p w14:paraId="3784C9DB" w14:textId="42489DB3" w:rsidR="009D3653" w:rsidRPr="004A7AEA" w:rsidRDefault="007115AB" w:rsidP="009B0EE1">
      <w:pPr>
        <w:pStyle w:val="NormalWeb"/>
        <w:numPr>
          <w:ilvl w:val="2"/>
          <w:numId w:val="7"/>
        </w:numPr>
        <w:tabs>
          <w:tab w:val="left" w:pos="851"/>
        </w:tabs>
        <w:spacing w:before="0" w:beforeAutospacing="0" w:after="0" w:afterAutospacing="0" w:line="276" w:lineRule="auto"/>
        <w:ind w:left="-709" w:firstLine="709"/>
        <w:jc w:val="both"/>
        <w:rPr>
          <w:lang w:val="lt-LT"/>
        </w:rPr>
      </w:pPr>
      <w:r w:rsidRPr="004A7AEA">
        <w:rPr>
          <w:lang w:val="lt-LT"/>
        </w:rPr>
        <w:t xml:space="preserve">0,5 </w:t>
      </w:r>
      <w:r w:rsidR="00776F88" w:rsidRPr="004A7AEA">
        <w:rPr>
          <w:lang w:val="lt-LT"/>
        </w:rPr>
        <w:t xml:space="preserve">(penkios dešimtosios) </w:t>
      </w:r>
      <w:r w:rsidRPr="004A7AEA">
        <w:rPr>
          <w:lang w:val="lt-LT"/>
        </w:rPr>
        <w:t>proc.</w:t>
      </w:r>
      <w:r w:rsidR="006F4DA1" w:rsidRPr="004A7AEA">
        <w:rPr>
          <w:lang w:val="lt-LT"/>
        </w:rPr>
        <w:t xml:space="preserve"> </w:t>
      </w:r>
      <w:r w:rsidR="00A36D4E" w:rsidRPr="004A7AEA">
        <w:rPr>
          <w:lang w:val="lt-LT"/>
        </w:rPr>
        <w:t xml:space="preserve">Faktoringo sandoriams, kuriuose Maksimalūs mokėjimo atidėjimo </w:t>
      </w:r>
      <w:r w:rsidR="00922EB6" w:rsidRPr="004A7AEA">
        <w:rPr>
          <w:lang w:val="lt-LT"/>
        </w:rPr>
        <w:t xml:space="preserve">visiems </w:t>
      </w:r>
      <w:r w:rsidR="00A36D4E" w:rsidRPr="004A7AEA">
        <w:rPr>
          <w:lang w:val="lt-LT"/>
        </w:rPr>
        <w:t>pirkėjams terminai yra ne ilgesni kaip 90 kalendorinių dienų</w:t>
      </w:r>
      <w:r w:rsidRPr="004A7AEA">
        <w:rPr>
          <w:lang w:val="lt-LT"/>
        </w:rPr>
        <w:t>;</w:t>
      </w:r>
    </w:p>
    <w:p w14:paraId="12DCFC62" w14:textId="27C3BE45" w:rsidR="007115AB" w:rsidRPr="004A7AEA" w:rsidRDefault="007115AB" w:rsidP="009B0EE1">
      <w:pPr>
        <w:pStyle w:val="NormalWeb"/>
        <w:numPr>
          <w:ilvl w:val="2"/>
          <w:numId w:val="7"/>
        </w:numPr>
        <w:tabs>
          <w:tab w:val="left" w:pos="851"/>
        </w:tabs>
        <w:spacing w:before="0" w:beforeAutospacing="0" w:after="0" w:afterAutospacing="0" w:line="276" w:lineRule="auto"/>
        <w:ind w:left="-709" w:firstLine="709"/>
        <w:jc w:val="both"/>
        <w:rPr>
          <w:lang w:val="lt-LT"/>
        </w:rPr>
      </w:pPr>
      <w:r w:rsidRPr="004A7AEA">
        <w:rPr>
          <w:lang w:val="lt-LT"/>
        </w:rPr>
        <w:lastRenderedPageBreak/>
        <w:t xml:space="preserve">1 </w:t>
      </w:r>
      <w:r w:rsidR="00776F88" w:rsidRPr="004A7AEA">
        <w:rPr>
          <w:lang w:val="lt-LT"/>
        </w:rPr>
        <w:t xml:space="preserve">(vienas) </w:t>
      </w:r>
      <w:r w:rsidRPr="004A7AEA">
        <w:rPr>
          <w:lang w:val="lt-LT"/>
        </w:rPr>
        <w:t xml:space="preserve">proc. </w:t>
      </w:r>
      <w:r w:rsidR="00A36D4E" w:rsidRPr="004A7AEA">
        <w:rPr>
          <w:lang w:val="lt-LT"/>
        </w:rPr>
        <w:t>Faktoringo sandoriams, kuriuose maksimalūs Mokėjimo atidėjimo pirkėjams terminai</w:t>
      </w:r>
      <w:r w:rsidR="007050F2" w:rsidRPr="004A7AEA">
        <w:rPr>
          <w:lang w:val="lt-LT"/>
        </w:rPr>
        <w:t xml:space="preserve"> (arba bent vienas iš jų)</w:t>
      </w:r>
      <w:r w:rsidR="00A36D4E" w:rsidRPr="004A7AEA">
        <w:rPr>
          <w:lang w:val="lt-LT"/>
        </w:rPr>
        <w:t xml:space="preserve"> yra ne trumpesni kaip 90 kalendorinių dienų ir ne ilgesni kaip 180 kalendorinių dienų</w:t>
      </w:r>
      <w:r w:rsidRPr="004A7AEA">
        <w:rPr>
          <w:lang w:val="lt-LT"/>
        </w:rPr>
        <w:t>.</w:t>
      </w:r>
    </w:p>
    <w:p w14:paraId="28E1EE8E" w14:textId="37CEE6F5" w:rsidR="00E00CB8" w:rsidRPr="004A7AEA" w:rsidRDefault="00E00CB8" w:rsidP="00E00CB8">
      <w:pPr>
        <w:pStyle w:val="NormalWeb"/>
        <w:numPr>
          <w:ilvl w:val="1"/>
          <w:numId w:val="7"/>
        </w:numPr>
        <w:tabs>
          <w:tab w:val="left" w:pos="851"/>
        </w:tabs>
        <w:spacing w:before="0" w:beforeAutospacing="0" w:after="0" w:afterAutospacing="0" w:line="276" w:lineRule="auto"/>
        <w:jc w:val="both"/>
        <w:rPr>
          <w:lang w:val="lt-LT"/>
        </w:rPr>
      </w:pPr>
      <w:r w:rsidRPr="004A7AEA">
        <w:rPr>
          <w:lang w:val="lt-LT"/>
        </w:rPr>
        <w:t xml:space="preserve">Taikomi šie </w:t>
      </w:r>
      <w:bookmarkStart w:id="7" w:name="OLE_LINK3"/>
      <w:bookmarkStart w:id="8" w:name="OLE_LINK4"/>
      <w:r w:rsidRPr="004A7AEA">
        <w:rPr>
          <w:lang w:val="lt-LT"/>
        </w:rPr>
        <w:t>Faktoringo sandorio finansavimo laikotarpio</w:t>
      </w:r>
      <w:bookmarkEnd w:id="7"/>
      <w:bookmarkEnd w:id="8"/>
      <w:r w:rsidRPr="004A7AEA">
        <w:rPr>
          <w:lang w:val="lt-LT"/>
        </w:rPr>
        <w:t xml:space="preserve"> koeficientai (Y):</w:t>
      </w:r>
    </w:p>
    <w:p w14:paraId="4E9EABAB" w14:textId="07327679" w:rsidR="00E00CB8" w:rsidRPr="004A7AEA" w:rsidRDefault="00E00CB8" w:rsidP="00E00CB8">
      <w:pPr>
        <w:pStyle w:val="NormalWeb"/>
        <w:numPr>
          <w:ilvl w:val="2"/>
          <w:numId w:val="7"/>
        </w:numPr>
        <w:tabs>
          <w:tab w:val="left" w:pos="851"/>
        </w:tabs>
        <w:spacing w:before="0" w:beforeAutospacing="0" w:after="0" w:afterAutospacing="0" w:line="276" w:lineRule="auto"/>
        <w:ind w:left="709"/>
        <w:jc w:val="both"/>
        <w:rPr>
          <w:lang w:val="lt-LT"/>
        </w:rPr>
      </w:pPr>
      <w:r w:rsidRPr="004A7AEA">
        <w:rPr>
          <w:lang w:val="lt-LT"/>
        </w:rPr>
        <w:t>1 (vienas), kai Faktoringo sandorio finansavimo laikotarpis yra trumpesnis arba lygus 6 mėnesiams;</w:t>
      </w:r>
    </w:p>
    <w:p w14:paraId="47AD22BD" w14:textId="79ABA681" w:rsidR="00E00CB8" w:rsidRPr="004A7AEA" w:rsidRDefault="00E00CB8" w:rsidP="00E00CB8">
      <w:pPr>
        <w:pStyle w:val="NormalWeb"/>
        <w:numPr>
          <w:ilvl w:val="2"/>
          <w:numId w:val="7"/>
        </w:numPr>
        <w:tabs>
          <w:tab w:val="left" w:pos="851"/>
        </w:tabs>
        <w:spacing w:before="0" w:beforeAutospacing="0" w:after="0" w:afterAutospacing="0" w:line="276" w:lineRule="auto"/>
        <w:ind w:left="709"/>
        <w:jc w:val="both"/>
        <w:rPr>
          <w:lang w:val="lt-LT"/>
        </w:rPr>
      </w:pPr>
      <w:r w:rsidRPr="004A7AEA">
        <w:rPr>
          <w:lang w:val="lt-LT"/>
        </w:rPr>
        <w:t>1,6 (vienas ir šešios dešimtosios), kai Faktoringo sandorio finansavimo laikotarpis yra ilgesnis nei 6 mėnesiai, bet trumpesnis arba lygus 12 mėnesių.</w:t>
      </w:r>
    </w:p>
    <w:p w14:paraId="7AC8D16A" w14:textId="4BDA7785" w:rsidR="002C3211" w:rsidRPr="004A7AEA" w:rsidRDefault="00974E1C" w:rsidP="009B0EE1">
      <w:pPr>
        <w:pStyle w:val="NormalWeb"/>
        <w:numPr>
          <w:ilvl w:val="1"/>
          <w:numId w:val="7"/>
        </w:numPr>
        <w:tabs>
          <w:tab w:val="left" w:pos="567"/>
        </w:tabs>
        <w:spacing w:before="0" w:beforeAutospacing="0" w:after="0" w:afterAutospacing="0" w:line="276" w:lineRule="auto"/>
        <w:ind w:left="-709" w:firstLine="709"/>
        <w:jc w:val="both"/>
        <w:rPr>
          <w:lang w:val="lt-LT"/>
        </w:rPr>
      </w:pPr>
      <w:r w:rsidRPr="004A7AEA">
        <w:rPr>
          <w:lang w:val="lt-LT"/>
        </w:rPr>
        <w:t xml:space="preserve">Tuo atveju, </w:t>
      </w:r>
      <w:r w:rsidR="006F4DA1" w:rsidRPr="004A7AEA">
        <w:rPr>
          <w:lang w:val="lt-LT"/>
        </w:rPr>
        <w:t>kai</w:t>
      </w:r>
      <w:r w:rsidRPr="004A7AEA">
        <w:rPr>
          <w:lang w:val="lt-LT"/>
        </w:rPr>
        <w:t xml:space="preserve"> </w:t>
      </w:r>
      <w:r w:rsidR="002D00B5" w:rsidRPr="004A7AEA">
        <w:rPr>
          <w:lang w:val="lt-LT"/>
        </w:rPr>
        <w:t>pratęsiami Maksimalū</w:t>
      </w:r>
      <w:r w:rsidR="0039600B" w:rsidRPr="004A7AEA">
        <w:rPr>
          <w:lang w:val="lt-LT"/>
        </w:rPr>
        <w:t>s mokėj</w:t>
      </w:r>
      <w:r w:rsidR="002D00B5" w:rsidRPr="004A7AEA">
        <w:rPr>
          <w:lang w:val="lt-LT"/>
        </w:rPr>
        <w:t>imo atidėjimo pirkėjams terminai</w:t>
      </w:r>
      <w:r w:rsidR="0039600B" w:rsidRPr="004A7AEA">
        <w:rPr>
          <w:lang w:val="lt-LT"/>
        </w:rPr>
        <w:t xml:space="preserve"> </w:t>
      </w:r>
      <w:r w:rsidR="006F4DA1" w:rsidRPr="004A7AEA">
        <w:rPr>
          <w:lang w:val="lt-LT"/>
        </w:rPr>
        <w:t>ir</w:t>
      </w:r>
      <w:r w:rsidR="0000083D" w:rsidRPr="004A7AEA">
        <w:rPr>
          <w:lang w:val="lt-LT"/>
        </w:rPr>
        <w:t xml:space="preserve"> (</w:t>
      </w:r>
      <w:r w:rsidRPr="004A7AEA">
        <w:rPr>
          <w:lang w:val="lt-LT"/>
        </w:rPr>
        <w:t>ar</w:t>
      </w:r>
      <w:r w:rsidR="0000083D" w:rsidRPr="004A7AEA">
        <w:rPr>
          <w:lang w:val="lt-LT"/>
        </w:rPr>
        <w:t>)</w:t>
      </w:r>
      <w:r w:rsidRPr="004A7AEA">
        <w:rPr>
          <w:lang w:val="lt-LT"/>
        </w:rPr>
        <w:t xml:space="preserve"> didinama</w:t>
      </w:r>
      <w:r w:rsidR="0039600B" w:rsidRPr="004A7AEA">
        <w:rPr>
          <w:lang w:val="lt-LT"/>
        </w:rPr>
        <w:t>s</w:t>
      </w:r>
      <w:r w:rsidRPr="004A7AEA">
        <w:rPr>
          <w:lang w:val="lt-LT"/>
        </w:rPr>
        <w:t xml:space="preserve"> </w:t>
      </w:r>
      <w:r w:rsidR="00F21757" w:rsidRPr="004A7AEA">
        <w:rPr>
          <w:lang w:val="lt-LT"/>
        </w:rPr>
        <w:t xml:space="preserve">Faktoringo </w:t>
      </w:r>
      <w:r w:rsidR="00A36D4E" w:rsidRPr="004A7AEA">
        <w:rPr>
          <w:lang w:val="lt-LT"/>
        </w:rPr>
        <w:t>limitas</w:t>
      </w:r>
      <w:r w:rsidR="00E00CB8" w:rsidRPr="004A7AEA">
        <w:rPr>
          <w:lang w:val="lt-LT"/>
        </w:rPr>
        <w:t xml:space="preserve"> ir (ar) ilginamas Faktoringo sandorio finansavimo laikotarpis</w:t>
      </w:r>
      <w:r w:rsidRPr="004A7AEA">
        <w:rPr>
          <w:lang w:val="lt-LT"/>
        </w:rPr>
        <w:t xml:space="preserve">, </w:t>
      </w:r>
      <w:r w:rsidR="006F4DA1" w:rsidRPr="004A7AEA">
        <w:rPr>
          <w:lang w:val="lt-LT"/>
        </w:rPr>
        <w:t>sumokamas papildomas G</w:t>
      </w:r>
      <w:r w:rsidRPr="004A7AEA">
        <w:rPr>
          <w:lang w:val="lt-LT"/>
        </w:rPr>
        <w:t>arantijos mokes</w:t>
      </w:r>
      <w:r w:rsidR="006F4DA1" w:rsidRPr="004A7AEA">
        <w:rPr>
          <w:lang w:val="lt-LT"/>
        </w:rPr>
        <w:t>tis</w:t>
      </w:r>
      <w:r w:rsidR="00776F88" w:rsidRPr="004A7AEA">
        <w:rPr>
          <w:lang w:val="lt-LT"/>
        </w:rPr>
        <w:t>,</w:t>
      </w:r>
      <w:r w:rsidR="00515A93" w:rsidRPr="004A7AEA">
        <w:rPr>
          <w:lang w:val="lt-LT"/>
        </w:rPr>
        <w:t xml:space="preserve"> </w:t>
      </w:r>
      <w:r w:rsidR="00EA5F33" w:rsidRPr="004A7AEA">
        <w:rPr>
          <w:lang w:val="lt-LT"/>
        </w:rPr>
        <w:t xml:space="preserve">naudojant </w:t>
      </w:r>
      <w:r w:rsidR="00776F88" w:rsidRPr="004A7AEA">
        <w:rPr>
          <w:lang w:val="lt-LT"/>
        </w:rPr>
        <w:t xml:space="preserve">Sutarties </w:t>
      </w:r>
      <w:r w:rsidR="00515A93" w:rsidRPr="004A7AEA">
        <w:rPr>
          <w:lang w:val="lt-LT"/>
        </w:rPr>
        <w:t>6.4</w:t>
      </w:r>
      <w:r w:rsidR="006449C8" w:rsidRPr="004A7AEA">
        <w:rPr>
          <w:lang w:val="lt-LT"/>
        </w:rPr>
        <w:t> </w:t>
      </w:r>
      <w:r w:rsidR="00776F88" w:rsidRPr="004A7AEA">
        <w:rPr>
          <w:lang w:val="lt-LT"/>
        </w:rPr>
        <w:t xml:space="preserve"> punkte</w:t>
      </w:r>
      <w:r w:rsidR="00515A93" w:rsidRPr="004A7AEA">
        <w:rPr>
          <w:lang w:val="lt-LT"/>
        </w:rPr>
        <w:t xml:space="preserve"> nurodytą formulę</w:t>
      </w:r>
      <w:r w:rsidRPr="004A7AEA">
        <w:rPr>
          <w:lang w:val="lt-LT"/>
        </w:rPr>
        <w:t>, kuri</w:t>
      </w:r>
      <w:r w:rsidR="006F4DA1" w:rsidRPr="004A7AEA">
        <w:rPr>
          <w:lang w:val="lt-LT"/>
        </w:rPr>
        <w:t>s</w:t>
      </w:r>
      <w:r w:rsidRPr="004A7AEA">
        <w:rPr>
          <w:lang w:val="lt-LT"/>
        </w:rPr>
        <w:t xml:space="preserve"> </w:t>
      </w:r>
      <w:r w:rsidR="006F4DA1" w:rsidRPr="004A7AEA">
        <w:rPr>
          <w:lang w:val="lt-LT"/>
        </w:rPr>
        <w:t>pa</w:t>
      </w:r>
      <w:r w:rsidRPr="004A7AEA">
        <w:rPr>
          <w:lang w:val="lt-LT"/>
        </w:rPr>
        <w:t>skaičiuojama</w:t>
      </w:r>
      <w:r w:rsidR="006F4DA1" w:rsidRPr="004A7AEA">
        <w:rPr>
          <w:lang w:val="lt-LT"/>
        </w:rPr>
        <w:t>s</w:t>
      </w:r>
      <w:r w:rsidRPr="004A7AEA">
        <w:rPr>
          <w:lang w:val="lt-LT"/>
        </w:rPr>
        <w:t xml:space="preserve"> taip:</w:t>
      </w:r>
    </w:p>
    <w:p w14:paraId="73F119BD" w14:textId="1CAC24AC" w:rsidR="0086681E" w:rsidRPr="004A7AEA" w:rsidRDefault="00776F88" w:rsidP="009B0EE1">
      <w:pPr>
        <w:pStyle w:val="NormalWeb"/>
        <w:numPr>
          <w:ilvl w:val="2"/>
          <w:numId w:val="7"/>
        </w:numPr>
        <w:tabs>
          <w:tab w:val="left" w:pos="851"/>
        </w:tabs>
        <w:spacing w:before="0" w:beforeAutospacing="0" w:after="0" w:afterAutospacing="0" w:line="276" w:lineRule="auto"/>
        <w:ind w:left="-709" w:firstLine="709"/>
        <w:jc w:val="both"/>
        <w:rPr>
          <w:lang w:val="lt-LT"/>
        </w:rPr>
      </w:pPr>
      <w:r w:rsidRPr="004A7AEA">
        <w:rPr>
          <w:lang w:val="lt-LT"/>
        </w:rPr>
        <w:t>j</w:t>
      </w:r>
      <w:r w:rsidR="0086681E" w:rsidRPr="004A7AEA">
        <w:rPr>
          <w:lang w:val="lt-LT"/>
        </w:rPr>
        <w:t xml:space="preserve">ei didinama </w:t>
      </w:r>
      <w:r w:rsidR="00F21757" w:rsidRPr="004A7AEA">
        <w:rPr>
          <w:lang w:val="lt-LT"/>
        </w:rPr>
        <w:t>Faktoringo sandorio</w:t>
      </w:r>
      <w:r w:rsidR="0086681E" w:rsidRPr="004A7AEA">
        <w:rPr>
          <w:lang w:val="lt-LT"/>
        </w:rPr>
        <w:t xml:space="preserve"> </w:t>
      </w:r>
      <w:r w:rsidR="0039600B" w:rsidRPr="004A7AEA">
        <w:rPr>
          <w:lang w:val="lt-LT"/>
        </w:rPr>
        <w:t xml:space="preserve">limito </w:t>
      </w:r>
      <w:r w:rsidR="0086681E" w:rsidRPr="004A7AEA">
        <w:rPr>
          <w:lang w:val="lt-LT"/>
        </w:rPr>
        <w:t>suma</w:t>
      </w:r>
      <w:r w:rsidR="00BC42B8" w:rsidRPr="004A7AEA">
        <w:rPr>
          <w:lang w:val="lt-LT"/>
        </w:rPr>
        <w:t xml:space="preserve"> (o Maksimalūs mokėjimo atidėjimo pirkėjams terminai ir Faktoringo sandorio finansavimo laikotarpis nesikeičia)</w:t>
      </w:r>
      <w:r w:rsidR="0086681E" w:rsidRPr="004A7AEA">
        <w:rPr>
          <w:lang w:val="lt-LT"/>
        </w:rPr>
        <w:t xml:space="preserve">, </w:t>
      </w:r>
      <w:r w:rsidR="000A5337" w:rsidRPr="004A7AEA">
        <w:rPr>
          <w:lang w:val="lt-LT"/>
        </w:rPr>
        <w:t xml:space="preserve">papildomas </w:t>
      </w:r>
      <w:r w:rsidR="00E90C7E" w:rsidRPr="004A7AEA">
        <w:rPr>
          <w:lang w:val="lt-LT"/>
        </w:rPr>
        <w:t>G</w:t>
      </w:r>
      <w:r w:rsidR="0086681E" w:rsidRPr="004A7AEA">
        <w:rPr>
          <w:lang w:val="lt-LT"/>
        </w:rPr>
        <w:t xml:space="preserve">arantijos mokestis </w:t>
      </w:r>
      <w:r w:rsidR="000A5337" w:rsidRPr="004A7AEA">
        <w:rPr>
          <w:lang w:val="lt-LT"/>
        </w:rPr>
        <w:t>su</w:t>
      </w:r>
      <w:r w:rsidR="0086681E" w:rsidRPr="004A7AEA">
        <w:rPr>
          <w:lang w:val="lt-LT"/>
        </w:rPr>
        <w:t>mokamas nuo tos sumos, kuria didinama</w:t>
      </w:r>
      <w:r w:rsidR="0039600B" w:rsidRPr="004A7AEA">
        <w:rPr>
          <w:lang w:val="lt-LT"/>
        </w:rPr>
        <w:t>s</w:t>
      </w:r>
      <w:r w:rsidR="0086681E" w:rsidRPr="004A7AEA">
        <w:rPr>
          <w:lang w:val="lt-LT"/>
        </w:rPr>
        <w:t xml:space="preserve"> </w:t>
      </w:r>
      <w:r w:rsidR="00BE1664" w:rsidRPr="004A7AEA">
        <w:rPr>
          <w:lang w:val="lt-LT"/>
        </w:rPr>
        <w:t>Faktoringo sandori</w:t>
      </w:r>
      <w:r w:rsidR="0039600B" w:rsidRPr="004A7AEA">
        <w:rPr>
          <w:lang w:val="lt-LT"/>
        </w:rPr>
        <w:t>o limitas</w:t>
      </w:r>
      <w:r w:rsidR="000A5337" w:rsidRPr="004A7AEA">
        <w:rPr>
          <w:lang w:val="lt-LT"/>
        </w:rPr>
        <w:t>. Papildomo Garantijos mokesčio suma skaičiuojama</w:t>
      </w:r>
      <w:r w:rsidR="008B22E1" w:rsidRPr="004A7AEA">
        <w:rPr>
          <w:lang w:val="lt-LT"/>
        </w:rPr>
        <w:t xml:space="preserve"> taikant </w:t>
      </w:r>
      <w:r w:rsidR="000A5337" w:rsidRPr="004A7AEA">
        <w:rPr>
          <w:lang w:val="lt-LT"/>
        </w:rPr>
        <w:t>tokį patį</w:t>
      </w:r>
      <w:r w:rsidR="008B22E1" w:rsidRPr="004A7AEA">
        <w:rPr>
          <w:lang w:val="lt-LT"/>
        </w:rPr>
        <w:t xml:space="preserve"> Garantijos mokesčio procentinį dydį ir </w:t>
      </w:r>
      <w:r w:rsidR="000A5337" w:rsidRPr="004A7AEA">
        <w:rPr>
          <w:lang w:val="lt-LT"/>
        </w:rPr>
        <w:t>tokį patį</w:t>
      </w:r>
      <w:r w:rsidR="008B22E1" w:rsidRPr="004A7AEA">
        <w:rPr>
          <w:lang w:val="lt-LT"/>
        </w:rPr>
        <w:t xml:space="preserve"> Faktoringo sandorio finansavimo laikotarpio koeficientą</w:t>
      </w:r>
      <w:r w:rsidR="000A5337" w:rsidRPr="004A7AEA">
        <w:rPr>
          <w:lang w:val="lt-LT"/>
        </w:rPr>
        <w:t>, kokie buvo taikyti skaičiuojant keičiamo Faktoringo sandorio Garantijos mokestį;</w:t>
      </w:r>
    </w:p>
    <w:p w14:paraId="28FE4C25" w14:textId="3609A6AA" w:rsidR="0086681E" w:rsidRPr="004A7AEA" w:rsidRDefault="00776F88" w:rsidP="009B0EE1">
      <w:pPr>
        <w:pStyle w:val="NormalWeb"/>
        <w:numPr>
          <w:ilvl w:val="2"/>
          <w:numId w:val="7"/>
        </w:numPr>
        <w:tabs>
          <w:tab w:val="left" w:pos="851"/>
        </w:tabs>
        <w:spacing w:before="0" w:beforeAutospacing="0" w:after="0" w:afterAutospacing="0" w:line="276" w:lineRule="auto"/>
        <w:ind w:left="-709" w:firstLine="709"/>
        <w:jc w:val="both"/>
        <w:rPr>
          <w:lang w:val="lt-LT"/>
        </w:rPr>
      </w:pPr>
      <w:r w:rsidRPr="004A7AEA">
        <w:rPr>
          <w:lang w:val="lt-LT"/>
        </w:rPr>
        <w:t>j</w:t>
      </w:r>
      <w:r w:rsidR="0086681E" w:rsidRPr="004A7AEA">
        <w:rPr>
          <w:lang w:val="lt-LT"/>
        </w:rPr>
        <w:t>ei pratęsiam</w:t>
      </w:r>
      <w:r w:rsidR="00FE2A2F" w:rsidRPr="004A7AEA">
        <w:rPr>
          <w:lang w:val="lt-LT"/>
        </w:rPr>
        <w:t>i</w:t>
      </w:r>
      <w:r w:rsidR="0086681E" w:rsidRPr="004A7AEA">
        <w:rPr>
          <w:lang w:val="lt-LT"/>
        </w:rPr>
        <w:t xml:space="preserve"> </w:t>
      </w:r>
      <w:r w:rsidR="00FE2A2F" w:rsidRPr="004A7AEA">
        <w:rPr>
          <w:lang w:val="lt-LT"/>
        </w:rPr>
        <w:t>Maksimalū</w:t>
      </w:r>
      <w:r w:rsidR="002D00B5" w:rsidRPr="004A7AEA">
        <w:rPr>
          <w:lang w:val="lt-LT"/>
        </w:rPr>
        <w:t>s mokėjimo atidėjimo pirkėjams termina</w:t>
      </w:r>
      <w:r w:rsidR="00FE2A2F" w:rsidRPr="004A7AEA">
        <w:rPr>
          <w:lang w:val="lt-LT"/>
        </w:rPr>
        <w:t>i</w:t>
      </w:r>
      <w:r w:rsidR="00551108" w:rsidRPr="004A7AEA">
        <w:rPr>
          <w:lang w:val="lt-LT"/>
        </w:rPr>
        <w:t xml:space="preserve"> (o Faktoringo sandorio limito suma ir Faktoringo sandorio finansavimo laikotarpis nesikeičia)</w:t>
      </w:r>
      <w:r w:rsidR="0086681E" w:rsidRPr="004A7AEA">
        <w:rPr>
          <w:lang w:val="lt-LT"/>
        </w:rPr>
        <w:t>:</w:t>
      </w:r>
    </w:p>
    <w:p w14:paraId="397B0FBC" w14:textId="74382B5D" w:rsidR="006449C8" w:rsidRPr="004A7AEA" w:rsidRDefault="006449C8" w:rsidP="009B0EE1">
      <w:pPr>
        <w:pStyle w:val="NormalWeb"/>
        <w:numPr>
          <w:ilvl w:val="3"/>
          <w:numId w:val="21"/>
        </w:numPr>
        <w:tabs>
          <w:tab w:val="left" w:pos="851"/>
        </w:tabs>
        <w:spacing w:before="0" w:beforeAutospacing="0" w:after="0" w:afterAutospacing="0" w:line="276" w:lineRule="auto"/>
        <w:ind w:left="-709" w:firstLine="709"/>
        <w:jc w:val="both"/>
        <w:rPr>
          <w:lang w:val="lt-LT"/>
        </w:rPr>
      </w:pPr>
      <w:r w:rsidRPr="004A7AEA">
        <w:rPr>
          <w:lang w:val="lt-LT"/>
        </w:rPr>
        <w:t>kai po Maksimalių mokėjimo atidėjimo pirkėjams terminų</w:t>
      </w:r>
      <w:r w:rsidRPr="004A7AEA" w:rsidDel="00E960ED">
        <w:rPr>
          <w:lang w:val="lt-LT"/>
        </w:rPr>
        <w:t xml:space="preserve"> </w:t>
      </w:r>
      <w:r w:rsidRPr="004A7AEA">
        <w:rPr>
          <w:lang w:val="lt-LT"/>
        </w:rPr>
        <w:t>pratęsimo Maksimalūs mokėjimo atidėjimo visiems pirkėjams terminai</w:t>
      </w:r>
      <w:r w:rsidRPr="004A7AEA" w:rsidDel="00E960ED">
        <w:rPr>
          <w:lang w:val="lt-LT"/>
        </w:rPr>
        <w:t xml:space="preserve"> </w:t>
      </w:r>
      <w:r w:rsidRPr="004A7AEA">
        <w:rPr>
          <w:lang w:val="lt-LT"/>
        </w:rPr>
        <w:t>liko ne ilgesni kaip 90 kalendorinių dienų, PGF</w:t>
      </w:r>
      <w:r w:rsidR="00EF7E5C" w:rsidRPr="004A7AEA">
        <w:rPr>
          <w:lang w:val="lt-LT"/>
        </w:rPr>
        <w:t>2</w:t>
      </w:r>
      <w:r w:rsidRPr="004A7AEA">
        <w:rPr>
          <w:lang w:val="lt-LT"/>
        </w:rPr>
        <w:t>  priemonės valdytojas papildomo Garantijos mokesčio nemoka;</w:t>
      </w:r>
    </w:p>
    <w:p w14:paraId="186AB9F2" w14:textId="7E30DA31" w:rsidR="009D3653" w:rsidRPr="004A7AEA" w:rsidRDefault="00900780" w:rsidP="009B0EE1">
      <w:pPr>
        <w:pStyle w:val="NormalWeb"/>
        <w:numPr>
          <w:ilvl w:val="3"/>
          <w:numId w:val="21"/>
        </w:numPr>
        <w:tabs>
          <w:tab w:val="left" w:pos="851"/>
        </w:tabs>
        <w:spacing w:before="0" w:beforeAutospacing="0" w:after="0" w:afterAutospacing="0" w:line="276" w:lineRule="auto"/>
        <w:ind w:left="-709" w:firstLine="709"/>
        <w:jc w:val="both"/>
        <w:rPr>
          <w:lang w:val="lt-LT"/>
        </w:rPr>
      </w:pPr>
      <w:r w:rsidRPr="004A7AEA">
        <w:rPr>
          <w:lang w:val="lt-LT"/>
        </w:rPr>
        <w:t>kai iki pratęsimo pradin</w:t>
      </w:r>
      <w:r w:rsidR="00FE2A2F" w:rsidRPr="004A7AEA">
        <w:rPr>
          <w:lang w:val="lt-LT"/>
        </w:rPr>
        <w:t>iai</w:t>
      </w:r>
      <w:r w:rsidRPr="004A7AEA">
        <w:rPr>
          <w:lang w:val="lt-LT"/>
        </w:rPr>
        <w:t xml:space="preserve"> </w:t>
      </w:r>
      <w:r w:rsidR="00FE2A2F" w:rsidRPr="004A7AEA">
        <w:rPr>
          <w:lang w:val="lt-LT"/>
        </w:rPr>
        <w:t>Maksimalū</w:t>
      </w:r>
      <w:r w:rsidR="002D00B5" w:rsidRPr="004A7AEA">
        <w:rPr>
          <w:lang w:val="lt-LT"/>
        </w:rPr>
        <w:t>s mokėjimo atidėjimo</w:t>
      </w:r>
      <w:r w:rsidR="007050F2" w:rsidRPr="004A7AEA">
        <w:rPr>
          <w:lang w:val="lt-LT"/>
        </w:rPr>
        <w:t xml:space="preserve"> visiems</w:t>
      </w:r>
      <w:r w:rsidR="002D00B5" w:rsidRPr="004A7AEA">
        <w:rPr>
          <w:lang w:val="lt-LT"/>
        </w:rPr>
        <w:t xml:space="preserve"> pirkėjams termina</w:t>
      </w:r>
      <w:r w:rsidR="00FE2A2F" w:rsidRPr="004A7AEA">
        <w:rPr>
          <w:lang w:val="lt-LT"/>
        </w:rPr>
        <w:t>i</w:t>
      </w:r>
      <w:r w:rsidR="002D00B5" w:rsidRPr="004A7AEA" w:rsidDel="002D00B5">
        <w:rPr>
          <w:lang w:val="lt-LT"/>
        </w:rPr>
        <w:t xml:space="preserve"> </w:t>
      </w:r>
      <w:r w:rsidRPr="004A7AEA">
        <w:rPr>
          <w:lang w:val="lt-LT"/>
        </w:rPr>
        <w:t xml:space="preserve">buvo </w:t>
      </w:r>
      <w:r w:rsidR="00FE2A2F" w:rsidRPr="004A7AEA">
        <w:rPr>
          <w:lang w:val="lt-LT"/>
        </w:rPr>
        <w:t>ne ilgesni kaip 90 kalendorinių dienų,</w:t>
      </w:r>
      <w:r w:rsidRPr="004A7AEA">
        <w:rPr>
          <w:lang w:val="lt-LT"/>
        </w:rPr>
        <w:t xml:space="preserve"> o po pratęsimo </w:t>
      </w:r>
      <w:r w:rsidR="00FE2A2F" w:rsidRPr="004A7AEA">
        <w:rPr>
          <w:lang w:val="lt-LT"/>
        </w:rPr>
        <w:t>Maksimalūs mokėjimo atidėjimo pirkėjams</w:t>
      </w:r>
      <w:r w:rsidR="007050F2" w:rsidRPr="004A7AEA">
        <w:rPr>
          <w:lang w:val="lt-LT"/>
        </w:rPr>
        <w:t xml:space="preserve"> (arba bent vienam iš jų)</w:t>
      </w:r>
      <w:r w:rsidR="00FE2A2F" w:rsidRPr="004A7AEA">
        <w:rPr>
          <w:lang w:val="lt-LT"/>
        </w:rPr>
        <w:t xml:space="preserve"> terminai</w:t>
      </w:r>
      <w:r w:rsidR="00FE2A2F" w:rsidRPr="004A7AEA" w:rsidDel="002D00B5">
        <w:rPr>
          <w:lang w:val="lt-LT"/>
        </w:rPr>
        <w:t xml:space="preserve"> </w:t>
      </w:r>
      <w:r w:rsidRPr="004A7AEA">
        <w:rPr>
          <w:lang w:val="lt-LT"/>
        </w:rPr>
        <w:t xml:space="preserve">tapo </w:t>
      </w:r>
      <w:r w:rsidR="00FE2A2F" w:rsidRPr="004A7AEA">
        <w:rPr>
          <w:lang w:val="lt-LT"/>
        </w:rPr>
        <w:t>ne trumpesni kaip 90 kalendorinių dienų ir ne ilgesni kaip 180 kalendorinių dienų</w:t>
      </w:r>
      <w:r w:rsidRPr="004A7AEA">
        <w:rPr>
          <w:lang w:val="lt-LT"/>
        </w:rPr>
        <w:t xml:space="preserve">, </w:t>
      </w:r>
      <w:r w:rsidR="000A5337" w:rsidRPr="004A7AEA">
        <w:rPr>
          <w:lang w:val="lt-LT"/>
        </w:rPr>
        <w:t xml:space="preserve">skaičiuojant papildomą Garantijos mokestį </w:t>
      </w:r>
      <w:r w:rsidR="00633755" w:rsidRPr="004A7AEA">
        <w:rPr>
          <w:lang w:val="lt-LT"/>
        </w:rPr>
        <w:t>taikomas</w:t>
      </w:r>
      <w:r w:rsidRPr="004A7AEA">
        <w:rPr>
          <w:lang w:val="lt-LT"/>
        </w:rPr>
        <w:t xml:space="preserve"> 0,5</w:t>
      </w:r>
      <w:r w:rsidR="0076309B" w:rsidRPr="004A7AEA">
        <w:rPr>
          <w:lang w:val="lt-LT"/>
        </w:rPr>
        <w:t> </w:t>
      </w:r>
      <w:r w:rsidR="00776F88" w:rsidRPr="004A7AEA">
        <w:rPr>
          <w:lang w:val="lt-LT"/>
        </w:rPr>
        <w:t xml:space="preserve">(penkių dešimtųjų) </w:t>
      </w:r>
      <w:r w:rsidRPr="004A7AEA">
        <w:rPr>
          <w:lang w:val="lt-LT"/>
        </w:rPr>
        <w:t xml:space="preserve">proc. Garantijos mokesčio </w:t>
      </w:r>
      <w:r w:rsidR="00515A93" w:rsidRPr="004A7AEA">
        <w:rPr>
          <w:lang w:val="lt-LT"/>
        </w:rPr>
        <w:t>procentin</w:t>
      </w:r>
      <w:r w:rsidR="00C36503" w:rsidRPr="004A7AEA">
        <w:rPr>
          <w:lang w:val="lt-LT"/>
        </w:rPr>
        <w:t>is</w:t>
      </w:r>
      <w:r w:rsidR="00515A93" w:rsidRPr="004A7AEA">
        <w:rPr>
          <w:lang w:val="lt-LT"/>
        </w:rPr>
        <w:t xml:space="preserve"> </w:t>
      </w:r>
      <w:r w:rsidRPr="004A7AEA">
        <w:rPr>
          <w:lang w:val="lt-LT"/>
        </w:rPr>
        <w:t>dyd</w:t>
      </w:r>
      <w:r w:rsidR="00633755" w:rsidRPr="004A7AEA">
        <w:rPr>
          <w:lang w:val="lt-LT"/>
        </w:rPr>
        <w:t>is</w:t>
      </w:r>
      <w:r w:rsidR="000A5337" w:rsidRPr="004A7AEA">
        <w:rPr>
          <w:lang w:val="lt-LT"/>
        </w:rPr>
        <w:t xml:space="preserve"> ir toks pat Faktoringo sandorio finansavimo laikotarpio koeficientas, koks buvo taikytas skaičiuojant keičiamo Faktoringo sandorio Garantijos mokestį</w:t>
      </w:r>
      <w:r w:rsidRPr="004A7AEA">
        <w:rPr>
          <w:lang w:val="lt-LT"/>
        </w:rPr>
        <w:t>, paskaičiuot</w:t>
      </w:r>
      <w:r w:rsidR="005B4F92" w:rsidRPr="004A7AEA">
        <w:rPr>
          <w:lang w:val="lt-LT"/>
        </w:rPr>
        <w:t>i</w:t>
      </w:r>
      <w:r w:rsidRPr="004A7AEA">
        <w:rPr>
          <w:lang w:val="lt-LT"/>
        </w:rPr>
        <w:t xml:space="preserve"> nuo visos </w:t>
      </w:r>
      <w:r w:rsidR="00F21757" w:rsidRPr="004A7AEA">
        <w:rPr>
          <w:lang w:val="lt-LT"/>
        </w:rPr>
        <w:t>Faktoringo sandorio</w:t>
      </w:r>
      <w:r w:rsidR="00FE2A2F" w:rsidRPr="004A7AEA">
        <w:rPr>
          <w:lang w:val="lt-LT"/>
        </w:rPr>
        <w:t xml:space="preserve"> limito</w:t>
      </w:r>
      <w:r w:rsidRPr="004A7AEA">
        <w:rPr>
          <w:lang w:val="lt-LT"/>
        </w:rPr>
        <w:t xml:space="preserve"> sumos;</w:t>
      </w:r>
    </w:p>
    <w:p w14:paraId="17F5BF6E" w14:textId="1C81372F" w:rsidR="009D3653" w:rsidRPr="004A7AEA" w:rsidRDefault="00FE2A2F" w:rsidP="009B0EE1">
      <w:pPr>
        <w:pStyle w:val="NormalWeb"/>
        <w:numPr>
          <w:ilvl w:val="3"/>
          <w:numId w:val="21"/>
        </w:numPr>
        <w:tabs>
          <w:tab w:val="left" w:pos="851"/>
        </w:tabs>
        <w:spacing w:before="0" w:beforeAutospacing="0" w:after="0" w:afterAutospacing="0" w:line="276" w:lineRule="auto"/>
        <w:ind w:left="-709" w:firstLine="709"/>
        <w:jc w:val="both"/>
        <w:rPr>
          <w:lang w:val="lt-LT"/>
        </w:rPr>
      </w:pPr>
      <w:r w:rsidRPr="004A7AEA">
        <w:rPr>
          <w:lang w:val="lt-LT"/>
        </w:rPr>
        <w:t>kai iki pratęsimo pradiniai Maksimalūs mokėjimo atidėjimo pirkėjams</w:t>
      </w:r>
      <w:r w:rsidR="007050F2" w:rsidRPr="004A7AEA">
        <w:rPr>
          <w:lang w:val="lt-LT"/>
        </w:rPr>
        <w:t xml:space="preserve"> (arba bent vienam iš jų)</w:t>
      </w:r>
      <w:r w:rsidRPr="004A7AEA">
        <w:rPr>
          <w:lang w:val="lt-LT"/>
        </w:rPr>
        <w:t xml:space="preserve"> terminai</w:t>
      </w:r>
      <w:r w:rsidRPr="004A7AEA" w:rsidDel="002D00B5">
        <w:rPr>
          <w:lang w:val="lt-LT"/>
        </w:rPr>
        <w:t xml:space="preserve"> </w:t>
      </w:r>
      <w:r w:rsidRPr="004A7AEA">
        <w:rPr>
          <w:lang w:val="lt-LT"/>
        </w:rPr>
        <w:t>buvo ne trumpesni kaip 90 kalendorinių dienų ir ne ilgesni kaip 180 kalendorinių dienų,</w:t>
      </w:r>
      <w:r w:rsidR="00900780" w:rsidRPr="004A7AEA">
        <w:rPr>
          <w:lang w:val="lt-LT"/>
        </w:rPr>
        <w:t xml:space="preserve"> </w:t>
      </w:r>
      <w:r w:rsidR="00C51F33" w:rsidRPr="004A7AEA">
        <w:rPr>
          <w:lang w:val="lt-LT"/>
        </w:rPr>
        <w:t>PGF</w:t>
      </w:r>
      <w:r w:rsidR="00EF7E5C" w:rsidRPr="004A7AEA">
        <w:rPr>
          <w:lang w:val="lt-LT"/>
        </w:rPr>
        <w:t>2</w:t>
      </w:r>
      <w:r w:rsidR="00900780" w:rsidRPr="004A7AEA">
        <w:rPr>
          <w:lang w:val="lt-LT"/>
        </w:rPr>
        <w:t xml:space="preserve"> priemonės valdytojas papildomo Garantijos mokesčio nemoka;</w:t>
      </w:r>
    </w:p>
    <w:p w14:paraId="5776A09B" w14:textId="7258DEB2" w:rsidR="002B71FA" w:rsidRPr="004A7AEA" w:rsidRDefault="002B71FA" w:rsidP="005B4F92">
      <w:pPr>
        <w:pStyle w:val="NormalWeb"/>
        <w:numPr>
          <w:ilvl w:val="2"/>
          <w:numId w:val="21"/>
        </w:numPr>
        <w:tabs>
          <w:tab w:val="left" w:pos="851"/>
        </w:tabs>
        <w:spacing w:before="0" w:beforeAutospacing="0" w:after="0" w:afterAutospacing="0" w:line="276" w:lineRule="auto"/>
        <w:ind w:left="-709" w:firstLine="709"/>
        <w:jc w:val="both"/>
        <w:rPr>
          <w:lang w:val="lt-LT"/>
        </w:rPr>
      </w:pPr>
      <w:r w:rsidRPr="004A7AEA">
        <w:rPr>
          <w:rFonts w:hint="eastAsia"/>
          <w:lang w:val="lt-LT"/>
        </w:rPr>
        <w:t>jei pratęsiamas Faktoringo sandorio finansavimo laikotarpis (o Faktoringo sandorio limito suma ir Maksimalūs mokėjimo atidėjimo pirkėjams terminai nesikeičia):</w:t>
      </w:r>
    </w:p>
    <w:p w14:paraId="5664557D" w14:textId="79A02EE2" w:rsidR="002B71FA" w:rsidRPr="004A7AEA" w:rsidRDefault="00340D9E" w:rsidP="005B4F92">
      <w:pPr>
        <w:pStyle w:val="NormalWeb"/>
        <w:numPr>
          <w:ilvl w:val="3"/>
          <w:numId w:val="21"/>
        </w:numPr>
        <w:tabs>
          <w:tab w:val="left" w:pos="851"/>
        </w:tabs>
        <w:spacing w:before="0" w:beforeAutospacing="0" w:after="0" w:afterAutospacing="0" w:line="276" w:lineRule="auto"/>
        <w:ind w:left="-709" w:firstLine="709"/>
        <w:jc w:val="both"/>
        <w:rPr>
          <w:lang w:val="lt-LT"/>
        </w:rPr>
      </w:pPr>
      <w:r w:rsidRPr="004A7AEA">
        <w:rPr>
          <w:lang w:val="lt-LT"/>
        </w:rPr>
        <w:t xml:space="preserve"> </w:t>
      </w:r>
      <w:r w:rsidR="002B71FA" w:rsidRPr="004A7AEA">
        <w:rPr>
          <w:lang w:val="lt-LT"/>
        </w:rPr>
        <w:t xml:space="preserve">kai po Faktoringo sandorio finansavimo laikotarpio pratęsimo </w:t>
      </w:r>
      <w:r w:rsidRPr="004A7AEA">
        <w:rPr>
          <w:rFonts w:hint="eastAsia"/>
          <w:lang w:val="lt-LT"/>
        </w:rPr>
        <w:t xml:space="preserve">Faktoringo sandorio finansavimo laikotarpis </w:t>
      </w:r>
      <w:r w:rsidRPr="004A7AEA">
        <w:rPr>
          <w:lang w:val="lt-LT"/>
        </w:rPr>
        <w:t>liko</w:t>
      </w:r>
      <w:r w:rsidRPr="004A7AEA">
        <w:rPr>
          <w:rFonts w:hint="eastAsia"/>
          <w:lang w:val="lt-LT"/>
        </w:rPr>
        <w:t xml:space="preserve"> trumpesnis arba lygus 6 mėnesiams</w:t>
      </w:r>
      <w:r w:rsidRPr="004A7AEA">
        <w:rPr>
          <w:lang w:val="lt-LT"/>
        </w:rPr>
        <w:t xml:space="preserve">, </w:t>
      </w:r>
      <w:r w:rsidRPr="004A7AEA">
        <w:rPr>
          <w:rFonts w:hint="eastAsia"/>
          <w:lang w:val="lt-LT"/>
        </w:rPr>
        <w:t>PGF2 priemonės valdytojas papildomo Garantijos mokesčio nemoka</w:t>
      </w:r>
      <w:r w:rsidRPr="004A7AEA">
        <w:rPr>
          <w:lang w:val="lt-LT"/>
        </w:rPr>
        <w:t>;</w:t>
      </w:r>
    </w:p>
    <w:p w14:paraId="3B1E4CCD" w14:textId="6930876B" w:rsidR="00340D9E" w:rsidRPr="004A7AEA" w:rsidRDefault="00340D9E" w:rsidP="00ED7756">
      <w:pPr>
        <w:pStyle w:val="NormalWeb"/>
        <w:numPr>
          <w:ilvl w:val="3"/>
          <w:numId w:val="21"/>
        </w:numPr>
        <w:tabs>
          <w:tab w:val="left" w:pos="851"/>
        </w:tabs>
        <w:spacing w:before="0" w:beforeAutospacing="0" w:after="0" w:afterAutospacing="0" w:line="276" w:lineRule="auto"/>
        <w:ind w:left="-709" w:firstLine="709"/>
        <w:jc w:val="both"/>
        <w:rPr>
          <w:lang w:val="lt-LT"/>
        </w:rPr>
      </w:pPr>
      <w:r w:rsidRPr="004A7AEA">
        <w:rPr>
          <w:lang w:val="lt-LT"/>
        </w:rPr>
        <w:t xml:space="preserve"> </w:t>
      </w:r>
      <w:r w:rsidRPr="004A7AEA">
        <w:rPr>
          <w:rFonts w:hint="eastAsia"/>
          <w:lang w:val="lt-LT"/>
        </w:rPr>
        <w:t xml:space="preserve">kai </w:t>
      </w:r>
      <w:r w:rsidRPr="004A7AEA">
        <w:rPr>
          <w:lang w:val="lt-LT"/>
        </w:rPr>
        <w:t xml:space="preserve">iki </w:t>
      </w:r>
      <w:r w:rsidRPr="004A7AEA">
        <w:rPr>
          <w:rFonts w:hint="eastAsia"/>
          <w:lang w:val="lt-LT"/>
        </w:rPr>
        <w:t>Faktoringo sandorio finansavimo laikotarpio pratęsimo</w:t>
      </w:r>
      <w:r w:rsidRPr="004A7AEA">
        <w:rPr>
          <w:lang w:val="lt-LT"/>
        </w:rPr>
        <w:t>,</w:t>
      </w:r>
      <w:r w:rsidRPr="004A7AEA">
        <w:rPr>
          <w:rFonts w:hint="eastAsia"/>
          <w:lang w:val="lt-LT"/>
        </w:rPr>
        <w:t xml:space="preserve"> </w:t>
      </w:r>
      <w:r w:rsidRPr="004A7AEA">
        <w:rPr>
          <w:lang w:val="lt-LT"/>
        </w:rPr>
        <w:t>Faktoringo sandorio finansavimo laikotarpis</w:t>
      </w:r>
      <w:r w:rsidRPr="004A7AEA">
        <w:rPr>
          <w:rFonts w:hint="eastAsia"/>
          <w:lang w:val="lt-LT"/>
        </w:rPr>
        <w:t xml:space="preserve"> </w:t>
      </w:r>
      <w:r w:rsidRPr="004A7AEA">
        <w:rPr>
          <w:lang w:val="lt-LT"/>
        </w:rPr>
        <w:t xml:space="preserve">buvo </w:t>
      </w:r>
      <w:r w:rsidRPr="004A7AEA">
        <w:rPr>
          <w:rFonts w:hint="eastAsia"/>
          <w:lang w:val="lt-LT"/>
        </w:rPr>
        <w:t>trumpesnis arba lygus 6 mėnesiams</w:t>
      </w:r>
      <w:r w:rsidRPr="004A7AEA">
        <w:rPr>
          <w:lang w:val="lt-LT"/>
        </w:rPr>
        <w:t>, o</w:t>
      </w:r>
      <w:r w:rsidRPr="004A7AEA">
        <w:rPr>
          <w:rFonts w:hint="eastAsia"/>
          <w:lang w:val="lt-LT"/>
        </w:rPr>
        <w:t xml:space="preserve"> po Faktoringo sandorio finansavimo laikotarpio pratęsimo Faktoringo sandorio finansavimo laikotarpis yra</w:t>
      </w:r>
      <w:r w:rsidRPr="004A7AEA">
        <w:rPr>
          <w:lang w:val="lt-LT"/>
        </w:rPr>
        <w:t xml:space="preserve"> </w:t>
      </w:r>
      <w:r w:rsidRPr="004A7AEA">
        <w:rPr>
          <w:rFonts w:hint="eastAsia"/>
          <w:lang w:val="lt-LT"/>
        </w:rPr>
        <w:t>ilgesnis nei 6</w:t>
      </w:r>
      <w:r w:rsidR="0076309B" w:rsidRPr="004A7AEA">
        <w:rPr>
          <w:lang w:val="lt-LT"/>
        </w:rPr>
        <w:t> </w:t>
      </w:r>
      <w:r w:rsidRPr="004A7AEA">
        <w:rPr>
          <w:rFonts w:hint="eastAsia"/>
          <w:lang w:val="lt-LT"/>
        </w:rPr>
        <w:t>mėnesiai, bet trumpesnis arba lygus 12 mėnesių</w:t>
      </w:r>
      <w:r w:rsidRPr="004A7AEA">
        <w:rPr>
          <w:lang w:val="lt-LT"/>
        </w:rPr>
        <w:t xml:space="preserve">, </w:t>
      </w:r>
      <w:r w:rsidR="005B4F92" w:rsidRPr="004A7AEA">
        <w:rPr>
          <w:lang w:val="lt-LT"/>
        </w:rPr>
        <w:t xml:space="preserve">skaičiuojant papildomą Garantijos mokestį </w:t>
      </w:r>
      <w:r w:rsidRPr="004A7AEA">
        <w:rPr>
          <w:lang w:val="lt-LT"/>
        </w:rPr>
        <w:t xml:space="preserve">taikomas </w:t>
      </w:r>
      <w:r w:rsidR="005B4F92" w:rsidRPr="004A7AEA">
        <w:rPr>
          <w:lang w:val="lt-LT"/>
        </w:rPr>
        <w:t xml:space="preserve">toks pat Garantijos mokesčio procentinis dydis, koks buvo taikytas skaičiuojant keičiamo Faktoringo sandorio Garantijos mokestį ir </w:t>
      </w:r>
      <w:r w:rsidRPr="004A7AEA">
        <w:rPr>
          <w:lang w:val="lt-LT"/>
        </w:rPr>
        <w:t xml:space="preserve">0,6 </w:t>
      </w:r>
      <w:r w:rsidR="0076309B" w:rsidRPr="004A7AEA">
        <w:rPr>
          <w:lang w:val="lt-LT"/>
        </w:rPr>
        <w:t>(šešių dešimtųjų)</w:t>
      </w:r>
      <w:r w:rsidR="005B4F92" w:rsidRPr="004A7AEA">
        <w:rPr>
          <w:lang w:val="lt-LT"/>
        </w:rPr>
        <w:t xml:space="preserve"> Faktoringo sandorio finansavimo laikotarpio</w:t>
      </w:r>
      <w:r w:rsidRPr="004A7AEA">
        <w:rPr>
          <w:lang w:val="lt-LT"/>
        </w:rPr>
        <w:t xml:space="preserve"> koeficientas visai</w:t>
      </w:r>
      <w:r w:rsidRPr="004A7AEA">
        <w:rPr>
          <w:rFonts w:hint="eastAsia"/>
          <w:lang w:val="lt-LT"/>
        </w:rPr>
        <w:t xml:space="preserve"> Faktoringo sandorio limito sumai;</w:t>
      </w:r>
    </w:p>
    <w:p w14:paraId="3B075785" w14:textId="31EA057D" w:rsidR="00340D9E" w:rsidRPr="004A7AEA" w:rsidRDefault="00340D9E">
      <w:pPr>
        <w:pStyle w:val="NormalWeb"/>
        <w:numPr>
          <w:ilvl w:val="3"/>
          <w:numId w:val="21"/>
        </w:numPr>
        <w:tabs>
          <w:tab w:val="left" w:pos="851"/>
        </w:tabs>
        <w:spacing w:before="0" w:beforeAutospacing="0" w:after="0" w:afterAutospacing="0" w:line="276" w:lineRule="auto"/>
        <w:ind w:left="-709" w:firstLine="709"/>
        <w:jc w:val="both"/>
        <w:rPr>
          <w:lang w:val="lt-LT"/>
        </w:rPr>
      </w:pPr>
      <w:r w:rsidRPr="004A7AEA">
        <w:rPr>
          <w:lang w:val="lt-LT"/>
        </w:rPr>
        <w:lastRenderedPageBreak/>
        <w:t xml:space="preserve"> </w:t>
      </w:r>
      <w:r w:rsidRPr="004A7AEA">
        <w:rPr>
          <w:rFonts w:hint="eastAsia"/>
          <w:lang w:val="lt-LT"/>
        </w:rPr>
        <w:t>kai iki Faktoringo sandorio finansavimo laikotarpio pratęsimo, Faktoringo sandorio finansavimo laikotarpis buvo ilgesnis nei 6 mėnesiai, bet trumpesnis arba lygus 12 mėnesių</w:t>
      </w:r>
      <w:r w:rsidRPr="004A7AEA">
        <w:rPr>
          <w:lang w:val="lt-LT"/>
        </w:rPr>
        <w:t xml:space="preserve">, </w:t>
      </w:r>
      <w:r w:rsidRPr="004A7AEA">
        <w:rPr>
          <w:rFonts w:hint="eastAsia"/>
          <w:lang w:val="lt-LT"/>
        </w:rPr>
        <w:t>PGF2 priemonės valdytojas papildomo Garantijos mokesčio nemoka</w:t>
      </w:r>
      <w:r w:rsidRPr="004A7AEA">
        <w:rPr>
          <w:lang w:val="lt-LT"/>
        </w:rPr>
        <w:t>.</w:t>
      </w:r>
    </w:p>
    <w:p w14:paraId="2D6F0863" w14:textId="29B0700E" w:rsidR="0086681E" w:rsidRPr="004A7AEA" w:rsidRDefault="00776F88" w:rsidP="009B0EE1">
      <w:pPr>
        <w:pStyle w:val="NormalWeb"/>
        <w:numPr>
          <w:ilvl w:val="2"/>
          <w:numId w:val="7"/>
        </w:numPr>
        <w:tabs>
          <w:tab w:val="left" w:pos="851"/>
        </w:tabs>
        <w:spacing w:before="0" w:beforeAutospacing="0" w:after="0" w:afterAutospacing="0" w:line="276" w:lineRule="auto"/>
        <w:ind w:left="-709" w:firstLine="709"/>
        <w:jc w:val="both"/>
        <w:rPr>
          <w:lang w:val="lt-LT"/>
        </w:rPr>
      </w:pPr>
      <w:r w:rsidRPr="004A7AEA">
        <w:rPr>
          <w:lang w:val="lt-LT"/>
        </w:rPr>
        <w:t>j</w:t>
      </w:r>
      <w:r w:rsidR="0086681E" w:rsidRPr="004A7AEA">
        <w:rPr>
          <w:lang w:val="lt-LT"/>
        </w:rPr>
        <w:t xml:space="preserve">ei yra didinama </w:t>
      </w:r>
      <w:r w:rsidR="00F21757" w:rsidRPr="004A7AEA">
        <w:rPr>
          <w:lang w:val="lt-LT"/>
        </w:rPr>
        <w:t xml:space="preserve">Faktoringo </w:t>
      </w:r>
      <w:r w:rsidR="00FE2A2F" w:rsidRPr="004A7AEA">
        <w:rPr>
          <w:lang w:val="lt-LT"/>
        </w:rPr>
        <w:t>limito</w:t>
      </w:r>
      <w:r w:rsidR="00081CE6" w:rsidRPr="004A7AEA">
        <w:rPr>
          <w:lang w:val="lt-LT"/>
        </w:rPr>
        <w:t xml:space="preserve"> </w:t>
      </w:r>
      <w:r w:rsidR="0086681E" w:rsidRPr="004A7AEA">
        <w:rPr>
          <w:lang w:val="lt-LT"/>
        </w:rPr>
        <w:t>suma</w:t>
      </w:r>
      <w:r w:rsidR="00551108" w:rsidRPr="004A7AEA">
        <w:rPr>
          <w:lang w:val="lt-LT"/>
        </w:rPr>
        <w:t>, ilginamas</w:t>
      </w:r>
      <w:r w:rsidR="00551108" w:rsidRPr="004A7AEA">
        <w:rPr>
          <w:rFonts w:hint="eastAsia"/>
          <w:lang w:val="lt-LT"/>
        </w:rPr>
        <w:t xml:space="preserve"> Faktoringo sandorio finansavimo laikotarpis</w:t>
      </w:r>
      <w:r w:rsidR="0086681E" w:rsidRPr="004A7AEA">
        <w:rPr>
          <w:lang w:val="lt-LT"/>
        </w:rPr>
        <w:t xml:space="preserve"> ir </w:t>
      </w:r>
      <w:r w:rsidR="00FE2A2F" w:rsidRPr="004A7AEA">
        <w:rPr>
          <w:lang w:val="lt-LT"/>
        </w:rPr>
        <w:t>pratęsiami Maksimalūs mokėjimo atidėjimo pirkėjams terminai</w:t>
      </w:r>
      <w:r w:rsidR="0086681E" w:rsidRPr="004A7AEA">
        <w:rPr>
          <w:lang w:val="lt-LT"/>
        </w:rPr>
        <w:t>:</w:t>
      </w:r>
    </w:p>
    <w:p w14:paraId="1B7560E4" w14:textId="2693912F" w:rsidR="00EB201B" w:rsidRPr="004A7AEA" w:rsidRDefault="00900780" w:rsidP="009B0EE1">
      <w:pPr>
        <w:pStyle w:val="NormalWeb"/>
        <w:numPr>
          <w:ilvl w:val="3"/>
          <w:numId w:val="22"/>
        </w:numPr>
        <w:tabs>
          <w:tab w:val="left" w:pos="851"/>
        </w:tabs>
        <w:spacing w:before="0" w:beforeAutospacing="0" w:after="0" w:afterAutospacing="0" w:line="276" w:lineRule="auto"/>
        <w:ind w:left="-709" w:firstLine="709"/>
        <w:jc w:val="both"/>
        <w:rPr>
          <w:lang w:val="lt-LT"/>
        </w:rPr>
      </w:pPr>
      <w:r w:rsidRPr="004A7AEA">
        <w:rPr>
          <w:lang w:val="lt-LT"/>
        </w:rPr>
        <w:t xml:space="preserve">kai </w:t>
      </w:r>
      <w:r w:rsidR="00E960ED" w:rsidRPr="004A7AEA">
        <w:rPr>
          <w:lang w:val="lt-LT"/>
        </w:rPr>
        <w:t xml:space="preserve">Maksimalūs mokėjimo atidėjimo </w:t>
      </w:r>
      <w:r w:rsidR="007050F2" w:rsidRPr="004A7AEA">
        <w:rPr>
          <w:lang w:val="lt-LT"/>
        </w:rPr>
        <w:t xml:space="preserve">visiems </w:t>
      </w:r>
      <w:r w:rsidR="00E960ED" w:rsidRPr="004A7AEA">
        <w:rPr>
          <w:lang w:val="lt-LT"/>
        </w:rPr>
        <w:t xml:space="preserve">pirkėjams terminai </w:t>
      </w:r>
      <w:r w:rsidRPr="004A7AEA">
        <w:rPr>
          <w:lang w:val="lt-LT"/>
        </w:rPr>
        <w:t xml:space="preserve">po </w:t>
      </w:r>
      <w:r w:rsidR="00E960ED" w:rsidRPr="004A7AEA">
        <w:rPr>
          <w:lang w:val="lt-LT"/>
        </w:rPr>
        <w:t xml:space="preserve">Maksimalių mokėjimo atidėjimo pirkėjams terminų </w:t>
      </w:r>
      <w:r w:rsidRPr="004A7AEA">
        <w:rPr>
          <w:lang w:val="lt-LT"/>
        </w:rPr>
        <w:t xml:space="preserve">pratęsimo liko </w:t>
      </w:r>
      <w:r w:rsidR="00E960ED" w:rsidRPr="004A7AEA">
        <w:rPr>
          <w:lang w:val="lt-LT"/>
        </w:rPr>
        <w:t>ne ilgesni kaip 90 kalendorinių dienų</w:t>
      </w:r>
      <w:r w:rsidR="00EB201B" w:rsidRPr="004A7AEA">
        <w:rPr>
          <w:lang w:val="lt-LT"/>
        </w:rPr>
        <w:t xml:space="preserve"> ir Faktoringo sandorio finansavimo laikotarpis po jo pratęsimo yra trumpesnis arba lygus 6 mėnesiams</w:t>
      </w:r>
      <w:r w:rsidRPr="004A7AEA">
        <w:rPr>
          <w:lang w:val="lt-LT"/>
        </w:rPr>
        <w:t xml:space="preserve">, </w:t>
      </w:r>
      <w:r w:rsidR="00F32D58" w:rsidRPr="004A7AEA">
        <w:rPr>
          <w:lang w:val="lt-LT"/>
        </w:rPr>
        <w:t xml:space="preserve">skaičiuojant papildomą Garantijos mokestį </w:t>
      </w:r>
      <w:r w:rsidR="00633755" w:rsidRPr="004A7AEA">
        <w:rPr>
          <w:lang w:val="lt-LT"/>
        </w:rPr>
        <w:t>taikomas</w:t>
      </w:r>
      <w:r w:rsidRPr="004A7AEA">
        <w:rPr>
          <w:lang w:val="lt-LT"/>
        </w:rPr>
        <w:t xml:space="preserve"> 0,5 </w:t>
      </w:r>
      <w:r w:rsidR="00776F88" w:rsidRPr="004A7AEA">
        <w:rPr>
          <w:lang w:val="lt-LT"/>
        </w:rPr>
        <w:t xml:space="preserve">(penkių dešimtųjų) </w:t>
      </w:r>
      <w:r w:rsidRPr="004A7AEA">
        <w:rPr>
          <w:lang w:val="lt-LT"/>
        </w:rPr>
        <w:t xml:space="preserve">proc. Garantijos mokesčio </w:t>
      </w:r>
      <w:r w:rsidR="00BB3AB8" w:rsidRPr="004A7AEA">
        <w:rPr>
          <w:lang w:val="lt-LT"/>
        </w:rPr>
        <w:t>procentin</w:t>
      </w:r>
      <w:r w:rsidR="00633755" w:rsidRPr="004A7AEA">
        <w:rPr>
          <w:lang w:val="lt-LT"/>
        </w:rPr>
        <w:t>is</w:t>
      </w:r>
      <w:r w:rsidR="00BB3AB8" w:rsidRPr="004A7AEA">
        <w:rPr>
          <w:lang w:val="lt-LT"/>
        </w:rPr>
        <w:t xml:space="preserve"> </w:t>
      </w:r>
      <w:r w:rsidRPr="004A7AEA">
        <w:rPr>
          <w:lang w:val="lt-LT"/>
        </w:rPr>
        <w:t>dyd</w:t>
      </w:r>
      <w:r w:rsidR="00633755" w:rsidRPr="004A7AEA">
        <w:rPr>
          <w:lang w:val="lt-LT"/>
        </w:rPr>
        <w:t>is, paskaičiuotas</w:t>
      </w:r>
      <w:r w:rsidRPr="004A7AEA">
        <w:rPr>
          <w:lang w:val="lt-LT"/>
        </w:rPr>
        <w:t xml:space="preserve"> nuo </w:t>
      </w:r>
      <w:r w:rsidR="00511EE5" w:rsidRPr="004A7AEA">
        <w:rPr>
          <w:lang w:val="lt-LT"/>
        </w:rPr>
        <w:t>tos sumos, kuria didinama</w:t>
      </w:r>
      <w:r w:rsidR="00E960ED" w:rsidRPr="004A7AEA">
        <w:rPr>
          <w:lang w:val="lt-LT"/>
        </w:rPr>
        <w:t>s</w:t>
      </w:r>
      <w:r w:rsidR="00511EE5" w:rsidRPr="004A7AEA">
        <w:rPr>
          <w:lang w:val="lt-LT"/>
        </w:rPr>
        <w:t xml:space="preserve"> </w:t>
      </w:r>
      <w:r w:rsidR="00BE1664" w:rsidRPr="004A7AEA">
        <w:rPr>
          <w:lang w:val="lt-LT"/>
        </w:rPr>
        <w:t>Faktoringo sandori</w:t>
      </w:r>
      <w:r w:rsidR="00E960ED" w:rsidRPr="004A7AEA">
        <w:rPr>
          <w:lang w:val="lt-LT"/>
        </w:rPr>
        <w:t>o limitas</w:t>
      </w:r>
      <w:r w:rsidR="0064685B" w:rsidRPr="004A7AEA">
        <w:rPr>
          <w:lang w:val="lt-LT"/>
        </w:rPr>
        <w:t xml:space="preserve"> ir padaugintas iš Faktoringo sandorio finansavimo laikotarpio koeficiento – </w:t>
      </w:r>
      <w:r w:rsidR="0064685B" w:rsidRPr="004A7AEA">
        <w:rPr>
          <w:rFonts w:hint="eastAsia"/>
          <w:lang w:val="lt-LT"/>
        </w:rPr>
        <w:t>1 (vienas)</w:t>
      </w:r>
      <w:r w:rsidR="00622B98" w:rsidRPr="004A7AEA">
        <w:rPr>
          <w:lang w:val="lt-LT"/>
        </w:rPr>
        <w:t>;</w:t>
      </w:r>
      <w:r w:rsidR="0064685B" w:rsidRPr="004A7AEA">
        <w:rPr>
          <w:lang w:val="lt-LT"/>
        </w:rPr>
        <w:t xml:space="preserve"> </w:t>
      </w:r>
    </w:p>
    <w:p w14:paraId="474F45AE" w14:textId="06356E53" w:rsidR="00EB201B" w:rsidRPr="004A7AEA" w:rsidRDefault="00EB201B" w:rsidP="00622B98">
      <w:pPr>
        <w:pStyle w:val="NormalWeb"/>
        <w:numPr>
          <w:ilvl w:val="3"/>
          <w:numId w:val="22"/>
        </w:numPr>
        <w:tabs>
          <w:tab w:val="left" w:pos="851"/>
        </w:tabs>
        <w:spacing w:before="0" w:beforeAutospacing="0" w:after="0" w:afterAutospacing="0" w:line="276" w:lineRule="auto"/>
        <w:ind w:left="-709" w:firstLine="567"/>
        <w:jc w:val="both"/>
        <w:rPr>
          <w:lang w:val="lt-LT"/>
        </w:rPr>
      </w:pPr>
      <w:r w:rsidRPr="004A7AEA">
        <w:rPr>
          <w:rFonts w:hint="eastAsia"/>
          <w:lang w:val="lt-LT"/>
        </w:rPr>
        <w:t xml:space="preserve">kai Maksimalūs mokėjimo atidėjimo visiems pirkėjams terminai po Maksimalių mokėjimo atidėjimo pirkėjams terminų pratęsimo liko ne ilgesni kaip 90 kalendorinių dienų ir Faktoringo sandorio finansavimo laikotarpis, kuris </w:t>
      </w:r>
      <w:r w:rsidRPr="004A7AEA">
        <w:rPr>
          <w:lang w:val="lt-LT"/>
        </w:rPr>
        <w:t xml:space="preserve">iki pratęsimo </w:t>
      </w:r>
      <w:r w:rsidRPr="004A7AEA">
        <w:rPr>
          <w:rFonts w:hint="eastAsia"/>
          <w:lang w:val="lt-LT"/>
        </w:rPr>
        <w:t>buvo ilgesnis nei 6 mėnesiai, bet trumpesnis arba lygus 12 mėnesių</w:t>
      </w:r>
      <w:r w:rsidRPr="004A7AEA">
        <w:rPr>
          <w:lang w:val="lt-LT"/>
        </w:rPr>
        <w:t xml:space="preserve"> ir po pratęsimo</w:t>
      </w:r>
      <w:r w:rsidRPr="004A7AEA">
        <w:rPr>
          <w:rFonts w:hint="eastAsia"/>
          <w:lang w:val="lt-LT"/>
        </w:rPr>
        <w:t xml:space="preserve"> </w:t>
      </w:r>
      <w:r w:rsidRPr="004A7AEA">
        <w:rPr>
          <w:lang w:val="lt-LT"/>
        </w:rPr>
        <w:t xml:space="preserve">liko </w:t>
      </w:r>
      <w:r w:rsidRPr="004A7AEA">
        <w:rPr>
          <w:rFonts w:hint="eastAsia"/>
          <w:lang w:val="lt-LT"/>
        </w:rPr>
        <w:t xml:space="preserve">ilgesnis nei 6 mėnesiai, bet trumpesnis arba lygus 12 mėnesių, </w:t>
      </w:r>
      <w:r w:rsidR="00F32D58" w:rsidRPr="004A7AEA">
        <w:rPr>
          <w:lang w:val="lt-LT"/>
        </w:rPr>
        <w:t xml:space="preserve">skaičiuojant papildomą Garantijos mokestį </w:t>
      </w:r>
      <w:r w:rsidRPr="004A7AEA">
        <w:rPr>
          <w:rFonts w:hint="eastAsia"/>
          <w:lang w:val="lt-LT"/>
        </w:rPr>
        <w:t xml:space="preserve">taikomas 0,5 (penkių dešimtųjų) proc. Garantijos mokesčio procentinis dydis, paskaičiuotas nuo tos sumos, kuria didinamas Faktoringo sandorio limitas ir padaugintas iš Faktoringo sandorio finansavimo laikotarpio koeficiento </w:t>
      </w:r>
      <w:r w:rsidRPr="004A7AEA">
        <w:rPr>
          <w:rFonts w:hint="eastAsia"/>
          <w:lang w:val="lt-LT"/>
        </w:rPr>
        <w:t>–</w:t>
      </w:r>
      <w:r w:rsidRPr="004A7AEA">
        <w:rPr>
          <w:rFonts w:hint="eastAsia"/>
          <w:lang w:val="lt-LT"/>
        </w:rPr>
        <w:t xml:space="preserve"> 1</w:t>
      </w:r>
      <w:r w:rsidR="00622B98" w:rsidRPr="004A7AEA">
        <w:rPr>
          <w:lang w:val="lt-LT"/>
        </w:rPr>
        <w:t>,6</w:t>
      </w:r>
      <w:r w:rsidRPr="004A7AEA">
        <w:rPr>
          <w:rFonts w:hint="eastAsia"/>
          <w:lang w:val="lt-LT"/>
        </w:rPr>
        <w:t xml:space="preserve"> (vienas</w:t>
      </w:r>
      <w:r w:rsidR="00622B98" w:rsidRPr="004A7AEA">
        <w:rPr>
          <w:lang w:val="lt-LT"/>
        </w:rPr>
        <w:t xml:space="preserve"> ir šešios dešimtosios</w:t>
      </w:r>
      <w:r w:rsidRPr="004A7AEA">
        <w:rPr>
          <w:rFonts w:hint="eastAsia"/>
          <w:lang w:val="lt-LT"/>
        </w:rPr>
        <w:t>)</w:t>
      </w:r>
      <w:r w:rsidR="00622B98" w:rsidRPr="004A7AEA">
        <w:rPr>
          <w:lang w:val="lt-LT"/>
        </w:rPr>
        <w:t>;</w:t>
      </w:r>
    </w:p>
    <w:p w14:paraId="67CD604F" w14:textId="3B24BA49" w:rsidR="006449C8" w:rsidRPr="004A7AEA" w:rsidRDefault="006449C8" w:rsidP="009B0EE1">
      <w:pPr>
        <w:pStyle w:val="NormalWeb"/>
        <w:numPr>
          <w:ilvl w:val="3"/>
          <w:numId w:val="22"/>
        </w:numPr>
        <w:tabs>
          <w:tab w:val="left" w:pos="851"/>
        </w:tabs>
        <w:spacing w:before="0" w:beforeAutospacing="0" w:after="0" w:afterAutospacing="0" w:line="276" w:lineRule="auto"/>
        <w:ind w:left="-709" w:firstLine="709"/>
        <w:jc w:val="both"/>
        <w:rPr>
          <w:lang w:val="lt-LT"/>
        </w:rPr>
      </w:pPr>
      <w:r w:rsidRPr="004A7AEA">
        <w:rPr>
          <w:lang w:val="lt-LT"/>
        </w:rPr>
        <w:t>kai iki Faktoringo sandorio sutarties pakeitimo pradiniai Maksimalūs mokėjimo atidėjimo visiems pirkėjams terminai buvo ne ilgesni kaip 90 kalendorinių dienų, o po pratęsimo Maksimalūs mokėjimo atidėjimo pirkėjams (arba bent vienam iš jų) terminai</w:t>
      </w:r>
      <w:r w:rsidRPr="004A7AEA" w:rsidDel="002D00B5">
        <w:rPr>
          <w:lang w:val="lt-LT"/>
        </w:rPr>
        <w:t xml:space="preserve"> </w:t>
      </w:r>
      <w:r w:rsidRPr="004A7AEA">
        <w:rPr>
          <w:lang w:val="lt-LT"/>
        </w:rPr>
        <w:t xml:space="preserve">tapo ne trumpesni kaip 90 kalendorinių dienų ir ne ilgesni kaip 180 kalendorinių dienų, </w:t>
      </w:r>
      <w:r w:rsidR="00A00CD8" w:rsidRPr="004A7AEA">
        <w:rPr>
          <w:lang w:val="lt-LT"/>
        </w:rPr>
        <w:t xml:space="preserve">o Faktoringo sandorio finansavimo laikotarpis iki Faktoringo sandorio sutarties pakeitimo buvo </w:t>
      </w:r>
      <w:r w:rsidR="00A1040C" w:rsidRPr="004A7AEA">
        <w:rPr>
          <w:lang w:val="lt-LT"/>
        </w:rPr>
        <w:t xml:space="preserve">trumpesnis arba lygus 6 mėnesiams, o po pratęsimo tapo </w:t>
      </w:r>
      <w:r w:rsidR="00A1040C" w:rsidRPr="004A7AEA">
        <w:rPr>
          <w:rFonts w:hint="eastAsia"/>
          <w:lang w:val="lt-LT"/>
        </w:rPr>
        <w:t>ilgesnis nei 6 mėnesiai, bet trumpesnis arba lygus 12 mėnesių</w:t>
      </w:r>
      <w:r w:rsidR="00A1040C" w:rsidRPr="004A7AEA">
        <w:rPr>
          <w:lang w:val="lt-LT"/>
        </w:rPr>
        <w:t xml:space="preserve">, </w:t>
      </w:r>
      <w:r w:rsidR="00F32D58" w:rsidRPr="004A7AEA">
        <w:rPr>
          <w:lang w:val="lt-LT"/>
        </w:rPr>
        <w:t xml:space="preserve">skaičiuojant papildomą Garantijos mokestį: </w:t>
      </w:r>
      <w:r w:rsidRPr="004A7AEA">
        <w:rPr>
          <w:lang w:val="lt-LT"/>
        </w:rPr>
        <w:t>taikomas 0,5 (penkių dešimtųjų) proc. Garantijos mokesčio procentinis dydis</w:t>
      </w:r>
      <w:r w:rsidR="0076309B" w:rsidRPr="004A7AEA">
        <w:rPr>
          <w:lang w:val="lt-LT"/>
        </w:rPr>
        <w:t xml:space="preserve"> ir pradinis </w:t>
      </w:r>
      <w:r w:rsidR="0076309B" w:rsidRPr="004A7AEA">
        <w:rPr>
          <w:rFonts w:hint="eastAsia"/>
          <w:lang w:val="lt-LT"/>
        </w:rPr>
        <w:t xml:space="preserve">Faktoringo sandorio finansavimo laikotarpio koeficientas </w:t>
      </w:r>
      <w:r w:rsidR="0076309B" w:rsidRPr="004A7AEA">
        <w:rPr>
          <w:lang w:val="lt-LT"/>
        </w:rPr>
        <w:t>1 (vienas)</w:t>
      </w:r>
      <w:r w:rsidRPr="004A7AEA">
        <w:rPr>
          <w:lang w:val="lt-LT"/>
        </w:rPr>
        <w:t>, paskaičiuot</w:t>
      </w:r>
      <w:r w:rsidR="0076309B" w:rsidRPr="004A7AEA">
        <w:rPr>
          <w:lang w:val="lt-LT"/>
        </w:rPr>
        <w:t>i</w:t>
      </w:r>
      <w:r w:rsidRPr="004A7AEA">
        <w:rPr>
          <w:lang w:val="lt-LT"/>
        </w:rPr>
        <w:t xml:space="preserve"> nuo pradinės Faktoringo sandorio limito sumos</w:t>
      </w:r>
      <w:r w:rsidR="0076309B" w:rsidRPr="004A7AEA">
        <w:rPr>
          <w:lang w:val="lt-LT"/>
        </w:rPr>
        <w:t>;</w:t>
      </w:r>
      <w:r w:rsidR="00F32D58" w:rsidRPr="004A7AEA">
        <w:rPr>
          <w:lang w:val="lt-LT"/>
        </w:rPr>
        <w:t xml:space="preserve"> taikomas 1 (vieno) proc. Garantijos mokesčio procentinis dydis</w:t>
      </w:r>
      <w:r w:rsidR="0076309B" w:rsidRPr="004A7AEA">
        <w:rPr>
          <w:lang w:val="lt-LT"/>
        </w:rPr>
        <w:t xml:space="preserve"> ir 0,6 (šešių dešimtųjų) </w:t>
      </w:r>
      <w:r w:rsidR="0076309B" w:rsidRPr="004A7AEA">
        <w:rPr>
          <w:rFonts w:hint="eastAsia"/>
          <w:lang w:val="lt-LT"/>
        </w:rPr>
        <w:t>Faktoringo sandorio finansavimo laikotarpio koeficient</w:t>
      </w:r>
      <w:r w:rsidR="0076309B" w:rsidRPr="004A7AEA">
        <w:rPr>
          <w:lang w:val="lt-LT"/>
        </w:rPr>
        <w:t>as</w:t>
      </w:r>
      <w:r w:rsidR="00F32D58" w:rsidRPr="004A7AEA">
        <w:rPr>
          <w:lang w:val="lt-LT"/>
        </w:rPr>
        <w:t>, paskaičiuot</w:t>
      </w:r>
      <w:r w:rsidR="0076309B" w:rsidRPr="004A7AEA">
        <w:rPr>
          <w:lang w:val="lt-LT"/>
        </w:rPr>
        <w:t>i</w:t>
      </w:r>
      <w:r w:rsidR="00F32D58" w:rsidRPr="004A7AEA">
        <w:rPr>
          <w:lang w:val="lt-LT"/>
        </w:rPr>
        <w:t xml:space="preserve"> nuo pradinės Faktoringo sandorio limito sumos; </w:t>
      </w:r>
      <w:r w:rsidR="0076309B" w:rsidRPr="004A7AEA">
        <w:rPr>
          <w:lang w:val="lt-LT"/>
        </w:rPr>
        <w:t xml:space="preserve">taikomas </w:t>
      </w:r>
      <w:r w:rsidRPr="004A7AEA">
        <w:rPr>
          <w:lang w:val="lt-LT"/>
        </w:rPr>
        <w:t>1 (vieno) proc. Garantijos mokesčio procentinis dydis</w:t>
      </w:r>
      <w:r w:rsidR="0076309B" w:rsidRPr="004A7AEA">
        <w:rPr>
          <w:lang w:val="lt-LT"/>
        </w:rPr>
        <w:t xml:space="preserve"> ir </w:t>
      </w:r>
      <w:r w:rsidR="0076309B" w:rsidRPr="004A7AEA">
        <w:rPr>
          <w:rFonts w:hint="eastAsia"/>
          <w:lang w:val="lt-LT"/>
        </w:rPr>
        <w:t>1</w:t>
      </w:r>
      <w:r w:rsidR="0076309B" w:rsidRPr="004A7AEA">
        <w:rPr>
          <w:lang w:val="lt-LT"/>
        </w:rPr>
        <w:t>,6</w:t>
      </w:r>
      <w:r w:rsidR="0076309B" w:rsidRPr="004A7AEA">
        <w:rPr>
          <w:rFonts w:hint="eastAsia"/>
          <w:lang w:val="lt-LT"/>
        </w:rPr>
        <w:t xml:space="preserve"> (vienas</w:t>
      </w:r>
      <w:r w:rsidR="0076309B" w:rsidRPr="004A7AEA">
        <w:rPr>
          <w:lang w:val="lt-LT"/>
        </w:rPr>
        <w:t xml:space="preserve"> ir šešios dešimtosios</w:t>
      </w:r>
      <w:r w:rsidR="0076309B" w:rsidRPr="004A7AEA">
        <w:rPr>
          <w:rFonts w:hint="eastAsia"/>
          <w:lang w:val="lt-LT"/>
        </w:rPr>
        <w:t>) Faktoringo sandorio finansavimo laikotarpio koeficient</w:t>
      </w:r>
      <w:r w:rsidR="0076309B" w:rsidRPr="004A7AEA">
        <w:rPr>
          <w:lang w:val="lt-LT"/>
        </w:rPr>
        <w:t>as</w:t>
      </w:r>
      <w:r w:rsidRPr="004A7AEA">
        <w:rPr>
          <w:lang w:val="lt-LT"/>
        </w:rPr>
        <w:t>, paskaičiuot</w:t>
      </w:r>
      <w:r w:rsidR="0076309B" w:rsidRPr="004A7AEA">
        <w:rPr>
          <w:lang w:val="lt-LT"/>
        </w:rPr>
        <w:t>i</w:t>
      </w:r>
      <w:r w:rsidRPr="004A7AEA">
        <w:rPr>
          <w:lang w:val="lt-LT"/>
        </w:rPr>
        <w:t xml:space="preserve"> nuo tos sumos, kuria didinamas Faktoringo sandorio limitas;</w:t>
      </w:r>
    </w:p>
    <w:p w14:paraId="268E4502" w14:textId="23D32F98" w:rsidR="00622B98" w:rsidRPr="004A7AEA" w:rsidRDefault="00900780" w:rsidP="009B0EE1">
      <w:pPr>
        <w:pStyle w:val="NormalWeb"/>
        <w:numPr>
          <w:ilvl w:val="3"/>
          <w:numId w:val="22"/>
        </w:numPr>
        <w:tabs>
          <w:tab w:val="left" w:pos="851"/>
        </w:tabs>
        <w:spacing w:before="0" w:beforeAutospacing="0" w:after="0" w:afterAutospacing="0" w:line="276" w:lineRule="auto"/>
        <w:ind w:left="-709" w:firstLine="709"/>
        <w:jc w:val="both"/>
        <w:rPr>
          <w:lang w:val="lt-LT"/>
        </w:rPr>
      </w:pPr>
      <w:r w:rsidRPr="004A7AEA">
        <w:rPr>
          <w:lang w:val="lt-LT"/>
        </w:rPr>
        <w:t xml:space="preserve">kai iki pradinės </w:t>
      </w:r>
      <w:r w:rsidR="00F21757" w:rsidRPr="004A7AEA">
        <w:rPr>
          <w:lang w:val="lt-LT"/>
        </w:rPr>
        <w:t>Faktoringo sandorio</w:t>
      </w:r>
      <w:r w:rsidRPr="004A7AEA">
        <w:rPr>
          <w:lang w:val="lt-LT"/>
        </w:rPr>
        <w:t xml:space="preserve"> sutarties pakeitimo </w:t>
      </w:r>
      <w:r w:rsidR="00E960ED" w:rsidRPr="004A7AEA">
        <w:rPr>
          <w:lang w:val="lt-LT"/>
        </w:rPr>
        <w:t>Maksimalūs mokėjimo atidėjimo pirkėjams</w:t>
      </w:r>
      <w:r w:rsidR="007050F2" w:rsidRPr="004A7AEA">
        <w:rPr>
          <w:lang w:val="lt-LT"/>
        </w:rPr>
        <w:t xml:space="preserve"> (arba bent vienam iš jų)</w:t>
      </w:r>
      <w:r w:rsidR="00E960ED" w:rsidRPr="004A7AEA">
        <w:rPr>
          <w:lang w:val="lt-LT"/>
        </w:rPr>
        <w:t xml:space="preserve"> terminai</w:t>
      </w:r>
      <w:r w:rsidRPr="004A7AEA">
        <w:rPr>
          <w:lang w:val="lt-LT"/>
        </w:rPr>
        <w:t xml:space="preserve"> buvo </w:t>
      </w:r>
      <w:r w:rsidR="00E960ED" w:rsidRPr="004A7AEA">
        <w:rPr>
          <w:lang w:val="lt-LT"/>
        </w:rPr>
        <w:t>ne trumpesni kaip 90 kalendorinių dienų ir ne ilgesni kaip 180 kalendorinių dienų</w:t>
      </w:r>
      <w:r w:rsidR="00A00CD8" w:rsidRPr="004A7AEA">
        <w:rPr>
          <w:lang w:val="lt-LT"/>
        </w:rPr>
        <w:t>, o</w:t>
      </w:r>
      <w:r w:rsidR="00622B98" w:rsidRPr="004A7AEA">
        <w:rPr>
          <w:lang w:val="lt-LT"/>
        </w:rPr>
        <w:t xml:space="preserve"> Faktoringo sandorio finansavimo laikotarpis po jo pratęsimo yra trumpesnis arba lygus 6 mėnesiams</w:t>
      </w:r>
      <w:r w:rsidRPr="004A7AEA">
        <w:rPr>
          <w:lang w:val="lt-LT"/>
        </w:rPr>
        <w:t xml:space="preserve">, </w:t>
      </w:r>
      <w:r w:rsidR="00633755" w:rsidRPr="004A7AEA">
        <w:rPr>
          <w:lang w:val="lt-LT"/>
        </w:rPr>
        <w:t>taikomas</w:t>
      </w:r>
      <w:r w:rsidRPr="004A7AEA">
        <w:rPr>
          <w:lang w:val="lt-LT"/>
        </w:rPr>
        <w:t xml:space="preserve"> 1 </w:t>
      </w:r>
      <w:r w:rsidR="00776F88" w:rsidRPr="004A7AEA">
        <w:rPr>
          <w:lang w:val="lt-LT"/>
        </w:rPr>
        <w:t xml:space="preserve">(vieno) </w:t>
      </w:r>
      <w:r w:rsidRPr="004A7AEA">
        <w:rPr>
          <w:lang w:val="lt-LT"/>
        </w:rPr>
        <w:t xml:space="preserve">proc. </w:t>
      </w:r>
      <w:r w:rsidR="00776F88" w:rsidRPr="004A7AEA">
        <w:rPr>
          <w:lang w:val="lt-LT"/>
        </w:rPr>
        <w:t>G</w:t>
      </w:r>
      <w:r w:rsidRPr="004A7AEA">
        <w:rPr>
          <w:lang w:val="lt-LT"/>
        </w:rPr>
        <w:t>arantijos mokesčio</w:t>
      </w:r>
      <w:r w:rsidR="00BB3AB8" w:rsidRPr="004A7AEA">
        <w:rPr>
          <w:lang w:val="lt-LT"/>
        </w:rPr>
        <w:t xml:space="preserve"> procentin</w:t>
      </w:r>
      <w:r w:rsidR="00633755" w:rsidRPr="004A7AEA">
        <w:rPr>
          <w:lang w:val="lt-LT"/>
        </w:rPr>
        <w:t>is</w:t>
      </w:r>
      <w:r w:rsidRPr="004A7AEA">
        <w:rPr>
          <w:lang w:val="lt-LT"/>
        </w:rPr>
        <w:t xml:space="preserve"> dyd</w:t>
      </w:r>
      <w:r w:rsidR="00633755" w:rsidRPr="004A7AEA">
        <w:rPr>
          <w:lang w:val="lt-LT"/>
        </w:rPr>
        <w:t>is, paskaičiuotas</w:t>
      </w:r>
      <w:r w:rsidRPr="004A7AEA">
        <w:rPr>
          <w:lang w:val="lt-LT"/>
        </w:rPr>
        <w:t xml:space="preserve"> nuo </w:t>
      </w:r>
      <w:r w:rsidR="002D59A4" w:rsidRPr="004A7AEA">
        <w:rPr>
          <w:lang w:val="lt-LT"/>
        </w:rPr>
        <w:t>tos sumos, kuria didinama</w:t>
      </w:r>
      <w:r w:rsidR="00E960ED" w:rsidRPr="004A7AEA">
        <w:rPr>
          <w:lang w:val="lt-LT"/>
        </w:rPr>
        <w:t>s</w:t>
      </w:r>
      <w:r w:rsidR="002D59A4" w:rsidRPr="004A7AEA">
        <w:rPr>
          <w:lang w:val="lt-LT"/>
        </w:rPr>
        <w:t xml:space="preserve"> </w:t>
      </w:r>
      <w:r w:rsidR="00BE1664" w:rsidRPr="004A7AEA">
        <w:rPr>
          <w:lang w:val="lt-LT"/>
        </w:rPr>
        <w:t>Faktoringo sandori</w:t>
      </w:r>
      <w:r w:rsidR="00E960ED" w:rsidRPr="004A7AEA">
        <w:rPr>
          <w:lang w:val="lt-LT"/>
        </w:rPr>
        <w:t>o limitas</w:t>
      </w:r>
      <w:r w:rsidR="00622B98" w:rsidRPr="004A7AEA">
        <w:rPr>
          <w:lang w:val="lt-LT"/>
        </w:rPr>
        <w:t xml:space="preserve"> ir padaugintas iš Faktoringo sandorio finansavimo laikotarpio koeficiento – </w:t>
      </w:r>
      <w:r w:rsidR="00622B98" w:rsidRPr="004A7AEA">
        <w:rPr>
          <w:rFonts w:hint="eastAsia"/>
          <w:lang w:val="lt-LT"/>
        </w:rPr>
        <w:t>1 (vienas)</w:t>
      </w:r>
      <w:r w:rsidR="00622B98" w:rsidRPr="004A7AEA">
        <w:rPr>
          <w:lang w:val="lt-LT"/>
        </w:rPr>
        <w:t>;</w:t>
      </w:r>
    </w:p>
    <w:p w14:paraId="48FE20B8" w14:textId="11D0A650" w:rsidR="00900780" w:rsidRPr="004A7AEA" w:rsidRDefault="00622B98" w:rsidP="009B0EE1">
      <w:pPr>
        <w:pStyle w:val="NormalWeb"/>
        <w:numPr>
          <w:ilvl w:val="3"/>
          <w:numId w:val="22"/>
        </w:numPr>
        <w:tabs>
          <w:tab w:val="left" w:pos="851"/>
        </w:tabs>
        <w:spacing w:before="0" w:beforeAutospacing="0" w:after="0" w:afterAutospacing="0" w:line="276" w:lineRule="auto"/>
        <w:ind w:left="-709" w:firstLine="709"/>
        <w:jc w:val="both"/>
        <w:rPr>
          <w:lang w:val="lt-LT"/>
        </w:rPr>
      </w:pPr>
      <w:r w:rsidRPr="004A7AEA">
        <w:rPr>
          <w:lang w:val="lt-LT"/>
        </w:rPr>
        <w:t>kai iki pradinės Faktoringo sandorio sutarties pakeitimo Maksimalūs mokėjimo atidėjimo pirkėjams (arba bent vienam iš jų) terminai buvo ne trumpesni kaip 90 kalendorinių dienų ir ne ilgesni kaip 180 kalendorinių dienų</w:t>
      </w:r>
      <w:r w:rsidR="00A00CD8" w:rsidRPr="004A7AEA">
        <w:rPr>
          <w:lang w:val="lt-LT"/>
        </w:rPr>
        <w:t>, o</w:t>
      </w:r>
      <w:r w:rsidRPr="004A7AEA">
        <w:rPr>
          <w:rFonts w:hint="eastAsia"/>
          <w:lang w:val="lt-LT"/>
        </w:rPr>
        <w:t xml:space="preserve"> Faktoringo s</w:t>
      </w:r>
      <w:r w:rsidR="00A00CD8" w:rsidRPr="004A7AEA">
        <w:rPr>
          <w:rFonts w:hint="eastAsia"/>
          <w:lang w:val="lt-LT"/>
        </w:rPr>
        <w:t>andorio finansavimo laikotarpis</w:t>
      </w:r>
      <w:r w:rsidRPr="004A7AEA">
        <w:rPr>
          <w:lang w:val="lt-LT"/>
        </w:rPr>
        <w:t xml:space="preserve"> </w:t>
      </w:r>
      <w:r w:rsidRPr="004A7AEA">
        <w:rPr>
          <w:rFonts w:hint="eastAsia"/>
          <w:lang w:val="lt-LT"/>
        </w:rPr>
        <w:t>buvo ilgesnis nei 6 mėnesiai, bet trumpesnis arba lygus 12 mėnesių</w:t>
      </w:r>
      <w:r w:rsidRPr="004A7AEA">
        <w:rPr>
          <w:lang w:val="lt-LT"/>
        </w:rPr>
        <w:t xml:space="preserve">, </w:t>
      </w:r>
      <w:r w:rsidR="00A00CD8" w:rsidRPr="004A7AEA">
        <w:rPr>
          <w:lang w:val="lt-LT"/>
        </w:rPr>
        <w:t xml:space="preserve">skaičiuojant papildomą Garantijos mokestį </w:t>
      </w:r>
      <w:r w:rsidRPr="004A7AEA">
        <w:rPr>
          <w:lang w:val="lt-LT"/>
        </w:rPr>
        <w:t>taikomas 1 (vieno) proc. Garantijos mokesčio procentinis dydis, paskaičiuotas nuo tos sumos, kuria didinamas Faktoringo sandorio limitas</w:t>
      </w:r>
      <w:r w:rsidRPr="004A7AEA">
        <w:rPr>
          <w:rFonts w:hint="eastAsia"/>
          <w:lang w:val="lt-LT"/>
        </w:rPr>
        <w:t xml:space="preserve"> ir padaugintas iš Faktoringo sandorio finansavimo laikotarpio koeficiento</w:t>
      </w:r>
      <w:r w:rsidR="00A21DD3" w:rsidRPr="004A7AEA">
        <w:rPr>
          <w:lang w:val="lt-LT"/>
        </w:rPr>
        <w:t xml:space="preserve"> – </w:t>
      </w:r>
      <w:r w:rsidRPr="004A7AEA">
        <w:rPr>
          <w:rFonts w:hint="eastAsia"/>
          <w:lang w:val="lt-LT"/>
        </w:rPr>
        <w:t>1</w:t>
      </w:r>
      <w:r w:rsidRPr="004A7AEA">
        <w:rPr>
          <w:lang w:val="lt-LT"/>
        </w:rPr>
        <w:t>,6</w:t>
      </w:r>
      <w:r w:rsidRPr="004A7AEA">
        <w:rPr>
          <w:rFonts w:hint="eastAsia"/>
          <w:lang w:val="lt-LT"/>
        </w:rPr>
        <w:t xml:space="preserve"> (vienas</w:t>
      </w:r>
      <w:r w:rsidRPr="004A7AEA">
        <w:rPr>
          <w:lang w:val="lt-LT"/>
        </w:rPr>
        <w:t xml:space="preserve"> ir šešios dešimtosios</w:t>
      </w:r>
      <w:r w:rsidRPr="004A7AEA">
        <w:rPr>
          <w:rFonts w:hint="eastAsia"/>
          <w:lang w:val="lt-LT"/>
        </w:rPr>
        <w:t>)</w:t>
      </w:r>
      <w:r w:rsidR="00776F88" w:rsidRPr="004A7AEA">
        <w:rPr>
          <w:lang w:val="lt-LT"/>
        </w:rPr>
        <w:t>.</w:t>
      </w:r>
    </w:p>
    <w:p w14:paraId="3E7EECC2" w14:textId="7ABD267B" w:rsidR="00D03AAA" w:rsidRPr="00F13494" w:rsidRDefault="00F811BC" w:rsidP="00F13494">
      <w:pPr>
        <w:pStyle w:val="NormalWeb"/>
        <w:numPr>
          <w:ilvl w:val="2"/>
          <w:numId w:val="22"/>
        </w:numPr>
        <w:tabs>
          <w:tab w:val="left" w:pos="851"/>
        </w:tabs>
        <w:spacing w:before="0" w:beforeAutospacing="0" w:after="0" w:afterAutospacing="0" w:line="276" w:lineRule="auto"/>
        <w:ind w:left="-709" w:firstLine="544"/>
        <w:jc w:val="both"/>
        <w:rPr>
          <w:lang w:val="lt-LT"/>
        </w:rPr>
      </w:pPr>
      <w:r>
        <w:rPr>
          <w:lang w:val="lt-LT"/>
        </w:rPr>
        <w:lastRenderedPageBreak/>
        <w:t xml:space="preserve">Bet kokiu atveju, papildomo </w:t>
      </w:r>
      <w:r w:rsidR="00D03AAA">
        <w:rPr>
          <w:lang w:val="lt-LT"/>
        </w:rPr>
        <w:t>Garantijos mokes</w:t>
      </w:r>
      <w:r w:rsidR="00F13494">
        <w:rPr>
          <w:lang w:val="lt-LT"/>
        </w:rPr>
        <w:t>čio</w:t>
      </w:r>
      <w:r w:rsidR="00D03AAA">
        <w:rPr>
          <w:lang w:val="lt-LT"/>
        </w:rPr>
        <w:t xml:space="preserve"> dėl keičiamų Faktoringo sandorio sąlygų (</w:t>
      </w:r>
      <w:r w:rsidR="00D03AAA" w:rsidRPr="000A6A5E">
        <w:rPr>
          <w:lang w:val="lt-LT"/>
        </w:rPr>
        <w:t>kai pratęsiami Maksimalūs mokėjimo atidėjimo pirkėjams terminai ir (ar) didinamas Faktoringo limitas</w:t>
      </w:r>
      <w:r w:rsidR="00D03AAA">
        <w:rPr>
          <w:lang w:val="lt-LT"/>
        </w:rPr>
        <w:t xml:space="preserve"> ir (ar) ilginamas Faktoringo sandorio finansavimo laikotarpis)</w:t>
      </w:r>
      <w:r w:rsidR="00F13494">
        <w:rPr>
          <w:lang w:val="lt-LT"/>
        </w:rPr>
        <w:t xml:space="preserve"> suma</w:t>
      </w:r>
      <w:r w:rsidR="00D03AAA">
        <w:rPr>
          <w:lang w:val="lt-LT"/>
        </w:rPr>
        <w:t xml:space="preserve"> turėtų būti lyg</w:t>
      </w:r>
      <w:r w:rsidR="00F13494">
        <w:rPr>
          <w:lang w:val="lt-LT"/>
        </w:rPr>
        <w:t>i</w:t>
      </w:r>
      <w:r w:rsidR="00D03AAA" w:rsidRPr="000A6A5E">
        <w:rPr>
          <w:lang w:val="lt-LT"/>
        </w:rPr>
        <w:t xml:space="preserve"> </w:t>
      </w:r>
      <w:r w:rsidR="00F13494">
        <w:rPr>
          <w:lang w:val="lt-LT"/>
        </w:rPr>
        <w:t xml:space="preserve">Faktoringo sandorio </w:t>
      </w:r>
      <w:r w:rsidR="00D03AAA">
        <w:rPr>
          <w:lang w:val="lt-LT"/>
        </w:rPr>
        <w:t>Garantijos mokesči</w:t>
      </w:r>
      <w:r w:rsidR="00F13494">
        <w:rPr>
          <w:lang w:val="lt-LT"/>
        </w:rPr>
        <w:t>o</w:t>
      </w:r>
      <w:r w:rsidR="00D03AAA">
        <w:rPr>
          <w:lang w:val="lt-LT"/>
        </w:rPr>
        <w:t>, paskaičiuot</w:t>
      </w:r>
      <w:r w:rsidR="00F13494">
        <w:rPr>
          <w:lang w:val="lt-LT"/>
        </w:rPr>
        <w:t>o</w:t>
      </w:r>
      <w:r w:rsidR="00D03AAA">
        <w:rPr>
          <w:lang w:val="lt-LT"/>
        </w:rPr>
        <w:t xml:space="preserve"> pagal 6.4 punkte nurodytą formulę</w:t>
      </w:r>
      <w:r w:rsidR="00F13494">
        <w:rPr>
          <w:lang w:val="lt-LT"/>
        </w:rPr>
        <w:t xml:space="preserve"> taikant pakeistas sąlygas (ilgesnį</w:t>
      </w:r>
      <w:r w:rsidR="00F13494" w:rsidRPr="000A6A5E">
        <w:rPr>
          <w:lang w:val="lt-LT"/>
        </w:rPr>
        <w:t xml:space="preserve"> Maksimal</w:t>
      </w:r>
      <w:r w:rsidR="00F13494">
        <w:rPr>
          <w:lang w:val="lt-LT"/>
        </w:rPr>
        <w:t>ų</w:t>
      </w:r>
      <w:r w:rsidR="00F13494" w:rsidRPr="000A6A5E">
        <w:rPr>
          <w:lang w:val="lt-LT"/>
        </w:rPr>
        <w:t xml:space="preserve"> mokėjimo atidėjimo pirkėjams termin</w:t>
      </w:r>
      <w:r w:rsidR="00F13494">
        <w:rPr>
          <w:lang w:val="lt-LT"/>
        </w:rPr>
        <w:t>ą</w:t>
      </w:r>
      <w:r w:rsidR="00F13494" w:rsidRPr="000A6A5E">
        <w:rPr>
          <w:lang w:val="lt-LT"/>
        </w:rPr>
        <w:t xml:space="preserve"> ir (ar) </w:t>
      </w:r>
      <w:r w:rsidR="00F13494">
        <w:rPr>
          <w:lang w:val="lt-LT"/>
        </w:rPr>
        <w:t xml:space="preserve">didesnį </w:t>
      </w:r>
      <w:r w:rsidR="00F13494" w:rsidRPr="000A6A5E">
        <w:rPr>
          <w:lang w:val="lt-LT"/>
        </w:rPr>
        <w:t>Faktoringo limit</w:t>
      </w:r>
      <w:r w:rsidR="00F13494">
        <w:rPr>
          <w:lang w:val="lt-LT"/>
        </w:rPr>
        <w:t>ą ir (ar) ilgesnį Faktoringo sandorio finansavimo laikotarpį) sumos</w:t>
      </w:r>
      <w:r w:rsidR="00F13494" w:rsidRPr="00F13494">
        <w:rPr>
          <w:lang w:val="lt-LT"/>
        </w:rPr>
        <w:t xml:space="preserve"> ir jau sumokėto </w:t>
      </w:r>
      <w:r w:rsidR="00F13494">
        <w:rPr>
          <w:lang w:val="lt-LT"/>
        </w:rPr>
        <w:t>Garantijos mokesčio pagal keičiam</w:t>
      </w:r>
      <w:r w:rsidR="00491EC0">
        <w:rPr>
          <w:lang w:val="lt-LT"/>
        </w:rPr>
        <w:t>o Faktoringo sandorio ankstesnes sąlygas</w:t>
      </w:r>
      <w:r w:rsidR="00F13494">
        <w:rPr>
          <w:lang w:val="lt-LT"/>
        </w:rPr>
        <w:t xml:space="preserve"> sumos</w:t>
      </w:r>
      <w:r w:rsidR="00F13494" w:rsidRPr="00F13494">
        <w:rPr>
          <w:lang w:val="lt-LT"/>
        </w:rPr>
        <w:t xml:space="preserve"> skirtumui.</w:t>
      </w:r>
      <w:r w:rsidR="00D03AAA" w:rsidRPr="00F13494">
        <w:rPr>
          <w:lang w:val="lt-LT"/>
        </w:rPr>
        <w:t xml:space="preserve"> </w:t>
      </w:r>
    </w:p>
    <w:p w14:paraId="7E3AED99" w14:textId="77777777" w:rsidR="009D3653" w:rsidRPr="00B2687D" w:rsidRDefault="009D3653" w:rsidP="009B0EE1">
      <w:pPr>
        <w:pStyle w:val="NormalWeb"/>
        <w:spacing w:before="0" w:beforeAutospacing="0" w:after="0" w:afterAutospacing="0" w:line="276" w:lineRule="auto"/>
        <w:ind w:left="-709" w:firstLine="709"/>
        <w:jc w:val="both"/>
        <w:rPr>
          <w:lang w:val="lt-LT"/>
        </w:rPr>
      </w:pPr>
    </w:p>
    <w:p w14:paraId="3D5A1740" w14:textId="4E01062D" w:rsidR="003A7D75" w:rsidRPr="004600F1" w:rsidRDefault="003A7D75" w:rsidP="009B0EE1">
      <w:pPr>
        <w:pStyle w:val="NormalWeb"/>
        <w:spacing w:before="0" w:beforeAutospacing="0" w:after="0" w:afterAutospacing="0" w:line="276" w:lineRule="auto"/>
        <w:ind w:left="-709" w:firstLine="709"/>
        <w:jc w:val="center"/>
        <w:rPr>
          <w:b/>
          <w:lang w:val="lt-LT"/>
        </w:rPr>
      </w:pPr>
      <w:r w:rsidRPr="00B2687D">
        <w:rPr>
          <w:b/>
          <w:lang w:val="lt-LT"/>
        </w:rPr>
        <w:t>V</w:t>
      </w:r>
      <w:r w:rsidR="004336AF" w:rsidRPr="00B2687D">
        <w:rPr>
          <w:b/>
          <w:lang w:val="lt-LT"/>
        </w:rPr>
        <w:t>I</w:t>
      </w:r>
      <w:r w:rsidRPr="00B2687D">
        <w:rPr>
          <w:b/>
          <w:lang w:val="lt-LT"/>
        </w:rPr>
        <w:t xml:space="preserve">I </w:t>
      </w:r>
      <w:r w:rsidRPr="004600F1">
        <w:rPr>
          <w:b/>
          <w:lang w:val="lt-LT"/>
        </w:rPr>
        <w:t xml:space="preserve">SKYRIUS. </w:t>
      </w:r>
      <w:r w:rsidR="00601B90" w:rsidRPr="004600F1">
        <w:rPr>
          <w:b/>
          <w:lang w:val="lt-LT"/>
        </w:rPr>
        <w:t xml:space="preserve">REGRESAS, </w:t>
      </w:r>
      <w:r w:rsidR="00B47926" w:rsidRPr="004600F1">
        <w:rPr>
          <w:b/>
          <w:lang w:val="lt-LT"/>
        </w:rPr>
        <w:t>IŠMO</w:t>
      </w:r>
      <w:r w:rsidR="00A778C1" w:rsidRPr="004600F1">
        <w:rPr>
          <w:b/>
          <w:lang w:val="lt-LT"/>
        </w:rPr>
        <w:t xml:space="preserve">KOS </w:t>
      </w:r>
      <w:r w:rsidR="00684B73" w:rsidRPr="004600F1">
        <w:rPr>
          <w:b/>
          <w:lang w:val="lt-LT"/>
        </w:rPr>
        <w:t xml:space="preserve">MOKĖJIMAS </w:t>
      </w:r>
      <w:r w:rsidR="00A778C1" w:rsidRPr="004600F1">
        <w:rPr>
          <w:b/>
          <w:lang w:val="lt-LT"/>
        </w:rPr>
        <w:t>IR</w:t>
      </w:r>
      <w:r w:rsidR="000605E4" w:rsidRPr="004600F1">
        <w:rPr>
          <w:b/>
          <w:lang w:val="lt-LT"/>
        </w:rPr>
        <w:t xml:space="preserve"> </w:t>
      </w:r>
      <w:r w:rsidR="008F2A24" w:rsidRPr="004600F1">
        <w:rPr>
          <w:b/>
          <w:lang w:val="lt-LT"/>
        </w:rPr>
        <w:t>SKOLŲ IŠIEŠKOJIMAS</w:t>
      </w:r>
    </w:p>
    <w:p w14:paraId="35BA1193" w14:textId="77777777" w:rsidR="009D3653" w:rsidRPr="002E447E" w:rsidRDefault="009D3653" w:rsidP="009B0EE1">
      <w:pPr>
        <w:pStyle w:val="NormalWeb"/>
        <w:spacing w:before="0" w:beforeAutospacing="0" w:after="0" w:afterAutospacing="0" w:line="276" w:lineRule="auto"/>
        <w:ind w:left="-709" w:firstLine="709"/>
        <w:jc w:val="both"/>
        <w:rPr>
          <w:lang w:val="lt-LT"/>
        </w:rPr>
      </w:pPr>
    </w:p>
    <w:p w14:paraId="15817F40" w14:textId="321D6E86" w:rsidR="00B12C9B" w:rsidRPr="002E447E" w:rsidRDefault="005B78D8" w:rsidP="009B0EE1">
      <w:pPr>
        <w:pStyle w:val="NormalWeb"/>
        <w:numPr>
          <w:ilvl w:val="1"/>
          <w:numId w:val="8"/>
        </w:numPr>
        <w:tabs>
          <w:tab w:val="left" w:pos="567"/>
        </w:tabs>
        <w:spacing w:before="0" w:beforeAutospacing="0" w:after="0" w:afterAutospacing="0" w:line="276" w:lineRule="auto"/>
        <w:ind w:left="-709" w:firstLine="709"/>
        <w:jc w:val="both"/>
        <w:rPr>
          <w:lang w:val="lt-LT"/>
        </w:rPr>
      </w:pPr>
      <w:r w:rsidRPr="002E447E">
        <w:rPr>
          <w:lang w:val="lt-LT"/>
        </w:rPr>
        <w:t>Pirkėjui neatsiskaičius su PGF</w:t>
      </w:r>
      <w:r w:rsidR="004600F1" w:rsidRPr="002E447E">
        <w:rPr>
          <w:lang w:val="lt-LT"/>
        </w:rPr>
        <w:t>2</w:t>
      </w:r>
      <w:r w:rsidRPr="002E447E">
        <w:rPr>
          <w:lang w:val="lt-LT"/>
        </w:rPr>
        <w:t xml:space="preserve"> priemonės valdytoju </w:t>
      </w:r>
      <w:r w:rsidR="00047324" w:rsidRPr="002E447E">
        <w:rPr>
          <w:lang w:val="lt-LT"/>
        </w:rPr>
        <w:t xml:space="preserve">per sąskaitos faktūros apmokėjimo terminą, </w:t>
      </w:r>
      <w:r w:rsidRPr="002E447E">
        <w:rPr>
          <w:lang w:val="lt-LT"/>
        </w:rPr>
        <w:t>PGF</w:t>
      </w:r>
      <w:r w:rsidR="004600F1" w:rsidRPr="002E447E">
        <w:rPr>
          <w:lang w:val="lt-LT"/>
        </w:rPr>
        <w:t>2</w:t>
      </w:r>
      <w:r w:rsidRPr="002E447E">
        <w:rPr>
          <w:lang w:val="lt-LT"/>
        </w:rPr>
        <w:t xml:space="preserve"> priemonės valdytojas, be kitų </w:t>
      </w:r>
      <w:r w:rsidR="00047324" w:rsidRPr="002E447E">
        <w:rPr>
          <w:lang w:val="lt-LT"/>
        </w:rPr>
        <w:t>PGF</w:t>
      </w:r>
      <w:r w:rsidR="004600F1" w:rsidRPr="002E447E">
        <w:rPr>
          <w:lang w:val="lt-LT"/>
        </w:rPr>
        <w:t>2</w:t>
      </w:r>
      <w:r w:rsidR="00047324" w:rsidRPr="002E447E">
        <w:rPr>
          <w:lang w:val="lt-LT"/>
        </w:rPr>
        <w:t xml:space="preserve"> priemonės valdytojo </w:t>
      </w:r>
      <w:r w:rsidRPr="002E447E">
        <w:rPr>
          <w:lang w:val="lt-LT"/>
        </w:rPr>
        <w:t>vidaus procedūrose ir tvarkose numatytų veiksmų</w:t>
      </w:r>
      <w:r w:rsidR="00A807A2" w:rsidRPr="002E447E">
        <w:rPr>
          <w:lang w:val="lt-LT"/>
        </w:rPr>
        <w:t xml:space="preserve"> (tokių kaip Faktoringo avansų Faktoringo gavėjui mokėjimų stabdymas ir kt.)</w:t>
      </w:r>
      <w:r w:rsidR="000B4855">
        <w:rPr>
          <w:lang w:val="lt-LT"/>
        </w:rPr>
        <w:t>,</w:t>
      </w:r>
      <w:r w:rsidRPr="002E447E">
        <w:rPr>
          <w:lang w:val="lt-LT"/>
        </w:rPr>
        <w:t xml:space="preserve"> siekiant susigrąžinti Faktoringo gavėjui išmokėt</w:t>
      </w:r>
      <w:r w:rsidR="00047324" w:rsidRPr="002E447E">
        <w:rPr>
          <w:lang w:val="lt-LT"/>
        </w:rPr>
        <w:t>ą</w:t>
      </w:r>
      <w:r w:rsidRPr="002E447E">
        <w:rPr>
          <w:lang w:val="lt-LT"/>
        </w:rPr>
        <w:t xml:space="preserve"> Faktoringo avans</w:t>
      </w:r>
      <w:r w:rsidR="00047324" w:rsidRPr="002E447E">
        <w:rPr>
          <w:lang w:val="lt-LT"/>
        </w:rPr>
        <w:t>ą</w:t>
      </w:r>
      <w:r w:rsidRPr="002E447E">
        <w:rPr>
          <w:lang w:val="lt-LT"/>
        </w:rPr>
        <w:t xml:space="preserve">, privalo </w:t>
      </w:r>
      <w:r w:rsidR="00B12C9B" w:rsidRPr="002E447E">
        <w:rPr>
          <w:lang w:val="lt-LT"/>
        </w:rPr>
        <w:t xml:space="preserve">raštu </w:t>
      </w:r>
      <w:r w:rsidR="00047324" w:rsidRPr="002E447E">
        <w:rPr>
          <w:lang w:val="lt-LT"/>
        </w:rPr>
        <w:t xml:space="preserve">kreiptis į Faktoringo gavėją dėl regreso </w:t>
      </w:r>
      <w:r w:rsidR="00606214" w:rsidRPr="002E447E">
        <w:rPr>
          <w:lang w:val="lt-LT"/>
        </w:rPr>
        <w:t>PGF</w:t>
      </w:r>
      <w:r w:rsidR="004600F1" w:rsidRPr="002E447E">
        <w:rPr>
          <w:lang w:val="lt-LT"/>
        </w:rPr>
        <w:t>2</w:t>
      </w:r>
      <w:r w:rsidR="00606214" w:rsidRPr="002E447E">
        <w:rPr>
          <w:lang w:val="lt-LT"/>
        </w:rPr>
        <w:t xml:space="preserve"> priemonės valdytojo vidaus tvarkose nustatyta tvarka ir terminais</w:t>
      </w:r>
      <w:r w:rsidR="00B12C9B" w:rsidRPr="002E447E">
        <w:rPr>
          <w:lang w:val="lt-LT"/>
        </w:rPr>
        <w:t xml:space="preserve">. </w:t>
      </w:r>
    </w:p>
    <w:p w14:paraId="49C4D162" w14:textId="6ABFE6F2" w:rsidR="000830FF" w:rsidRPr="002E447E" w:rsidRDefault="00047324" w:rsidP="009B0EE1">
      <w:pPr>
        <w:pStyle w:val="NormalWeb"/>
        <w:numPr>
          <w:ilvl w:val="1"/>
          <w:numId w:val="8"/>
        </w:numPr>
        <w:tabs>
          <w:tab w:val="left" w:pos="567"/>
        </w:tabs>
        <w:spacing w:before="0" w:beforeAutospacing="0" w:after="0" w:afterAutospacing="0" w:line="276" w:lineRule="auto"/>
        <w:ind w:left="-709" w:firstLine="709"/>
        <w:jc w:val="both"/>
        <w:rPr>
          <w:lang w:val="lt-LT"/>
        </w:rPr>
      </w:pPr>
      <w:r w:rsidRPr="002E447E">
        <w:rPr>
          <w:lang w:val="lt-LT"/>
        </w:rPr>
        <w:t xml:space="preserve">Faktoringo </w:t>
      </w:r>
      <w:r w:rsidR="00A072AE" w:rsidRPr="002E447E">
        <w:rPr>
          <w:lang w:val="lt-LT"/>
        </w:rPr>
        <w:t>sandoriui tapus P</w:t>
      </w:r>
      <w:r w:rsidR="00606214" w:rsidRPr="002E447E">
        <w:rPr>
          <w:lang w:val="lt-LT"/>
        </w:rPr>
        <w:t>robleminiu</w:t>
      </w:r>
      <w:r w:rsidR="00A072AE" w:rsidRPr="002E447E">
        <w:rPr>
          <w:lang w:val="lt-LT"/>
        </w:rPr>
        <w:t xml:space="preserve"> faktoringo sandori</w:t>
      </w:r>
      <w:r w:rsidR="006449C8" w:rsidRPr="002E447E">
        <w:rPr>
          <w:lang w:val="lt-LT"/>
        </w:rPr>
        <w:t>u</w:t>
      </w:r>
      <w:r w:rsidR="00606214" w:rsidRPr="002E447E">
        <w:rPr>
          <w:lang w:val="lt-LT"/>
        </w:rPr>
        <w:t>, PGF</w:t>
      </w:r>
      <w:r w:rsidR="004600F1" w:rsidRPr="002E447E">
        <w:rPr>
          <w:lang w:val="lt-LT"/>
        </w:rPr>
        <w:t>2</w:t>
      </w:r>
      <w:r w:rsidR="00606214" w:rsidRPr="002E447E">
        <w:rPr>
          <w:lang w:val="lt-LT"/>
        </w:rPr>
        <w:t xml:space="preserve"> priemonės valdytojas</w:t>
      </w:r>
      <w:r w:rsidR="006449C8" w:rsidRPr="002E447E">
        <w:rPr>
          <w:lang w:val="lt-LT"/>
        </w:rPr>
        <w:t xml:space="preserve"> privalo stabdyti Faktoringo avansų </w:t>
      </w:r>
      <w:r w:rsidR="00B35EB5" w:rsidRPr="002E447E">
        <w:rPr>
          <w:lang w:val="lt-LT"/>
        </w:rPr>
        <w:t xml:space="preserve">išmokėjimą Faktoringo gavėjui </w:t>
      </w:r>
      <w:r w:rsidR="006449C8" w:rsidRPr="002E447E">
        <w:rPr>
          <w:lang w:val="lt-LT"/>
        </w:rPr>
        <w:t xml:space="preserve">pagal </w:t>
      </w:r>
      <w:r w:rsidR="00B12C9B" w:rsidRPr="002E447E">
        <w:rPr>
          <w:lang w:val="lt-LT"/>
        </w:rPr>
        <w:t>visus</w:t>
      </w:r>
      <w:r w:rsidR="0079461B" w:rsidRPr="002E447E">
        <w:rPr>
          <w:lang w:val="lt-LT"/>
        </w:rPr>
        <w:t xml:space="preserve"> </w:t>
      </w:r>
      <w:r w:rsidR="00B35EB5" w:rsidRPr="002E447E">
        <w:rPr>
          <w:lang w:val="lt-LT"/>
        </w:rPr>
        <w:t xml:space="preserve">su Faktoringo gavėju sudarytus </w:t>
      </w:r>
      <w:r w:rsidR="006449C8" w:rsidRPr="002E447E">
        <w:rPr>
          <w:lang w:val="lt-LT"/>
        </w:rPr>
        <w:t>Faktoringo sandor</w:t>
      </w:r>
      <w:r w:rsidR="00B12C9B" w:rsidRPr="002E447E">
        <w:rPr>
          <w:lang w:val="lt-LT"/>
        </w:rPr>
        <w:t xml:space="preserve">ius </w:t>
      </w:r>
      <w:r w:rsidR="006449C8" w:rsidRPr="002E447E">
        <w:rPr>
          <w:lang w:val="lt-LT"/>
        </w:rPr>
        <w:t>ir</w:t>
      </w:r>
      <w:r w:rsidR="00606214" w:rsidRPr="002E447E">
        <w:rPr>
          <w:lang w:val="lt-LT"/>
        </w:rPr>
        <w:t xml:space="preserve"> gali kreiptis dėl Garantijos išmokos.</w:t>
      </w:r>
      <w:r w:rsidR="001A4C86" w:rsidRPr="002E447E">
        <w:rPr>
          <w:lang w:val="lt-LT"/>
        </w:rPr>
        <w:t xml:space="preserve"> </w:t>
      </w:r>
    </w:p>
    <w:p w14:paraId="73B0C7F9" w14:textId="5F0BBBA3" w:rsidR="009D3653" w:rsidRPr="002E447E" w:rsidRDefault="0080024B" w:rsidP="009B0EE1">
      <w:pPr>
        <w:pStyle w:val="NormalWeb"/>
        <w:numPr>
          <w:ilvl w:val="1"/>
          <w:numId w:val="8"/>
        </w:numPr>
        <w:tabs>
          <w:tab w:val="left" w:pos="567"/>
        </w:tabs>
        <w:spacing w:before="0" w:beforeAutospacing="0" w:after="0" w:afterAutospacing="0" w:line="276" w:lineRule="auto"/>
        <w:ind w:left="-709" w:firstLine="709"/>
        <w:jc w:val="both"/>
        <w:rPr>
          <w:lang w:val="lt-LT"/>
        </w:rPr>
      </w:pPr>
      <w:r w:rsidRPr="002E447E">
        <w:rPr>
          <w:bCs/>
          <w:lang w:val="lt-LT"/>
        </w:rPr>
        <w:t>Garantijos i</w:t>
      </w:r>
      <w:r w:rsidR="009B5BE0" w:rsidRPr="002E447E">
        <w:rPr>
          <w:bCs/>
          <w:lang w:val="lt-LT"/>
        </w:rPr>
        <w:t xml:space="preserve">šmokos atliekamos pagal </w:t>
      </w:r>
      <w:r w:rsidR="008134D6" w:rsidRPr="002E447E">
        <w:rPr>
          <w:bCs/>
          <w:lang w:val="lt-LT"/>
        </w:rPr>
        <w:t>kiekvieną Problemin</w:t>
      </w:r>
      <w:r w:rsidR="007158E5" w:rsidRPr="002E447E">
        <w:rPr>
          <w:bCs/>
          <w:lang w:val="lt-LT"/>
        </w:rPr>
        <w:t>į faktoringo sandorį</w:t>
      </w:r>
      <w:r w:rsidR="008134D6" w:rsidRPr="002E447E">
        <w:rPr>
          <w:bCs/>
          <w:lang w:val="lt-LT"/>
        </w:rPr>
        <w:t xml:space="preserve"> iki Didžiausios išmokų sumos</w:t>
      </w:r>
      <w:r w:rsidR="005C442D" w:rsidRPr="002E447E">
        <w:rPr>
          <w:bCs/>
          <w:lang w:val="lt-LT"/>
        </w:rPr>
        <w:t xml:space="preserve">. Kai prašoma </w:t>
      </w:r>
      <w:r w:rsidRPr="002E447E">
        <w:rPr>
          <w:bCs/>
          <w:lang w:val="lt-LT"/>
        </w:rPr>
        <w:t xml:space="preserve">Garantijos </w:t>
      </w:r>
      <w:r w:rsidR="005C442D" w:rsidRPr="002E447E">
        <w:rPr>
          <w:bCs/>
          <w:lang w:val="lt-LT"/>
        </w:rPr>
        <w:t xml:space="preserve">išmokos suma </w:t>
      </w:r>
      <w:r w:rsidR="00A43F62" w:rsidRPr="002E447E">
        <w:rPr>
          <w:bCs/>
          <w:lang w:val="lt-LT"/>
        </w:rPr>
        <w:t xml:space="preserve">Prašymo </w:t>
      </w:r>
      <w:r w:rsidR="00A73E7F" w:rsidRPr="002E447E">
        <w:rPr>
          <w:bCs/>
          <w:lang w:val="lt-LT"/>
        </w:rPr>
        <w:t>G</w:t>
      </w:r>
      <w:r w:rsidR="00A43F62" w:rsidRPr="002E447E">
        <w:rPr>
          <w:bCs/>
          <w:lang w:val="lt-LT"/>
        </w:rPr>
        <w:t xml:space="preserve">arantijos išmokai </w:t>
      </w:r>
      <w:r w:rsidR="005A781A" w:rsidRPr="002E447E">
        <w:rPr>
          <w:bCs/>
          <w:lang w:val="lt-LT"/>
        </w:rPr>
        <w:t>pateikimo dien</w:t>
      </w:r>
      <w:r w:rsidR="00514842" w:rsidRPr="002E447E">
        <w:rPr>
          <w:bCs/>
          <w:lang w:val="lt-LT"/>
        </w:rPr>
        <w:t>ą</w:t>
      </w:r>
      <w:r w:rsidR="005A781A" w:rsidRPr="002E447E">
        <w:rPr>
          <w:bCs/>
          <w:lang w:val="lt-LT"/>
        </w:rPr>
        <w:t xml:space="preserve"> </w:t>
      </w:r>
      <w:r w:rsidR="005C442D" w:rsidRPr="002E447E">
        <w:rPr>
          <w:bCs/>
          <w:lang w:val="lt-LT"/>
        </w:rPr>
        <w:t xml:space="preserve">yra didesnė </w:t>
      </w:r>
      <w:r w:rsidR="005A781A" w:rsidRPr="002E447E">
        <w:rPr>
          <w:bCs/>
          <w:lang w:val="lt-LT"/>
        </w:rPr>
        <w:t xml:space="preserve">už </w:t>
      </w:r>
      <w:r w:rsidR="005C442D" w:rsidRPr="002E447E">
        <w:rPr>
          <w:bCs/>
          <w:lang w:val="lt-LT"/>
        </w:rPr>
        <w:t>Didžiausi</w:t>
      </w:r>
      <w:r w:rsidR="005A781A" w:rsidRPr="002E447E">
        <w:rPr>
          <w:bCs/>
          <w:lang w:val="lt-LT"/>
        </w:rPr>
        <w:t>ą</w:t>
      </w:r>
      <w:r w:rsidR="005C442D" w:rsidRPr="002E447E">
        <w:rPr>
          <w:bCs/>
          <w:lang w:val="lt-LT"/>
        </w:rPr>
        <w:t xml:space="preserve"> išmokų sum</w:t>
      </w:r>
      <w:r w:rsidR="005A781A" w:rsidRPr="002E447E">
        <w:rPr>
          <w:bCs/>
          <w:lang w:val="lt-LT"/>
        </w:rPr>
        <w:t>ą</w:t>
      </w:r>
      <w:r w:rsidR="005C442D" w:rsidRPr="002E447E">
        <w:rPr>
          <w:bCs/>
          <w:lang w:val="lt-LT"/>
        </w:rPr>
        <w:t xml:space="preserve">, </w:t>
      </w:r>
      <w:r w:rsidR="00C02F73" w:rsidRPr="002E447E">
        <w:rPr>
          <w:bCs/>
          <w:lang w:val="lt-LT"/>
        </w:rPr>
        <w:t xml:space="preserve">Garantijos </w:t>
      </w:r>
      <w:r w:rsidR="005C442D" w:rsidRPr="002E447E">
        <w:rPr>
          <w:bCs/>
          <w:lang w:val="lt-LT"/>
        </w:rPr>
        <w:t>išmokos likutis</w:t>
      </w:r>
      <w:r w:rsidR="005A781A" w:rsidRPr="002E447E">
        <w:rPr>
          <w:bCs/>
          <w:lang w:val="lt-LT"/>
        </w:rPr>
        <w:t>,</w:t>
      </w:r>
      <w:r w:rsidR="005C442D" w:rsidRPr="002E447E">
        <w:rPr>
          <w:bCs/>
          <w:lang w:val="lt-LT"/>
        </w:rPr>
        <w:t xml:space="preserve"> viršijantis Didžiausią išmokų sumą</w:t>
      </w:r>
      <w:r w:rsidR="005A781A" w:rsidRPr="002E447E">
        <w:rPr>
          <w:bCs/>
          <w:lang w:val="lt-LT"/>
        </w:rPr>
        <w:t>,</w:t>
      </w:r>
      <w:r w:rsidR="00346103" w:rsidRPr="002E447E">
        <w:rPr>
          <w:bCs/>
          <w:lang w:val="lt-LT"/>
        </w:rPr>
        <w:t xml:space="preserve"> </w:t>
      </w:r>
      <w:r w:rsidR="00C51F33" w:rsidRPr="002E447E">
        <w:rPr>
          <w:bCs/>
          <w:lang w:val="lt-LT"/>
        </w:rPr>
        <w:t>PGF</w:t>
      </w:r>
      <w:r w:rsidR="00C350F1" w:rsidRPr="002E447E">
        <w:rPr>
          <w:bCs/>
          <w:lang w:val="lt-LT"/>
        </w:rPr>
        <w:t>2</w:t>
      </w:r>
      <w:r w:rsidR="00346103" w:rsidRPr="002E447E">
        <w:rPr>
          <w:bCs/>
          <w:lang w:val="lt-LT"/>
        </w:rPr>
        <w:t xml:space="preserve"> priemonės valdytojui </w:t>
      </w:r>
      <w:r w:rsidR="007854DB" w:rsidRPr="002E447E">
        <w:rPr>
          <w:bCs/>
          <w:lang w:val="lt-LT"/>
        </w:rPr>
        <w:t xml:space="preserve">gali būti išmokamas </w:t>
      </w:r>
      <w:r w:rsidR="00346103" w:rsidRPr="002E447E">
        <w:rPr>
          <w:bCs/>
          <w:lang w:val="lt-LT"/>
        </w:rPr>
        <w:t xml:space="preserve">tik pateikus </w:t>
      </w:r>
      <w:r w:rsidR="00C350F1" w:rsidRPr="002E447E">
        <w:rPr>
          <w:bCs/>
          <w:lang w:val="lt-LT"/>
        </w:rPr>
        <w:t>kit</w:t>
      </w:r>
      <w:r w:rsidR="00346103" w:rsidRPr="002E447E">
        <w:rPr>
          <w:bCs/>
          <w:lang w:val="lt-LT"/>
        </w:rPr>
        <w:t>ą ketvirtinę ataskaitą, kurioje įtraukt</w:t>
      </w:r>
      <w:r w:rsidR="007158E5" w:rsidRPr="002E447E">
        <w:rPr>
          <w:bCs/>
          <w:lang w:val="lt-LT"/>
        </w:rPr>
        <w:t>i</w:t>
      </w:r>
      <w:r w:rsidR="00346103" w:rsidRPr="002E447E">
        <w:rPr>
          <w:bCs/>
          <w:lang w:val="lt-LT"/>
        </w:rPr>
        <w:t xml:space="preserve"> papildom</w:t>
      </w:r>
      <w:r w:rsidR="007158E5" w:rsidRPr="002E447E">
        <w:rPr>
          <w:bCs/>
          <w:lang w:val="lt-LT"/>
        </w:rPr>
        <w:t>i</w:t>
      </w:r>
      <w:r w:rsidR="00346103" w:rsidRPr="002E447E">
        <w:rPr>
          <w:bCs/>
          <w:lang w:val="lt-LT"/>
        </w:rPr>
        <w:t xml:space="preserve"> </w:t>
      </w:r>
      <w:r w:rsidR="00F21757" w:rsidRPr="002E447E">
        <w:rPr>
          <w:bCs/>
          <w:lang w:val="lt-LT"/>
        </w:rPr>
        <w:t>Faktoringo sandori</w:t>
      </w:r>
      <w:r w:rsidR="007158E5" w:rsidRPr="002E447E">
        <w:rPr>
          <w:bCs/>
          <w:lang w:val="lt-LT"/>
        </w:rPr>
        <w:t>ai</w:t>
      </w:r>
      <w:r w:rsidR="00C8557F" w:rsidRPr="002E447E">
        <w:rPr>
          <w:bCs/>
          <w:lang w:val="lt-LT"/>
        </w:rPr>
        <w:t xml:space="preserve"> arba Sutarties 7.1</w:t>
      </w:r>
      <w:r w:rsidR="00A22B98" w:rsidRPr="002E447E">
        <w:rPr>
          <w:bCs/>
          <w:lang w:val="lt-LT"/>
        </w:rPr>
        <w:t>2</w:t>
      </w:r>
      <w:r w:rsidR="00C8557F" w:rsidRPr="002E447E">
        <w:rPr>
          <w:bCs/>
          <w:lang w:val="lt-LT"/>
        </w:rPr>
        <w:t xml:space="preserve"> punkte nustatyta tvarka perskaičiavus Didžiausią išmokų sumą</w:t>
      </w:r>
      <w:r w:rsidR="0021369B" w:rsidRPr="002E447E">
        <w:rPr>
          <w:bCs/>
          <w:lang w:val="lt-LT"/>
        </w:rPr>
        <w:t>.</w:t>
      </w:r>
    </w:p>
    <w:p w14:paraId="3DC74450" w14:textId="02226A0E" w:rsidR="009D3653" w:rsidRPr="00B252AA" w:rsidRDefault="009B5BE0" w:rsidP="009B0EE1">
      <w:pPr>
        <w:pStyle w:val="NormalWeb"/>
        <w:numPr>
          <w:ilvl w:val="1"/>
          <w:numId w:val="8"/>
        </w:numPr>
        <w:tabs>
          <w:tab w:val="left" w:pos="567"/>
        </w:tabs>
        <w:spacing w:before="0" w:beforeAutospacing="0" w:after="0" w:afterAutospacing="0" w:line="276" w:lineRule="auto"/>
        <w:ind w:left="-709" w:firstLine="709"/>
        <w:jc w:val="both"/>
        <w:rPr>
          <w:lang w:val="lt-LT"/>
        </w:rPr>
      </w:pPr>
      <w:r w:rsidRPr="00B252AA">
        <w:rPr>
          <w:bCs/>
          <w:lang w:val="lt-LT"/>
        </w:rPr>
        <w:t xml:space="preserve">Bendra </w:t>
      </w:r>
      <w:r w:rsidR="007F1B38" w:rsidRPr="00B252AA">
        <w:rPr>
          <w:bCs/>
          <w:lang w:val="lt-LT"/>
        </w:rPr>
        <w:t xml:space="preserve">mokėtina </w:t>
      </w:r>
      <w:r w:rsidR="00A73E7F" w:rsidRPr="00B252AA">
        <w:rPr>
          <w:bCs/>
          <w:lang w:val="lt-LT"/>
        </w:rPr>
        <w:t xml:space="preserve">Garantijos </w:t>
      </w:r>
      <w:r w:rsidRPr="00B252AA">
        <w:rPr>
          <w:bCs/>
          <w:lang w:val="lt-LT"/>
        </w:rPr>
        <w:t xml:space="preserve">išmokų suma </w:t>
      </w:r>
      <w:r w:rsidR="007F1B38" w:rsidRPr="00B252AA">
        <w:rPr>
          <w:bCs/>
          <w:lang w:val="lt-LT"/>
        </w:rPr>
        <w:t>ne</w:t>
      </w:r>
      <w:r w:rsidR="008134D6" w:rsidRPr="00B252AA">
        <w:rPr>
          <w:bCs/>
          <w:lang w:val="lt-LT"/>
        </w:rPr>
        <w:t xml:space="preserve">gali </w:t>
      </w:r>
      <w:r w:rsidRPr="00B252AA">
        <w:rPr>
          <w:bCs/>
          <w:lang w:val="lt-LT"/>
        </w:rPr>
        <w:t xml:space="preserve">būti didesnė </w:t>
      </w:r>
      <w:r w:rsidR="007F1B38" w:rsidRPr="00B252AA">
        <w:rPr>
          <w:bCs/>
          <w:lang w:val="lt-LT"/>
        </w:rPr>
        <w:t xml:space="preserve">už apskaičiuotą </w:t>
      </w:r>
      <w:r w:rsidR="007F1B38" w:rsidRPr="00B252AA">
        <w:rPr>
          <w:lang w:val="lt-LT"/>
        </w:rPr>
        <w:t xml:space="preserve">Didžiausią </w:t>
      </w:r>
      <w:r w:rsidR="000A08C3" w:rsidRPr="00B252AA">
        <w:rPr>
          <w:lang w:val="lt-LT"/>
        </w:rPr>
        <w:t xml:space="preserve">išmokų </w:t>
      </w:r>
      <w:r w:rsidR="007F1B38" w:rsidRPr="00B252AA">
        <w:rPr>
          <w:lang w:val="lt-LT"/>
        </w:rPr>
        <w:t>sumą</w:t>
      </w:r>
      <w:r w:rsidR="000A08C3" w:rsidRPr="00B252AA">
        <w:rPr>
          <w:lang w:val="lt-LT"/>
        </w:rPr>
        <w:t xml:space="preserve">, kurią </w:t>
      </w:r>
      <w:r w:rsidR="00C51F33" w:rsidRPr="00B252AA">
        <w:rPr>
          <w:lang w:val="lt-LT"/>
        </w:rPr>
        <w:t>PGF</w:t>
      </w:r>
      <w:r w:rsidR="002E447E" w:rsidRPr="00B252AA">
        <w:rPr>
          <w:lang w:val="lt-LT"/>
        </w:rPr>
        <w:t>2</w:t>
      </w:r>
      <w:r w:rsidR="000A08C3" w:rsidRPr="00B252AA">
        <w:rPr>
          <w:lang w:val="lt-LT"/>
        </w:rPr>
        <w:t xml:space="preserve"> priemonės valdytojas gal</w:t>
      </w:r>
      <w:r w:rsidRPr="00B252AA">
        <w:rPr>
          <w:lang w:val="lt-LT"/>
        </w:rPr>
        <w:t>i</w:t>
      </w:r>
      <w:r w:rsidR="000A08C3" w:rsidRPr="00B252AA">
        <w:rPr>
          <w:lang w:val="lt-LT"/>
        </w:rPr>
        <w:t xml:space="preserve"> gauti</w:t>
      </w:r>
      <w:r w:rsidRPr="00B252AA">
        <w:rPr>
          <w:lang w:val="lt-LT"/>
        </w:rPr>
        <w:t xml:space="preserve"> </w:t>
      </w:r>
      <w:r w:rsidR="000A08C3" w:rsidRPr="00B252AA">
        <w:rPr>
          <w:lang w:val="lt-LT"/>
        </w:rPr>
        <w:t>pagal Sutartį</w:t>
      </w:r>
      <w:r w:rsidR="009D3653" w:rsidRPr="00B252AA">
        <w:rPr>
          <w:lang w:val="lt-LT"/>
        </w:rPr>
        <w:t>.</w:t>
      </w:r>
    </w:p>
    <w:p w14:paraId="3B56D042" w14:textId="4CDA92FE" w:rsidR="009D3653" w:rsidRPr="00386956" w:rsidRDefault="00C51F33" w:rsidP="009B0EE1">
      <w:pPr>
        <w:pStyle w:val="NormalWeb"/>
        <w:numPr>
          <w:ilvl w:val="1"/>
          <w:numId w:val="8"/>
        </w:numPr>
        <w:tabs>
          <w:tab w:val="left" w:pos="567"/>
        </w:tabs>
        <w:spacing w:before="0" w:beforeAutospacing="0" w:after="0" w:afterAutospacing="0" w:line="276" w:lineRule="auto"/>
        <w:ind w:left="-709" w:firstLine="709"/>
        <w:jc w:val="both"/>
        <w:rPr>
          <w:lang w:val="lt-LT"/>
        </w:rPr>
      </w:pPr>
      <w:r w:rsidRPr="00B252AA">
        <w:rPr>
          <w:lang w:val="lt-LT"/>
        </w:rPr>
        <w:t>PGF</w:t>
      </w:r>
      <w:r w:rsidR="002E447E" w:rsidRPr="00B252AA">
        <w:rPr>
          <w:lang w:val="lt-LT"/>
        </w:rPr>
        <w:t>2</w:t>
      </w:r>
      <w:r w:rsidR="00E6631A" w:rsidRPr="00B252AA">
        <w:rPr>
          <w:lang w:val="lt-LT"/>
        </w:rPr>
        <w:t xml:space="preserve"> priemonės valdytojui pateikus </w:t>
      </w:r>
      <w:r w:rsidR="00A43F62" w:rsidRPr="00B252AA">
        <w:rPr>
          <w:bCs/>
          <w:lang w:val="lt-LT"/>
        </w:rPr>
        <w:t xml:space="preserve">Prašymą </w:t>
      </w:r>
      <w:r w:rsidR="00A73E7F" w:rsidRPr="00B252AA">
        <w:rPr>
          <w:bCs/>
          <w:lang w:val="lt-LT"/>
        </w:rPr>
        <w:t>G</w:t>
      </w:r>
      <w:r w:rsidR="00A43F62" w:rsidRPr="00B252AA">
        <w:rPr>
          <w:bCs/>
          <w:lang w:val="lt-LT"/>
        </w:rPr>
        <w:t>arantijos išmokai</w:t>
      </w:r>
      <w:r w:rsidR="00E6631A" w:rsidRPr="00B252AA">
        <w:rPr>
          <w:lang w:val="lt-LT"/>
        </w:rPr>
        <w:t xml:space="preserve">, </w:t>
      </w:r>
      <w:r w:rsidR="00AF42B7" w:rsidRPr="00B252AA">
        <w:rPr>
          <w:lang w:val="lt-LT"/>
        </w:rPr>
        <w:t xml:space="preserve">Garantijos </w:t>
      </w:r>
      <w:r w:rsidR="00E6631A" w:rsidRPr="00B252AA">
        <w:rPr>
          <w:lang w:val="lt-LT"/>
        </w:rPr>
        <w:t xml:space="preserve">išmoka </w:t>
      </w:r>
      <w:r w:rsidR="00A43F62" w:rsidRPr="00B252AA">
        <w:rPr>
          <w:lang w:val="lt-LT"/>
        </w:rPr>
        <w:t xml:space="preserve">išmokama </w:t>
      </w:r>
      <w:r w:rsidR="00E6631A" w:rsidRPr="00B252AA">
        <w:rPr>
          <w:lang w:val="lt-LT"/>
        </w:rPr>
        <w:t xml:space="preserve">per </w:t>
      </w:r>
      <w:r w:rsidR="00EB0DAD">
        <w:rPr>
          <w:lang w:val="lt-LT"/>
        </w:rPr>
        <w:t>3</w:t>
      </w:r>
      <w:r w:rsidR="00E6631A" w:rsidRPr="00B252AA">
        <w:rPr>
          <w:lang w:val="lt-LT"/>
        </w:rPr>
        <w:t xml:space="preserve">0 </w:t>
      </w:r>
      <w:r w:rsidR="00A73E7F" w:rsidRPr="00B252AA">
        <w:rPr>
          <w:lang w:val="lt-LT"/>
        </w:rPr>
        <w:t>(</w:t>
      </w:r>
      <w:r w:rsidR="00EB0DAD">
        <w:rPr>
          <w:lang w:val="lt-LT"/>
        </w:rPr>
        <w:t>tri</w:t>
      </w:r>
      <w:r w:rsidR="00EB0DAD" w:rsidRPr="00B252AA">
        <w:rPr>
          <w:lang w:val="lt-LT"/>
        </w:rPr>
        <w:t>sdešimt</w:t>
      </w:r>
      <w:r w:rsidR="00A73E7F" w:rsidRPr="00B252AA">
        <w:rPr>
          <w:lang w:val="lt-LT"/>
        </w:rPr>
        <w:t xml:space="preserve">) </w:t>
      </w:r>
      <w:r w:rsidR="00E6631A" w:rsidRPr="00B252AA">
        <w:rPr>
          <w:lang w:val="lt-LT"/>
        </w:rPr>
        <w:t>kalendorinių dienų nuo</w:t>
      </w:r>
      <w:r w:rsidR="00B9172F" w:rsidRPr="00B252AA">
        <w:rPr>
          <w:lang w:val="lt-LT"/>
        </w:rPr>
        <w:t xml:space="preserve"> </w:t>
      </w:r>
      <w:r w:rsidR="00A73E7F" w:rsidRPr="00B252AA">
        <w:rPr>
          <w:lang w:val="lt-LT"/>
        </w:rPr>
        <w:t xml:space="preserve">Sutarties </w:t>
      </w:r>
      <w:r w:rsidR="00C422EA" w:rsidRPr="00B252AA">
        <w:rPr>
          <w:lang w:val="lt-LT"/>
        </w:rPr>
        <w:t>7</w:t>
      </w:r>
      <w:r w:rsidR="00965605" w:rsidRPr="00B252AA">
        <w:rPr>
          <w:lang w:val="lt-LT"/>
        </w:rPr>
        <w:t>.</w:t>
      </w:r>
      <w:r w:rsidR="00B12C9B" w:rsidRPr="00B252AA">
        <w:rPr>
          <w:lang w:val="lt-LT"/>
        </w:rPr>
        <w:t>6</w:t>
      </w:r>
      <w:r w:rsidR="00965605" w:rsidRPr="00B252AA">
        <w:rPr>
          <w:lang w:val="lt-LT"/>
        </w:rPr>
        <w:t xml:space="preserve"> punkte nurodytas sąlygas atitinkančio </w:t>
      </w:r>
      <w:r w:rsidR="00A43F62" w:rsidRPr="00B252AA">
        <w:rPr>
          <w:bCs/>
          <w:lang w:val="lt-LT"/>
        </w:rPr>
        <w:t xml:space="preserve">Prašymo </w:t>
      </w:r>
      <w:r w:rsidR="00A73E7F" w:rsidRPr="00B252AA">
        <w:rPr>
          <w:bCs/>
          <w:lang w:val="lt-LT"/>
        </w:rPr>
        <w:t>G</w:t>
      </w:r>
      <w:r w:rsidR="00A43F62" w:rsidRPr="00B252AA">
        <w:rPr>
          <w:bCs/>
          <w:lang w:val="lt-LT"/>
        </w:rPr>
        <w:t xml:space="preserve">arantijos išmokai </w:t>
      </w:r>
      <w:r w:rsidR="00E6631A" w:rsidRPr="00B252AA">
        <w:rPr>
          <w:lang w:val="lt-LT"/>
        </w:rPr>
        <w:t>gavimo „Invegoje“</w:t>
      </w:r>
      <w:r w:rsidR="008055A9" w:rsidRPr="00B252AA">
        <w:rPr>
          <w:lang w:val="lt-LT"/>
        </w:rPr>
        <w:t xml:space="preserve"> dienos</w:t>
      </w:r>
      <w:r w:rsidR="00C422EA" w:rsidRPr="00B252AA">
        <w:rPr>
          <w:lang w:val="lt-LT"/>
        </w:rPr>
        <w:t xml:space="preserve">, </w:t>
      </w:r>
      <w:r w:rsidR="007F1B38" w:rsidRPr="00B252AA">
        <w:rPr>
          <w:lang w:val="lt-LT"/>
        </w:rPr>
        <w:t>jei</w:t>
      </w:r>
      <w:r w:rsidR="00C422EA" w:rsidRPr="00B252AA">
        <w:rPr>
          <w:lang w:val="lt-LT"/>
        </w:rPr>
        <w:t xml:space="preserve"> </w:t>
      </w:r>
      <w:r w:rsidRPr="00B252AA">
        <w:rPr>
          <w:lang w:val="lt-LT"/>
        </w:rPr>
        <w:t>PGF</w:t>
      </w:r>
      <w:r w:rsidR="00B252AA" w:rsidRPr="00B252AA">
        <w:rPr>
          <w:lang w:val="lt-LT"/>
        </w:rPr>
        <w:t>2</w:t>
      </w:r>
      <w:r w:rsidR="00E1461F" w:rsidRPr="00B252AA">
        <w:rPr>
          <w:lang w:val="lt-LT"/>
        </w:rPr>
        <w:t xml:space="preserve"> priemonės valdytojas neturi </w:t>
      </w:r>
      <w:r w:rsidR="007F1B38" w:rsidRPr="00B252AA">
        <w:rPr>
          <w:lang w:val="lt-LT"/>
        </w:rPr>
        <w:t>G</w:t>
      </w:r>
      <w:r w:rsidR="00E1461F" w:rsidRPr="00B252AA">
        <w:rPr>
          <w:lang w:val="lt-LT"/>
        </w:rPr>
        <w:t>arantijos mokesčio skolos „In</w:t>
      </w:r>
      <w:r w:rsidR="007F1B38" w:rsidRPr="00B252AA">
        <w:rPr>
          <w:lang w:val="lt-LT"/>
        </w:rPr>
        <w:t>v</w:t>
      </w:r>
      <w:r w:rsidR="00E1461F" w:rsidRPr="00B252AA">
        <w:rPr>
          <w:lang w:val="lt-LT"/>
        </w:rPr>
        <w:t>egai“ už į Portfelį įtraukt</w:t>
      </w:r>
      <w:r w:rsidR="007158E5" w:rsidRPr="00B252AA">
        <w:rPr>
          <w:lang w:val="lt-LT"/>
        </w:rPr>
        <w:t>u</w:t>
      </w:r>
      <w:r w:rsidR="00E1461F" w:rsidRPr="00B252AA">
        <w:rPr>
          <w:lang w:val="lt-LT"/>
        </w:rPr>
        <w:t xml:space="preserve">s </w:t>
      </w:r>
      <w:r w:rsidR="00BE1664" w:rsidRPr="00B252AA">
        <w:rPr>
          <w:lang w:val="lt-LT"/>
        </w:rPr>
        <w:t>Faktoringo sandori</w:t>
      </w:r>
      <w:r w:rsidR="007158E5" w:rsidRPr="00B252AA">
        <w:rPr>
          <w:lang w:val="lt-LT"/>
        </w:rPr>
        <w:t>u</w:t>
      </w:r>
      <w:r w:rsidR="00E1461F" w:rsidRPr="00B252AA">
        <w:rPr>
          <w:lang w:val="lt-LT"/>
        </w:rPr>
        <w:t>s</w:t>
      </w:r>
      <w:r w:rsidR="00F00B4F" w:rsidRPr="00B252AA">
        <w:rPr>
          <w:lang w:val="lt-LT"/>
        </w:rPr>
        <w:t xml:space="preserve"> </w:t>
      </w:r>
      <w:r w:rsidR="00DA1444" w:rsidRPr="00B252AA">
        <w:rPr>
          <w:lang w:val="lt-LT"/>
        </w:rPr>
        <w:t xml:space="preserve">ir </w:t>
      </w:r>
      <w:r w:rsidR="00F00B4F" w:rsidRPr="00B252AA">
        <w:rPr>
          <w:lang w:val="lt-LT"/>
        </w:rPr>
        <w:t>vykdo esminius įsipareigojimus pagal Sutartį</w:t>
      </w:r>
      <w:r w:rsidR="00E1461F" w:rsidRPr="00B252AA">
        <w:rPr>
          <w:lang w:val="lt-LT"/>
        </w:rPr>
        <w:t>.</w:t>
      </w:r>
      <w:r w:rsidR="00AD39B9" w:rsidRPr="00B252AA">
        <w:rPr>
          <w:lang w:val="lt-LT"/>
        </w:rPr>
        <w:t xml:space="preserve"> Garantijos išmokas „Invega“ moka </w:t>
      </w:r>
      <w:r w:rsidR="00AD39B9" w:rsidRPr="00386956">
        <w:rPr>
          <w:lang w:val="lt-LT"/>
        </w:rPr>
        <w:t xml:space="preserve">į </w:t>
      </w:r>
      <w:r w:rsidR="0079461B" w:rsidRPr="00386956">
        <w:rPr>
          <w:lang w:val="lt-LT"/>
        </w:rPr>
        <w:t>Pajamų</w:t>
      </w:r>
      <w:r w:rsidR="005075B1" w:rsidRPr="00386956">
        <w:rPr>
          <w:lang w:val="lt-LT"/>
        </w:rPr>
        <w:t xml:space="preserve"> </w:t>
      </w:r>
      <w:r w:rsidR="00AD39B9" w:rsidRPr="00386956">
        <w:rPr>
          <w:lang w:val="lt-LT"/>
        </w:rPr>
        <w:t>sąskaitą</w:t>
      </w:r>
      <w:r w:rsidR="005075B1" w:rsidRPr="00386956">
        <w:rPr>
          <w:lang w:val="lt-LT"/>
        </w:rPr>
        <w:t>.</w:t>
      </w:r>
    </w:p>
    <w:p w14:paraId="7427EEC0" w14:textId="0B1F5302" w:rsidR="00694293" w:rsidRPr="00386956" w:rsidRDefault="00AA0C04" w:rsidP="009B0EE1">
      <w:pPr>
        <w:pStyle w:val="NormalWeb"/>
        <w:numPr>
          <w:ilvl w:val="1"/>
          <w:numId w:val="8"/>
        </w:numPr>
        <w:tabs>
          <w:tab w:val="left" w:pos="567"/>
        </w:tabs>
        <w:spacing w:before="0" w:beforeAutospacing="0" w:after="0" w:afterAutospacing="0" w:line="276" w:lineRule="auto"/>
        <w:ind w:left="-709" w:firstLine="709"/>
        <w:jc w:val="both"/>
        <w:rPr>
          <w:lang w:val="lt-LT"/>
        </w:rPr>
      </w:pPr>
      <w:r w:rsidRPr="00386956">
        <w:rPr>
          <w:lang w:val="lt-LT"/>
        </w:rPr>
        <w:t xml:space="preserve">„Invega“ vertina pateiktą </w:t>
      </w:r>
      <w:r w:rsidR="00D03316" w:rsidRPr="00386956">
        <w:rPr>
          <w:lang w:val="lt-LT"/>
        </w:rPr>
        <w:t xml:space="preserve">Prašymą </w:t>
      </w:r>
      <w:r w:rsidR="00C8557F" w:rsidRPr="00386956">
        <w:rPr>
          <w:lang w:val="lt-LT"/>
        </w:rPr>
        <w:t>G</w:t>
      </w:r>
      <w:r w:rsidR="00D03316" w:rsidRPr="00386956">
        <w:rPr>
          <w:lang w:val="lt-LT"/>
        </w:rPr>
        <w:t>arantijos išmokai</w:t>
      </w:r>
      <w:r w:rsidR="00694293" w:rsidRPr="00386956">
        <w:rPr>
          <w:lang w:val="lt-LT"/>
        </w:rPr>
        <w:t>, jei:</w:t>
      </w:r>
    </w:p>
    <w:p w14:paraId="62DD89DA" w14:textId="1C3D7398" w:rsidR="009D3653" w:rsidRPr="00386956" w:rsidRDefault="00427F8A" w:rsidP="009B0EE1">
      <w:pPr>
        <w:pStyle w:val="ListParagraph"/>
        <w:numPr>
          <w:ilvl w:val="2"/>
          <w:numId w:val="8"/>
        </w:numPr>
        <w:tabs>
          <w:tab w:val="left" w:pos="851"/>
        </w:tabs>
        <w:overflowPunct w:val="0"/>
        <w:autoSpaceDE w:val="0"/>
        <w:autoSpaceDN w:val="0"/>
        <w:adjustRightInd w:val="0"/>
        <w:spacing w:after="0"/>
        <w:ind w:left="-709" w:firstLine="709"/>
        <w:jc w:val="both"/>
        <w:textAlignment w:val="baseline"/>
        <w:rPr>
          <w:rFonts w:eastAsia="Times New Roman"/>
          <w:sz w:val="24"/>
          <w:szCs w:val="24"/>
          <w:lang w:val="lt-LT"/>
        </w:rPr>
      </w:pPr>
      <w:r w:rsidRPr="00BF7887">
        <w:rPr>
          <w:rFonts w:eastAsia="Times New Roman"/>
          <w:sz w:val="24"/>
          <w:szCs w:val="24"/>
          <w:lang w:val="lt-LT"/>
        </w:rPr>
        <w:t xml:space="preserve">Prašymas </w:t>
      </w:r>
      <w:r w:rsidR="00C8557F" w:rsidRPr="00BF7887">
        <w:rPr>
          <w:rFonts w:eastAsia="Times New Roman"/>
          <w:sz w:val="24"/>
          <w:szCs w:val="24"/>
          <w:lang w:val="lt-LT"/>
        </w:rPr>
        <w:t>G</w:t>
      </w:r>
      <w:r w:rsidRPr="00BF7887">
        <w:rPr>
          <w:rFonts w:eastAsia="Times New Roman"/>
          <w:sz w:val="24"/>
          <w:szCs w:val="24"/>
          <w:lang w:val="lt-LT"/>
        </w:rPr>
        <w:t xml:space="preserve">arantijos išmokai </w:t>
      </w:r>
      <w:r w:rsidR="00AA0C04" w:rsidRPr="00BF7887">
        <w:rPr>
          <w:rFonts w:eastAsia="Times New Roman"/>
          <w:sz w:val="24"/>
          <w:szCs w:val="24"/>
          <w:lang w:val="lt-LT"/>
        </w:rPr>
        <w:t xml:space="preserve">yra </w:t>
      </w:r>
      <w:r w:rsidR="00694293" w:rsidRPr="00BF7887">
        <w:rPr>
          <w:rFonts w:eastAsia="Times New Roman"/>
          <w:sz w:val="24"/>
          <w:szCs w:val="24"/>
          <w:lang w:val="lt-LT"/>
        </w:rPr>
        <w:t>tinkamai užpildytas</w:t>
      </w:r>
      <w:r w:rsidR="00AA0C04" w:rsidRPr="00BF7887">
        <w:rPr>
          <w:rFonts w:eastAsia="Times New Roman"/>
          <w:sz w:val="24"/>
          <w:szCs w:val="24"/>
          <w:lang w:val="lt-LT"/>
        </w:rPr>
        <w:t xml:space="preserve"> pagal Sutarties priede</w:t>
      </w:r>
      <w:r w:rsidR="00A43F62" w:rsidRPr="00BF7887">
        <w:rPr>
          <w:rFonts w:eastAsia="Times New Roman"/>
          <w:sz w:val="24"/>
          <w:szCs w:val="24"/>
          <w:lang w:val="lt-LT"/>
        </w:rPr>
        <w:t xml:space="preserve"> Nr. </w:t>
      </w:r>
      <w:r w:rsidR="00E63739" w:rsidRPr="00BF7887">
        <w:rPr>
          <w:rFonts w:eastAsia="Times New Roman"/>
          <w:sz w:val="24"/>
          <w:szCs w:val="24"/>
          <w:lang w:val="lt-LT"/>
        </w:rPr>
        <w:t>1</w:t>
      </w:r>
      <w:r w:rsidR="00EB0DAD" w:rsidRPr="00BF7887">
        <w:rPr>
          <w:rFonts w:eastAsia="Times New Roman"/>
          <w:sz w:val="24"/>
          <w:szCs w:val="24"/>
          <w:lang w:val="lt-LT"/>
        </w:rPr>
        <w:t>3</w:t>
      </w:r>
      <w:r w:rsidR="00AA0C04" w:rsidRPr="00386956">
        <w:rPr>
          <w:rFonts w:eastAsia="Times New Roman"/>
          <w:sz w:val="24"/>
          <w:szCs w:val="24"/>
          <w:lang w:val="lt-LT"/>
        </w:rPr>
        <w:t xml:space="preserve"> nurodytą formą</w:t>
      </w:r>
      <w:r w:rsidR="008F1DCB" w:rsidRPr="00386956">
        <w:rPr>
          <w:rFonts w:eastAsia="Times New Roman"/>
          <w:sz w:val="24"/>
          <w:szCs w:val="24"/>
          <w:lang w:val="lt-LT"/>
        </w:rPr>
        <w:t xml:space="preserve"> ir</w:t>
      </w:r>
      <w:r w:rsidR="00476A8D" w:rsidRPr="00386956">
        <w:rPr>
          <w:rFonts w:eastAsia="Times New Roman"/>
          <w:sz w:val="24"/>
          <w:szCs w:val="24"/>
          <w:lang w:val="lt-LT"/>
        </w:rPr>
        <w:t xml:space="preserve"> </w:t>
      </w:r>
      <w:r w:rsidR="00A73E7F" w:rsidRPr="00386956">
        <w:rPr>
          <w:rFonts w:eastAsia="Times New Roman"/>
          <w:sz w:val="24"/>
          <w:szCs w:val="24"/>
          <w:lang w:val="lt-LT"/>
        </w:rPr>
        <w:t xml:space="preserve">yra </w:t>
      </w:r>
      <w:r w:rsidR="00476A8D" w:rsidRPr="00386956">
        <w:rPr>
          <w:rFonts w:eastAsia="Times New Roman"/>
          <w:sz w:val="24"/>
          <w:szCs w:val="24"/>
          <w:lang w:val="lt-LT"/>
        </w:rPr>
        <w:t>pateikta Sutarties priede Nr.</w:t>
      </w:r>
      <w:r w:rsidR="00A73E7F" w:rsidRPr="00386956">
        <w:rPr>
          <w:rFonts w:eastAsia="Times New Roman"/>
          <w:sz w:val="24"/>
          <w:szCs w:val="24"/>
          <w:lang w:val="lt-LT"/>
        </w:rPr>
        <w:t xml:space="preserve"> </w:t>
      </w:r>
      <w:r w:rsidR="00476A8D" w:rsidRPr="00386956">
        <w:rPr>
          <w:rFonts w:eastAsia="Times New Roman"/>
          <w:sz w:val="24"/>
          <w:szCs w:val="24"/>
          <w:lang w:val="lt-LT"/>
        </w:rPr>
        <w:t>12 nurodyt</w:t>
      </w:r>
      <w:r w:rsidRPr="00386956">
        <w:rPr>
          <w:rFonts w:eastAsia="Times New Roman"/>
          <w:sz w:val="24"/>
          <w:szCs w:val="24"/>
          <w:lang w:val="lt-LT"/>
        </w:rPr>
        <w:t>os formos</w:t>
      </w:r>
      <w:r w:rsidR="00476A8D" w:rsidRPr="00386956">
        <w:rPr>
          <w:rFonts w:eastAsia="Times New Roman"/>
          <w:sz w:val="24"/>
          <w:szCs w:val="24"/>
          <w:lang w:val="lt-LT"/>
        </w:rPr>
        <w:t xml:space="preserve"> </w:t>
      </w:r>
      <w:r w:rsidR="00514842" w:rsidRPr="00386956">
        <w:rPr>
          <w:rFonts w:eastAsia="Times New Roman"/>
          <w:sz w:val="24"/>
          <w:szCs w:val="24"/>
          <w:lang w:val="lt-LT"/>
        </w:rPr>
        <w:t>ataskaita</w:t>
      </w:r>
      <w:r w:rsidR="00694293" w:rsidRPr="00386956">
        <w:rPr>
          <w:rFonts w:eastAsia="Times New Roman"/>
          <w:sz w:val="24"/>
          <w:szCs w:val="24"/>
          <w:lang w:val="lt-LT"/>
        </w:rPr>
        <w:t>;</w:t>
      </w:r>
    </w:p>
    <w:p w14:paraId="10FB6601" w14:textId="5D941161" w:rsidR="009D3653" w:rsidRPr="00386956" w:rsidRDefault="00D03316" w:rsidP="009B0EE1">
      <w:pPr>
        <w:pStyle w:val="ListParagraph"/>
        <w:numPr>
          <w:ilvl w:val="2"/>
          <w:numId w:val="8"/>
        </w:numPr>
        <w:tabs>
          <w:tab w:val="left" w:pos="851"/>
        </w:tabs>
        <w:overflowPunct w:val="0"/>
        <w:autoSpaceDE w:val="0"/>
        <w:autoSpaceDN w:val="0"/>
        <w:adjustRightInd w:val="0"/>
        <w:spacing w:after="0"/>
        <w:ind w:left="-709" w:firstLine="709"/>
        <w:jc w:val="both"/>
        <w:textAlignment w:val="baseline"/>
        <w:rPr>
          <w:rFonts w:eastAsia="Times New Roman"/>
          <w:sz w:val="24"/>
          <w:szCs w:val="24"/>
          <w:lang w:val="lt-LT"/>
        </w:rPr>
      </w:pPr>
      <w:r w:rsidRPr="00386956">
        <w:rPr>
          <w:rFonts w:eastAsia="Times New Roman"/>
          <w:sz w:val="24"/>
          <w:szCs w:val="24"/>
          <w:lang w:val="lt-LT"/>
        </w:rPr>
        <w:t>P</w:t>
      </w:r>
      <w:r w:rsidR="00694293" w:rsidRPr="00386956">
        <w:rPr>
          <w:rFonts w:eastAsia="Times New Roman"/>
          <w:sz w:val="24"/>
          <w:szCs w:val="24"/>
          <w:lang w:val="lt-LT"/>
        </w:rPr>
        <w:t>rašymas</w:t>
      </w:r>
      <w:r w:rsidR="00E63739" w:rsidRPr="00386956">
        <w:rPr>
          <w:rFonts w:eastAsia="Times New Roman"/>
          <w:sz w:val="24"/>
          <w:szCs w:val="24"/>
          <w:lang w:val="lt-LT"/>
        </w:rPr>
        <w:t xml:space="preserve"> </w:t>
      </w:r>
      <w:r w:rsidR="00C8557F" w:rsidRPr="00386956">
        <w:rPr>
          <w:rFonts w:eastAsia="Times New Roman"/>
          <w:sz w:val="24"/>
          <w:szCs w:val="24"/>
          <w:lang w:val="lt-LT"/>
        </w:rPr>
        <w:t>G</w:t>
      </w:r>
      <w:r w:rsidR="00E63739" w:rsidRPr="00386956">
        <w:rPr>
          <w:rFonts w:eastAsia="Times New Roman"/>
          <w:sz w:val="24"/>
          <w:szCs w:val="24"/>
          <w:lang w:val="lt-LT"/>
        </w:rPr>
        <w:t>arantijos išmokai</w:t>
      </w:r>
      <w:r w:rsidR="00694293" w:rsidRPr="00386956">
        <w:rPr>
          <w:rFonts w:eastAsia="Times New Roman"/>
          <w:sz w:val="24"/>
          <w:szCs w:val="24"/>
          <w:lang w:val="lt-LT"/>
        </w:rPr>
        <w:t xml:space="preserve"> atsiųstas elektroniniu paštu</w:t>
      </w:r>
      <w:hyperlink r:id="rId11" w:history="1"/>
      <w:r w:rsidR="007158E5" w:rsidRPr="00386956">
        <w:rPr>
          <w:rFonts w:eastAsia="Times New Roman"/>
          <w:sz w:val="24"/>
          <w:szCs w:val="24"/>
          <w:lang w:val="lt-LT"/>
        </w:rPr>
        <w:t xml:space="preserve"> </w:t>
      </w:r>
      <w:hyperlink r:id="rId12" w:history="1">
        <w:r w:rsidR="00CE5C4B" w:rsidRPr="00CE5C4B">
          <w:rPr>
            <w:rStyle w:val="Hyperlink"/>
            <w:rFonts w:eastAsia="Times New Roman"/>
            <w:sz w:val="24"/>
            <w:szCs w:val="24"/>
            <w:lang w:val="lt-LT"/>
          </w:rPr>
          <w:t>pgf</w:t>
        </w:r>
        <w:r w:rsidR="00CE5C4B" w:rsidRPr="003F3597">
          <w:rPr>
            <w:rStyle w:val="Hyperlink"/>
            <w:rFonts w:eastAsia="Times New Roman"/>
            <w:sz w:val="24"/>
            <w:szCs w:val="24"/>
            <w:lang w:val="lt-LT"/>
          </w:rPr>
          <w:t>2@invega.lt</w:t>
        </w:r>
      </w:hyperlink>
      <w:r w:rsidR="00245B5A" w:rsidRPr="00386956">
        <w:rPr>
          <w:rFonts w:eastAsia="Times New Roman"/>
          <w:sz w:val="24"/>
          <w:szCs w:val="24"/>
          <w:lang w:val="lt-LT"/>
        </w:rPr>
        <w:t xml:space="preserve"> </w:t>
      </w:r>
      <w:r w:rsidR="00694293" w:rsidRPr="00386956">
        <w:rPr>
          <w:rFonts w:eastAsia="Times New Roman"/>
          <w:sz w:val="24"/>
          <w:szCs w:val="24"/>
          <w:lang w:val="lt-LT"/>
        </w:rPr>
        <w:t xml:space="preserve">ir </w:t>
      </w:r>
      <w:r w:rsidR="00A43F62" w:rsidRPr="00386956">
        <w:rPr>
          <w:rFonts w:eastAsia="Times New Roman"/>
          <w:sz w:val="24"/>
          <w:szCs w:val="24"/>
          <w:lang w:val="lt-LT"/>
        </w:rPr>
        <w:t xml:space="preserve">Elektroniniu parašu </w:t>
      </w:r>
      <w:r w:rsidR="00580288" w:rsidRPr="00386956">
        <w:rPr>
          <w:rFonts w:eastAsia="Times New Roman"/>
          <w:sz w:val="24"/>
          <w:szCs w:val="24"/>
          <w:lang w:val="lt-LT"/>
        </w:rPr>
        <w:t>pasirašytas</w:t>
      </w:r>
      <w:r w:rsidR="00694293" w:rsidRPr="00386956">
        <w:rPr>
          <w:rFonts w:eastAsia="Times New Roman"/>
          <w:sz w:val="24"/>
          <w:szCs w:val="24"/>
          <w:lang w:val="lt-LT"/>
        </w:rPr>
        <w:t xml:space="preserve"> įgaliotų asmenų;</w:t>
      </w:r>
    </w:p>
    <w:p w14:paraId="4F0288CD" w14:textId="0FB8C57A" w:rsidR="009A0826" w:rsidRPr="000344D7" w:rsidRDefault="00D03316" w:rsidP="009B0EE1">
      <w:pPr>
        <w:pStyle w:val="ListParagraph"/>
        <w:numPr>
          <w:ilvl w:val="2"/>
          <w:numId w:val="8"/>
        </w:numPr>
        <w:tabs>
          <w:tab w:val="left" w:pos="851"/>
        </w:tabs>
        <w:overflowPunct w:val="0"/>
        <w:autoSpaceDE w:val="0"/>
        <w:autoSpaceDN w:val="0"/>
        <w:adjustRightInd w:val="0"/>
        <w:spacing w:after="0"/>
        <w:ind w:left="-709" w:firstLine="709"/>
        <w:jc w:val="both"/>
        <w:textAlignment w:val="baseline"/>
        <w:rPr>
          <w:rFonts w:eastAsia="Times New Roman"/>
          <w:sz w:val="24"/>
          <w:szCs w:val="24"/>
          <w:lang w:val="lt-LT"/>
        </w:rPr>
      </w:pPr>
      <w:r w:rsidRPr="000344D7">
        <w:rPr>
          <w:rFonts w:eastAsia="Times New Roman"/>
          <w:sz w:val="24"/>
          <w:szCs w:val="24"/>
          <w:lang w:val="lt-LT"/>
        </w:rPr>
        <w:t>P</w:t>
      </w:r>
      <w:r w:rsidR="00FC1D3D" w:rsidRPr="000344D7">
        <w:rPr>
          <w:bCs/>
          <w:sz w:val="24"/>
          <w:szCs w:val="24"/>
          <w:lang w:val="lt-LT"/>
        </w:rPr>
        <w:t xml:space="preserve">rašymas </w:t>
      </w:r>
      <w:r w:rsidR="00C8557F" w:rsidRPr="000344D7">
        <w:rPr>
          <w:bCs/>
          <w:sz w:val="24"/>
          <w:szCs w:val="24"/>
          <w:lang w:val="lt-LT"/>
        </w:rPr>
        <w:t>G</w:t>
      </w:r>
      <w:r w:rsidR="00FC1D3D" w:rsidRPr="000344D7">
        <w:rPr>
          <w:bCs/>
          <w:sz w:val="24"/>
          <w:szCs w:val="24"/>
          <w:lang w:val="lt-LT"/>
        </w:rPr>
        <w:t>arantijos išmokai</w:t>
      </w:r>
      <w:r w:rsidR="00694293" w:rsidRPr="000344D7">
        <w:rPr>
          <w:rFonts w:eastAsia="Times New Roman"/>
          <w:sz w:val="24"/>
          <w:szCs w:val="24"/>
          <w:lang w:val="lt-LT"/>
        </w:rPr>
        <w:t xml:space="preserve"> gauti išsiųstas ne vėliau nei Galutin</w:t>
      </w:r>
      <w:r w:rsidR="00FC1D3D" w:rsidRPr="000344D7">
        <w:rPr>
          <w:rFonts w:eastAsia="Times New Roman"/>
          <w:sz w:val="24"/>
          <w:szCs w:val="24"/>
          <w:lang w:val="lt-LT"/>
        </w:rPr>
        <w:t>ę</w:t>
      </w:r>
      <w:r w:rsidR="00694293" w:rsidRPr="000344D7">
        <w:rPr>
          <w:rFonts w:eastAsia="Times New Roman"/>
          <w:sz w:val="24"/>
          <w:szCs w:val="24"/>
          <w:lang w:val="lt-LT"/>
        </w:rPr>
        <w:t xml:space="preserve"> </w:t>
      </w:r>
      <w:r w:rsidR="00287CFC" w:rsidRPr="000344D7">
        <w:rPr>
          <w:rFonts w:eastAsia="Times New Roman"/>
          <w:sz w:val="24"/>
          <w:szCs w:val="24"/>
          <w:lang w:val="lt-LT"/>
        </w:rPr>
        <w:t xml:space="preserve">išmokos </w:t>
      </w:r>
      <w:r w:rsidR="00694293" w:rsidRPr="000344D7">
        <w:rPr>
          <w:rFonts w:eastAsia="Times New Roman"/>
          <w:sz w:val="24"/>
          <w:szCs w:val="24"/>
          <w:lang w:val="lt-LT"/>
        </w:rPr>
        <w:t>mokėjimo prašymo dien</w:t>
      </w:r>
      <w:r w:rsidR="00FC1D3D" w:rsidRPr="000344D7">
        <w:rPr>
          <w:rFonts w:eastAsia="Times New Roman"/>
          <w:sz w:val="24"/>
          <w:szCs w:val="24"/>
          <w:lang w:val="lt-LT"/>
        </w:rPr>
        <w:t>ą</w:t>
      </w:r>
      <w:r w:rsidR="00F00B4F" w:rsidRPr="000344D7">
        <w:rPr>
          <w:rFonts w:eastAsia="Times New Roman"/>
          <w:sz w:val="24"/>
          <w:szCs w:val="24"/>
          <w:lang w:val="lt-LT"/>
        </w:rPr>
        <w:t>.</w:t>
      </w:r>
    </w:p>
    <w:p w14:paraId="74BE975B" w14:textId="4A8007CD" w:rsidR="009D3653" w:rsidRPr="000344D7" w:rsidRDefault="00CD1F5D" w:rsidP="009B0EE1">
      <w:pPr>
        <w:pStyle w:val="ListParagraph"/>
        <w:numPr>
          <w:ilvl w:val="1"/>
          <w:numId w:val="8"/>
        </w:numPr>
        <w:tabs>
          <w:tab w:val="left" w:pos="567"/>
        </w:tabs>
        <w:overflowPunct w:val="0"/>
        <w:autoSpaceDE w:val="0"/>
        <w:autoSpaceDN w:val="0"/>
        <w:adjustRightInd w:val="0"/>
        <w:spacing w:after="0"/>
        <w:ind w:left="-709" w:firstLine="709"/>
        <w:jc w:val="both"/>
        <w:textAlignment w:val="baseline"/>
        <w:rPr>
          <w:rFonts w:eastAsia="Times New Roman"/>
          <w:sz w:val="24"/>
          <w:szCs w:val="24"/>
          <w:lang w:val="lt-LT"/>
        </w:rPr>
      </w:pPr>
      <w:r w:rsidRPr="000344D7">
        <w:rPr>
          <w:rFonts w:eastAsia="Times New Roman"/>
          <w:sz w:val="24"/>
          <w:szCs w:val="24"/>
          <w:lang w:val="lt-LT"/>
        </w:rPr>
        <w:t>J</w:t>
      </w:r>
      <w:r w:rsidR="00694293" w:rsidRPr="000344D7">
        <w:rPr>
          <w:rFonts w:eastAsia="Times New Roman"/>
          <w:w w:val="105"/>
          <w:kern w:val="20"/>
          <w:sz w:val="24"/>
          <w:szCs w:val="24"/>
          <w:lang w:val="lt-LT" w:eastAsia="lt-LT"/>
        </w:rPr>
        <w:t xml:space="preserve">ei </w:t>
      </w:r>
      <w:r w:rsidR="00D03316" w:rsidRPr="000344D7">
        <w:rPr>
          <w:rFonts w:eastAsia="Times New Roman"/>
          <w:w w:val="105"/>
          <w:kern w:val="20"/>
          <w:sz w:val="24"/>
          <w:szCs w:val="24"/>
          <w:lang w:val="lt-LT" w:eastAsia="lt-LT"/>
        </w:rPr>
        <w:t xml:space="preserve">Prašyme </w:t>
      </w:r>
      <w:r w:rsidR="00C8557F" w:rsidRPr="000344D7">
        <w:rPr>
          <w:rFonts w:eastAsia="Times New Roman"/>
          <w:w w:val="105"/>
          <w:kern w:val="20"/>
          <w:sz w:val="24"/>
          <w:szCs w:val="24"/>
          <w:lang w:val="lt-LT" w:eastAsia="lt-LT"/>
        </w:rPr>
        <w:t>G</w:t>
      </w:r>
      <w:r w:rsidR="00D03316" w:rsidRPr="000344D7">
        <w:rPr>
          <w:rFonts w:eastAsia="Times New Roman"/>
          <w:w w:val="105"/>
          <w:kern w:val="20"/>
          <w:sz w:val="24"/>
          <w:szCs w:val="24"/>
          <w:lang w:val="lt-LT" w:eastAsia="lt-LT"/>
        </w:rPr>
        <w:t>arantijos išmokai</w:t>
      </w:r>
      <w:r w:rsidR="00694293" w:rsidRPr="000344D7">
        <w:rPr>
          <w:rFonts w:eastAsia="Times New Roman"/>
          <w:w w:val="105"/>
          <w:kern w:val="20"/>
          <w:sz w:val="24"/>
          <w:szCs w:val="24"/>
          <w:lang w:val="lt-LT" w:eastAsia="lt-LT"/>
        </w:rPr>
        <w:t xml:space="preserve"> </w:t>
      </w:r>
      <w:r w:rsidR="00FC1D3D" w:rsidRPr="000344D7">
        <w:rPr>
          <w:rFonts w:eastAsia="Times New Roman"/>
          <w:w w:val="105"/>
          <w:kern w:val="20"/>
          <w:sz w:val="24"/>
          <w:szCs w:val="24"/>
          <w:lang w:val="lt-LT" w:eastAsia="lt-LT"/>
        </w:rPr>
        <w:t xml:space="preserve">nustatomi </w:t>
      </w:r>
      <w:r w:rsidR="00694293" w:rsidRPr="000344D7">
        <w:rPr>
          <w:rFonts w:eastAsia="Times New Roman"/>
          <w:w w:val="105"/>
          <w:kern w:val="20"/>
          <w:sz w:val="24"/>
          <w:szCs w:val="24"/>
          <w:lang w:val="lt-LT" w:eastAsia="lt-LT"/>
        </w:rPr>
        <w:t xml:space="preserve">duomenų neatitikimai, </w:t>
      </w:r>
      <w:r w:rsidRPr="000344D7">
        <w:rPr>
          <w:rFonts w:eastAsia="Times New Roman"/>
          <w:w w:val="105"/>
          <w:kern w:val="20"/>
          <w:sz w:val="24"/>
          <w:szCs w:val="24"/>
          <w:lang w:val="lt-LT" w:eastAsia="lt-LT"/>
        </w:rPr>
        <w:t xml:space="preserve">„Invega“ prašo neatitikimus ištaisyti ir </w:t>
      </w:r>
      <w:r w:rsidR="00FC1D3D" w:rsidRPr="000344D7">
        <w:rPr>
          <w:rFonts w:eastAsia="Times New Roman"/>
          <w:w w:val="105"/>
          <w:kern w:val="20"/>
          <w:sz w:val="24"/>
          <w:szCs w:val="24"/>
          <w:lang w:val="lt-LT" w:eastAsia="lt-LT"/>
        </w:rPr>
        <w:t xml:space="preserve">pateikti </w:t>
      </w:r>
      <w:r w:rsidRPr="000344D7">
        <w:rPr>
          <w:rFonts w:eastAsia="Times New Roman"/>
          <w:w w:val="105"/>
          <w:kern w:val="20"/>
          <w:sz w:val="24"/>
          <w:szCs w:val="24"/>
          <w:lang w:val="lt-LT" w:eastAsia="lt-LT"/>
        </w:rPr>
        <w:t xml:space="preserve">pakoreguotą </w:t>
      </w:r>
      <w:r w:rsidR="00FC1D3D" w:rsidRPr="000344D7">
        <w:rPr>
          <w:rFonts w:eastAsia="Times New Roman"/>
          <w:bCs/>
          <w:w w:val="105"/>
          <w:kern w:val="20"/>
          <w:sz w:val="24"/>
          <w:szCs w:val="24"/>
          <w:lang w:val="lt-LT" w:eastAsia="lt-LT"/>
        </w:rPr>
        <w:t xml:space="preserve">Prašymą </w:t>
      </w:r>
      <w:r w:rsidR="00C8557F" w:rsidRPr="000344D7">
        <w:rPr>
          <w:rFonts w:eastAsia="Times New Roman"/>
          <w:bCs/>
          <w:w w:val="105"/>
          <w:kern w:val="20"/>
          <w:sz w:val="24"/>
          <w:szCs w:val="24"/>
          <w:lang w:val="lt-LT" w:eastAsia="lt-LT"/>
        </w:rPr>
        <w:t>G</w:t>
      </w:r>
      <w:r w:rsidR="00FC1D3D" w:rsidRPr="000344D7">
        <w:rPr>
          <w:rFonts w:eastAsia="Times New Roman"/>
          <w:bCs/>
          <w:w w:val="105"/>
          <w:kern w:val="20"/>
          <w:sz w:val="24"/>
          <w:szCs w:val="24"/>
          <w:lang w:val="lt-LT" w:eastAsia="lt-LT"/>
        </w:rPr>
        <w:t>arantijos išmokai</w:t>
      </w:r>
      <w:r w:rsidR="00F00B4F" w:rsidRPr="000344D7">
        <w:rPr>
          <w:rFonts w:eastAsia="Times New Roman"/>
          <w:w w:val="105"/>
          <w:kern w:val="20"/>
          <w:sz w:val="24"/>
          <w:szCs w:val="24"/>
          <w:lang w:val="lt-LT" w:eastAsia="lt-LT"/>
        </w:rPr>
        <w:t>.</w:t>
      </w:r>
    </w:p>
    <w:p w14:paraId="2945CC35" w14:textId="3F0EF0A7" w:rsidR="009D3653" w:rsidRPr="000344D7" w:rsidRDefault="00CD1F5D" w:rsidP="009B0EE1">
      <w:pPr>
        <w:pStyle w:val="ListParagraph"/>
        <w:numPr>
          <w:ilvl w:val="1"/>
          <w:numId w:val="8"/>
        </w:numPr>
        <w:tabs>
          <w:tab w:val="left" w:pos="567"/>
        </w:tabs>
        <w:overflowPunct w:val="0"/>
        <w:autoSpaceDE w:val="0"/>
        <w:autoSpaceDN w:val="0"/>
        <w:adjustRightInd w:val="0"/>
        <w:spacing w:after="0"/>
        <w:ind w:left="-709" w:firstLine="709"/>
        <w:jc w:val="both"/>
        <w:textAlignment w:val="baseline"/>
        <w:rPr>
          <w:rFonts w:eastAsia="Times New Roman"/>
          <w:sz w:val="24"/>
          <w:szCs w:val="24"/>
          <w:lang w:val="lt-LT"/>
        </w:rPr>
      </w:pPr>
      <w:r w:rsidRPr="000344D7">
        <w:rPr>
          <w:rFonts w:eastAsia="Times New Roman"/>
          <w:w w:val="105"/>
          <w:kern w:val="20"/>
          <w:sz w:val="24"/>
          <w:szCs w:val="24"/>
          <w:lang w:val="lt-LT" w:eastAsia="lt-LT"/>
        </w:rPr>
        <w:t xml:space="preserve">„Invega“ </w:t>
      </w:r>
      <w:r w:rsidR="00694293" w:rsidRPr="000344D7">
        <w:rPr>
          <w:rFonts w:eastAsia="Times New Roman"/>
          <w:w w:val="105"/>
          <w:kern w:val="20"/>
          <w:sz w:val="24"/>
          <w:szCs w:val="24"/>
          <w:lang w:val="lt-LT" w:eastAsia="lt-LT"/>
        </w:rPr>
        <w:t>gali bet kuriuo metu savo nuožiūra pareikalauti papildomos informacijos</w:t>
      </w:r>
      <w:r w:rsidRPr="000344D7">
        <w:rPr>
          <w:rFonts w:eastAsia="Times New Roman"/>
          <w:w w:val="105"/>
          <w:kern w:val="20"/>
          <w:sz w:val="24"/>
          <w:szCs w:val="24"/>
          <w:lang w:val="lt-LT" w:eastAsia="lt-LT"/>
        </w:rPr>
        <w:t xml:space="preserve">, susijusios su </w:t>
      </w:r>
      <w:r w:rsidR="00FC1D3D" w:rsidRPr="000344D7">
        <w:rPr>
          <w:rFonts w:eastAsia="Times New Roman"/>
          <w:w w:val="105"/>
          <w:kern w:val="20"/>
          <w:sz w:val="24"/>
          <w:szCs w:val="24"/>
          <w:lang w:val="lt-LT" w:eastAsia="lt-LT"/>
        </w:rPr>
        <w:t xml:space="preserve">Garantijos </w:t>
      </w:r>
      <w:r w:rsidRPr="000344D7">
        <w:rPr>
          <w:rFonts w:eastAsia="Times New Roman"/>
          <w:w w:val="105"/>
          <w:kern w:val="20"/>
          <w:sz w:val="24"/>
          <w:szCs w:val="24"/>
          <w:lang w:val="lt-LT" w:eastAsia="lt-LT"/>
        </w:rPr>
        <w:t>išmokos mokėjimu.</w:t>
      </w:r>
      <w:r w:rsidR="00694293" w:rsidRPr="000344D7">
        <w:rPr>
          <w:rFonts w:eastAsia="Times New Roman"/>
          <w:w w:val="105"/>
          <w:kern w:val="20"/>
          <w:sz w:val="24"/>
          <w:szCs w:val="24"/>
          <w:lang w:val="lt-LT" w:eastAsia="lt-LT"/>
        </w:rPr>
        <w:t xml:space="preserve"> </w:t>
      </w:r>
      <w:r w:rsidR="00C51F33" w:rsidRPr="000344D7">
        <w:rPr>
          <w:rFonts w:eastAsia="Times New Roman"/>
          <w:w w:val="105"/>
          <w:kern w:val="20"/>
          <w:sz w:val="24"/>
          <w:szCs w:val="24"/>
          <w:lang w:val="lt-LT" w:eastAsia="lt-LT"/>
        </w:rPr>
        <w:t>PGF</w:t>
      </w:r>
      <w:r w:rsidR="000344D7" w:rsidRPr="000344D7">
        <w:rPr>
          <w:rFonts w:eastAsia="Times New Roman"/>
          <w:w w:val="105"/>
          <w:kern w:val="20"/>
          <w:sz w:val="24"/>
          <w:szCs w:val="24"/>
          <w:lang w:val="lt-LT" w:eastAsia="lt-LT"/>
        </w:rPr>
        <w:t>2</w:t>
      </w:r>
      <w:r w:rsidR="00C37083" w:rsidRPr="000344D7">
        <w:rPr>
          <w:rFonts w:eastAsia="Times New Roman"/>
          <w:w w:val="105"/>
          <w:kern w:val="20"/>
          <w:sz w:val="24"/>
          <w:szCs w:val="24"/>
          <w:lang w:val="lt-LT" w:eastAsia="lt-LT"/>
        </w:rPr>
        <w:t xml:space="preserve"> priemonės valdytojas</w:t>
      </w:r>
      <w:r w:rsidR="00DE6D81" w:rsidRPr="000344D7">
        <w:rPr>
          <w:rFonts w:eastAsia="Times New Roman"/>
          <w:w w:val="105"/>
          <w:kern w:val="20"/>
          <w:sz w:val="24"/>
          <w:szCs w:val="24"/>
          <w:lang w:val="lt-LT" w:eastAsia="lt-LT"/>
        </w:rPr>
        <w:t xml:space="preserve"> </w:t>
      </w:r>
      <w:r w:rsidR="00694293" w:rsidRPr="000344D7">
        <w:rPr>
          <w:rFonts w:eastAsia="Times New Roman"/>
          <w:w w:val="105"/>
          <w:kern w:val="20"/>
          <w:sz w:val="24"/>
          <w:szCs w:val="24"/>
          <w:lang w:val="lt-LT" w:eastAsia="lt-LT"/>
        </w:rPr>
        <w:t xml:space="preserve">įsipareigoja nedelsdamas pateikti </w:t>
      </w:r>
      <w:r w:rsidR="00C37083" w:rsidRPr="000344D7">
        <w:rPr>
          <w:rFonts w:eastAsia="Times New Roman"/>
          <w:w w:val="105"/>
          <w:kern w:val="20"/>
          <w:sz w:val="24"/>
          <w:szCs w:val="24"/>
          <w:lang w:val="lt-LT" w:eastAsia="lt-LT"/>
        </w:rPr>
        <w:t>„Invegai“</w:t>
      </w:r>
      <w:r w:rsidR="00694293" w:rsidRPr="000344D7">
        <w:rPr>
          <w:rFonts w:eastAsia="Times New Roman"/>
          <w:w w:val="105"/>
          <w:kern w:val="20"/>
          <w:sz w:val="24"/>
          <w:szCs w:val="24"/>
          <w:lang w:val="lt-LT" w:eastAsia="lt-LT"/>
        </w:rPr>
        <w:t xml:space="preserve"> </w:t>
      </w:r>
      <w:r w:rsidR="00BE781A" w:rsidRPr="000344D7">
        <w:rPr>
          <w:rFonts w:eastAsia="Times New Roman"/>
          <w:w w:val="105"/>
          <w:kern w:val="20"/>
          <w:sz w:val="24"/>
          <w:szCs w:val="24"/>
          <w:lang w:val="lt-LT" w:eastAsia="lt-LT"/>
        </w:rPr>
        <w:t xml:space="preserve">tokią </w:t>
      </w:r>
      <w:r w:rsidR="00694293" w:rsidRPr="000344D7">
        <w:rPr>
          <w:rFonts w:eastAsia="Times New Roman"/>
          <w:w w:val="105"/>
          <w:kern w:val="20"/>
          <w:sz w:val="24"/>
          <w:szCs w:val="24"/>
          <w:lang w:val="lt-LT" w:eastAsia="lt-LT"/>
        </w:rPr>
        <w:t>papildomą informaciją</w:t>
      </w:r>
      <w:r w:rsidR="008E5181" w:rsidRPr="000344D7">
        <w:rPr>
          <w:rFonts w:eastAsia="Times New Roman"/>
          <w:w w:val="105"/>
          <w:kern w:val="20"/>
          <w:sz w:val="24"/>
          <w:szCs w:val="24"/>
          <w:lang w:val="lt-LT" w:eastAsia="lt-LT"/>
        </w:rPr>
        <w:t>.</w:t>
      </w:r>
    </w:p>
    <w:p w14:paraId="7F597547" w14:textId="58C8887D" w:rsidR="009D3653" w:rsidRPr="000344D7" w:rsidRDefault="00C51F33" w:rsidP="009B0EE1">
      <w:pPr>
        <w:pStyle w:val="ListParagraph"/>
        <w:numPr>
          <w:ilvl w:val="1"/>
          <w:numId w:val="8"/>
        </w:numPr>
        <w:tabs>
          <w:tab w:val="left" w:pos="567"/>
        </w:tabs>
        <w:overflowPunct w:val="0"/>
        <w:autoSpaceDE w:val="0"/>
        <w:autoSpaceDN w:val="0"/>
        <w:adjustRightInd w:val="0"/>
        <w:spacing w:after="0"/>
        <w:ind w:left="-709" w:firstLine="709"/>
        <w:jc w:val="both"/>
        <w:textAlignment w:val="baseline"/>
        <w:rPr>
          <w:rFonts w:eastAsia="Times New Roman"/>
          <w:sz w:val="24"/>
          <w:szCs w:val="24"/>
          <w:lang w:val="lt-LT"/>
        </w:rPr>
      </w:pPr>
      <w:r w:rsidRPr="000344D7">
        <w:rPr>
          <w:sz w:val="24"/>
          <w:szCs w:val="24"/>
          <w:lang w:val="lt-LT"/>
        </w:rPr>
        <w:t>PGF</w:t>
      </w:r>
      <w:r w:rsidR="000344D7" w:rsidRPr="000344D7">
        <w:rPr>
          <w:sz w:val="24"/>
          <w:szCs w:val="24"/>
          <w:lang w:val="lt-LT"/>
        </w:rPr>
        <w:t>2</w:t>
      </w:r>
      <w:r w:rsidR="0019608E" w:rsidRPr="000344D7">
        <w:rPr>
          <w:sz w:val="24"/>
          <w:szCs w:val="24"/>
          <w:lang w:val="lt-LT"/>
        </w:rPr>
        <w:t xml:space="preserve"> priemonės valdytojas </w:t>
      </w:r>
      <w:r w:rsidR="00587D50" w:rsidRPr="000344D7">
        <w:rPr>
          <w:sz w:val="24"/>
          <w:szCs w:val="24"/>
          <w:lang w:val="lt-LT"/>
        </w:rPr>
        <w:t xml:space="preserve">Sutarties galiojimo metu </w:t>
      </w:r>
      <w:r w:rsidR="0019608E" w:rsidRPr="000344D7">
        <w:rPr>
          <w:sz w:val="24"/>
          <w:szCs w:val="24"/>
          <w:lang w:val="lt-LT"/>
        </w:rPr>
        <w:t>vykdo Portfelio priežiūrą</w:t>
      </w:r>
      <w:r w:rsidR="00623A49">
        <w:rPr>
          <w:sz w:val="24"/>
          <w:szCs w:val="24"/>
          <w:lang w:val="lt-LT"/>
        </w:rPr>
        <w:t>,</w:t>
      </w:r>
      <w:r w:rsidR="0019608E" w:rsidRPr="000344D7">
        <w:rPr>
          <w:sz w:val="24"/>
          <w:szCs w:val="24"/>
          <w:lang w:val="lt-LT"/>
        </w:rPr>
        <w:t xml:space="preserve"> stebėseną</w:t>
      </w:r>
      <w:r w:rsidR="00623A49">
        <w:rPr>
          <w:sz w:val="24"/>
          <w:szCs w:val="24"/>
          <w:lang w:val="lt-LT"/>
        </w:rPr>
        <w:t xml:space="preserve"> ir skolų išieškojimą</w:t>
      </w:r>
      <w:r w:rsidR="00402190" w:rsidRPr="000344D7">
        <w:rPr>
          <w:sz w:val="24"/>
          <w:szCs w:val="24"/>
          <w:lang w:val="lt-LT"/>
        </w:rPr>
        <w:t xml:space="preserve">, kaupia ir teikia duomenis apie sugrąžintas sumas pagal </w:t>
      </w:r>
      <w:r w:rsidR="00746374" w:rsidRPr="000344D7">
        <w:rPr>
          <w:sz w:val="24"/>
          <w:szCs w:val="24"/>
          <w:lang w:val="lt-LT"/>
        </w:rPr>
        <w:t>Probleminius</w:t>
      </w:r>
      <w:r w:rsidR="00402190" w:rsidRPr="000344D7">
        <w:rPr>
          <w:sz w:val="24"/>
          <w:szCs w:val="24"/>
          <w:lang w:val="lt-LT"/>
        </w:rPr>
        <w:t xml:space="preserve"> </w:t>
      </w:r>
      <w:r w:rsidR="00BE1664" w:rsidRPr="000344D7">
        <w:rPr>
          <w:sz w:val="24"/>
          <w:szCs w:val="24"/>
          <w:lang w:val="lt-LT"/>
        </w:rPr>
        <w:t>Faktoringo sandori</w:t>
      </w:r>
      <w:r w:rsidR="007158E5" w:rsidRPr="000344D7">
        <w:rPr>
          <w:sz w:val="24"/>
          <w:szCs w:val="24"/>
          <w:lang w:val="lt-LT"/>
        </w:rPr>
        <w:t>u</w:t>
      </w:r>
      <w:r w:rsidR="00402190" w:rsidRPr="000344D7">
        <w:rPr>
          <w:sz w:val="24"/>
          <w:szCs w:val="24"/>
          <w:lang w:val="lt-LT"/>
        </w:rPr>
        <w:t>s</w:t>
      </w:r>
      <w:r w:rsidR="00A73E7F" w:rsidRPr="000344D7">
        <w:rPr>
          <w:sz w:val="24"/>
          <w:szCs w:val="24"/>
          <w:lang w:val="lt-LT"/>
        </w:rPr>
        <w:t>,</w:t>
      </w:r>
      <w:r w:rsidR="00402190" w:rsidRPr="000344D7">
        <w:rPr>
          <w:sz w:val="24"/>
          <w:szCs w:val="24"/>
          <w:lang w:val="lt-LT"/>
        </w:rPr>
        <w:t xml:space="preserve"> už kuri</w:t>
      </w:r>
      <w:r w:rsidR="00245B5A" w:rsidRPr="000344D7">
        <w:rPr>
          <w:sz w:val="24"/>
          <w:szCs w:val="24"/>
          <w:lang w:val="lt-LT"/>
        </w:rPr>
        <w:t>uo</w:t>
      </w:r>
      <w:r w:rsidR="00402190" w:rsidRPr="000344D7">
        <w:rPr>
          <w:sz w:val="24"/>
          <w:szCs w:val="24"/>
          <w:lang w:val="lt-LT"/>
        </w:rPr>
        <w:t>s gauta Garantijos išmoka</w:t>
      </w:r>
      <w:r w:rsidR="00D03316" w:rsidRPr="000344D7">
        <w:rPr>
          <w:sz w:val="24"/>
          <w:szCs w:val="24"/>
          <w:lang w:val="lt-LT"/>
        </w:rPr>
        <w:t>.</w:t>
      </w:r>
    </w:p>
    <w:p w14:paraId="4F2E50B5" w14:textId="2E7653DC" w:rsidR="009D3653" w:rsidRPr="00F071C5" w:rsidRDefault="00C51F33" w:rsidP="009B0EE1">
      <w:pPr>
        <w:pStyle w:val="ListParagraph"/>
        <w:numPr>
          <w:ilvl w:val="1"/>
          <w:numId w:val="8"/>
        </w:numPr>
        <w:tabs>
          <w:tab w:val="left" w:pos="567"/>
        </w:tabs>
        <w:overflowPunct w:val="0"/>
        <w:autoSpaceDE w:val="0"/>
        <w:autoSpaceDN w:val="0"/>
        <w:adjustRightInd w:val="0"/>
        <w:spacing w:after="0"/>
        <w:ind w:left="-709" w:firstLine="709"/>
        <w:jc w:val="both"/>
        <w:textAlignment w:val="baseline"/>
        <w:rPr>
          <w:rFonts w:eastAsia="Times New Roman"/>
          <w:sz w:val="24"/>
          <w:szCs w:val="24"/>
          <w:lang w:val="lt-LT"/>
        </w:rPr>
      </w:pPr>
      <w:r w:rsidRPr="00ED5159">
        <w:rPr>
          <w:sz w:val="24"/>
          <w:szCs w:val="24"/>
          <w:lang w:val="lt-LT"/>
        </w:rPr>
        <w:lastRenderedPageBreak/>
        <w:t>PGF</w:t>
      </w:r>
      <w:r w:rsidR="008F6A48" w:rsidRPr="00ED5159">
        <w:rPr>
          <w:sz w:val="24"/>
          <w:szCs w:val="24"/>
          <w:lang w:val="lt-LT"/>
        </w:rPr>
        <w:t>2</w:t>
      </w:r>
      <w:r w:rsidR="0019608E" w:rsidRPr="00ED5159">
        <w:rPr>
          <w:sz w:val="24"/>
          <w:szCs w:val="24"/>
          <w:lang w:val="lt-LT"/>
        </w:rPr>
        <w:t xml:space="preserve"> priemonės valdytojas, veikdamas sąžiningai pagal savo vidaus taisykles ir standartines procedūras</w:t>
      </w:r>
      <w:r w:rsidR="00A73E7F" w:rsidRPr="00ED5159">
        <w:rPr>
          <w:sz w:val="24"/>
          <w:szCs w:val="24"/>
          <w:lang w:val="lt-LT"/>
        </w:rPr>
        <w:t>,</w:t>
      </w:r>
      <w:r w:rsidR="0019608E" w:rsidRPr="00ED5159">
        <w:rPr>
          <w:sz w:val="24"/>
          <w:szCs w:val="24"/>
          <w:lang w:val="lt-LT"/>
        </w:rPr>
        <w:t xml:space="preserve"> kaip apdairus ir rūpestingas verslininkas, atlieka </w:t>
      </w:r>
      <w:r w:rsidR="00D62C05">
        <w:rPr>
          <w:sz w:val="24"/>
          <w:szCs w:val="24"/>
          <w:lang w:val="lt-LT"/>
        </w:rPr>
        <w:t xml:space="preserve">skolų </w:t>
      </w:r>
      <w:r w:rsidR="0019608E" w:rsidRPr="00ED5159">
        <w:rPr>
          <w:sz w:val="24"/>
          <w:szCs w:val="24"/>
          <w:lang w:val="lt-LT"/>
        </w:rPr>
        <w:t xml:space="preserve">išieškojimo procedūras pagal </w:t>
      </w:r>
      <w:r w:rsidR="00746374" w:rsidRPr="00ED5159">
        <w:rPr>
          <w:sz w:val="24"/>
          <w:szCs w:val="24"/>
          <w:lang w:val="lt-LT"/>
        </w:rPr>
        <w:t>Probleminius</w:t>
      </w:r>
      <w:r w:rsidR="0019608E" w:rsidRPr="00ED5159">
        <w:rPr>
          <w:sz w:val="24"/>
          <w:szCs w:val="24"/>
          <w:lang w:val="lt-LT"/>
        </w:rPr>
        <w:t xml:space="preserve"> </w:t>
      </w:r>
      <w:r w:rsidR="00BE1664" w:rsidRPr="00ED5159">
        <w:rPr>
          <w:sz w:val="24"/>
          <w:szCs w:val="24"/>
          <w:lang w:val="lt-LT"/>
        </w:rPr>
        <w:t>Faktoringo sandori</w:t>
      </w:r>
      <w:r w:rsidR="007158E5" w:rsidRPr="00ED5159">
        <w:rPr>
          <w:sz w:val="24"/>
          <w:szCs w:val="24"/>
          <w:lang w:val="lt-LT"/>
        </w:rPr>
        <w:t>u</w:t>
      </w:r>
      <w:r w:rsidR="006C7B57" w:rsidRPr="00ED5159">
        <w:rPr>
          <w:sz w:val="24"/>
          <w:szCs w:val="24"/>
          <w:lang w:val="lt-LT"/>
        </w:rPr>
        <w:t>s</w:t>
      </w:r>
      <w:r w:rsidR="00086475" w:rsidRPr="00ED5159">
        <w:rPr>
          <w:sz w:val="24"/>
          <w:szCs w:val="24"/>
          <w:lang w:val="lt-LT"/>
        </w:rPr>
        <w:t xml:space="preserve"> </w:t>
      </w:r>
      <w:r w:rsidR="00427F8A" w:rsidRPr="00ED5159">
        <w:rPr>
          <w:sz w:val="24"/>
          <w:szCs w:val="24"/>
          <w:lang w:val="lt-LT"/>
        </w:rPr>
        <w:t xml:space="preserve">(įskaitant </w:t>
      </w:r>
      <w:r w:rsidR="007158E5" w:rsidRPr="00ED5159">
        <w:rPr>
          <w:sz w:val="24"/>
          <w:szCs w:val="24"/>
          <w:lang w:val="lt-LT"/>
        </w:rPr>
        <w:t xml:space="preserve">Probleminio </w:t>
      </w:r>
      <w:r w:rsidR="00F21757" w:rsidRPr="00ED5159">
        <w:rPr>
          <w:sz w:val="24"/>
          <w:szCs w:val="24"/>
          <w:lang w:val="lt-LT"/>
        </w:rPr>
        <w:t>Faktoringo sandorio</w:t>
      </w:r>
      <w:r w:rsidR="00427F8A" w:rsidRPr="00ED5159">
        <w:rPr>
          <w:sz w:val="24"/>
          <w:szCs w:val="24"/>
          <w:lang w:val="lt-LT"/>
        </w:rPr>
        <w:t xml:space="preserve"> restruktūrizavimą, skolos mokėjimo grafiko išdėstymą </w:t>
      </w:r>
      <w:r w:rsidR="00F21757" w:rsidRPr="00ED5159">
        <w:rPr>
          <w:sz w:val="24"/>
          <w:szCs w:val="24"/>
          <w:lang w:val="lt-LT"/>
        </w:rPr>
        <w:t>Faktoringo</w:t>
      </w:r>
      <w:r w:rsidR="00427F8A" w:rsidRPr="00ED5159">
        <w:rPr>
          <w:sz w:val="24"/>
          <w:szCs w:val="24"/>
          <w:lang w:val="lt-LT"/>
        </w:rPr>
        <w:t xml:space="preserve"> gavėjui</w:t>
      </w:r>
      <w:r w:rsidR="00305522" w:rsidRPr="00ED5159">
        <w:rPr>
          <w:sz w:val="24"/>
          <w:szCs w:val="24"/>
          <w:lang w:val="lt-LT"/>
        </w:rPr>
        <w:t xml:space="preserve"> </w:t>
      </w:r>
      <w:r w:rsidR="00427F8A" w:rsidRPr="00ED5159">
        <w:rPr>
          <w:sz w:val="24"/>
          <w:szCs w:val="24"/>
          <w:lang w:val="lt-LT"/>
        </w:rPr>
        <w:t xml:space="preserve">ir visus kitus </w:t>
      </w:r>
      <w:r w:rsidR="000B4855" w:rsidRPr="00ED5159">
        <w:rPr>
          <w:sz w:val="24"/>
          <w:szCs w:val="24"/>
          <w:lang w:val="lt-LT"/>
        </w:rPr>
        <w:t>PGF2</w:t>
      </w:r>
      <w:r w:rsidR="000B4855">
        <w:rPr>
          <w:sz w:val="24"/>
          <w:szCs w:val="24"/>
          <w:lang w:val="lt-LT"/>
        </w:rPr>
        <w:t> </w:t>
      </w:r>
      <w:r w:rsidR="00427F8A" w:rsidRPr="00ED5159">
        <w:rPr>
          <w:sz w:val="24"/>
          <w:szCs w:val="24"/>
          <w:lang w:val="lt-LT"/>
        </w:rPr>
        <w:t xml:space="preserve">priemonės valdytojo vidaus taisyklėse </w:t>
      </w:r>
      <w:r w:rsidR="00C8557F" w:rsidRPr="00ED5159">
        <w:rPr>
          <w:sz w:val="24"/>
          <w:szCs w:val="24"/>
          <w:lang w:val="lt-LT"/>
        </w:rPr>
        <w:t>bei</w:t>
      </w:r>
      <w:r w:rsidR="00427F8A" w:rsidRPr="00ED5159">
        <w:rPr>
          <w:sz w:val="24"/>
          <w:szCs w:val="24"/>
          <w:lang w:val="lt-LT"/>
        </w:rPr>
        <w:t xml:space="preserve"> standartinėse procedūrose numatytus skolų susigražinimo būdus)</w:t>
      </w:r>
      <w:r w:rsidR="0019608E" w:rsidRPr="00ED5159">
        <w:rPr>
          <w:sz w:val="24"/>
          <w:szCs w:val="24"/>
          <w:lang w:val="lt-LT"/>
        </w:rPr>
        <w:t xml:space="preserve">. </w:t>
      </w:r>
      <w:r w:rsidRPr="00ED5159">
        <w:rPr>
          <w:sz w:val="24"/>
          <w:szCs w:val="24"/>
          <w:lang w:val="lt-LT"/>
        </w:rPr>
        <w:t>PGF</w:t>
      </w:r>
      <w:r w:rsidR="00ED5159" w:rsidRPr="00ED5159">
        <w:rPr>
          <w:sz w:val="24"/>
          <w:szCs w:val="24"/>
          <w:lang w:val="lt-LT"/>
        </w:rPr>
        <w:t>2</w:t>
      </w:r>
      <w:r w:rsidR="0019608E" w:rsidRPr="00ED5159">
        <w:rPr>
          <w:sz w:val="24"/>
          <w:szCs w:val="24"/>
          <w:lang w:val="lt-LT"/>
        </w:rPr>
        <w:t xml:space="preserve"> priemonės valdytojas įsipareigoja</w:t>
      </w:r>
      <w:r w:rsidR="00B35EB5" w:rsidRPr="00ED5159">
        <w:rPr>
          <w:sz w:val="24"/>
          <w:szCs w:val="24"/>
          <w:lang w:val="lt-LT"/>
        </w:rPr>
        <w:t>, kad išieškodamas sumas laikysis geros</w:t>
      </w:r>
      <w:r w:rsidR="008801D8" w:rsidRPr="00ED5159">
        <w:rPr>
          <w:sz w:val="24"/>
          <w:szCs w:val="24"/>
          <w:lang w:val="lt-LT"/>
        </w:rPr>
        <w:t>ios</w:t>
      </w:r>
      <w:r w:rsidR="00B35EB5" w:rsidRPr="00ED5159">
        <w:rPr>
          <w:sz w:val="24"/>
          <w:szCs w:val="24"/>
          <w:lang w:val="lt-LT"/>
        </w:rPr>
        <w:t xml:space="preserve"> ir </w:t>
      </w:r>
      <w:r w:rsidR="00B35EB5" w:rsidRPr="00F071C5">
        <w:rPr>
          <w:sz w:val="24"/>
          <w:szCs w:val="24"/>
          <w:lang w:val="lt-LT"/>
        </w:rPr>
        <w:t>sąžiningos skolų išieškojimo vykdymo praktikos</w:t>
      </w:r>
      <w:r w:rsidR="0019608E" w:rsidRPr="00F071C5">
        <w:rPr>
          <w:sz w:val="24"/>
          <w:szCs w:val="24"/>
          <w:lang w:val="lt-LT"/>
        </w:rPr>
        <w:t>.</w:t>
      </w:r>
    </w:p>
    <w:p w14:paraId="00F0D09A" w14:textId="56ACB91A" w:rsidR="009D3653" w:rsidRPr="00430C26" w:rsidRDefault="00C51F33" w:rsidP="009B0EE1">
      <w:pPr>
        <w:pStyle w:val="ListParagraph"/>
        <w:numPr>
          <w:ilvl w:val="1"/>
          <w:numId w:val="8"/>
        </w:numPr>
        <w:tabs>
          <w:tab w:val="left" w:pos="567"/>
        </w:tabs>
        <w:overflowPunct w:val="0"/>
        <w:autoSpaceDE w:val="0"/>
        <w:autoSpaceDN w:val="0"/>
        <w:adjustRightInd w:val="0"/>
        <w:spacing w:after="0"/>
        <w:ind w:left="-709" w:firstLine="709"/>
        <w:jc w:val="both"/>
        <w:textAlignment w:val="baseline"/>
        <w:rPr>
          <w:rFonts w:eastAsia="Times New Roman"/>
          <w:sz w:val="24"/>
          <w:szCs w:val="24"/>
          <w:lang w:val="lt-LT"/>
        </w:rPr>
      </w:pPr>
      <w:r w:rsidRPr="00F071C5">
        <w:rPr>
          <w:sz w:val="24"/>
          <w:szCs w:val="24"/>
          <w:lang w:val="lt-LT"/>
        </w:rPr>
        <w:t>PGF</w:t>
      </w:r>
      <w:r w:rsidR="00E215B1" w:rsidRPr="00F071C5">
        <w:rPr>
          <w:sz w:val="24"/>
          <w:szCs w:val="24"/>
          <w:lang w:val="lt-LT"/>
        </w:rPr>
        <w:t>2</w:t>
      </w:r>
      <w:r w:rsidR="0019608E" w:rsidRPr="00F071C5">
        <w:rPr>
          <w:sz w:val="24"/>
          <w:szCs w:val="24"/>
          <w:lang w:val="lt-LT"/>
        </w:rPr>
        <w:t xml:space="preserve"> priemonės valdytojas </w:t>
      </w:r>
      <w:r w:rsidR="00D209AA" w:rsidRPr="00F071C5">
        <w:rPr>
          <w:sz w:val="24"/>
          <w:szCs w:val="24"/>
          <w:lang w:val="lt-LT"/>
        </w:rPr>
        <w:t xml:space="preserve">vykdo išieškojimą </w:t>
      </w:r>
      <w:r w:rsidR="0019608E" w:rsidRPr="00F071C5">
        <w:rPr>
          <w:sz w:val="24"/>
          <w:szCs w:val="24"/>
          <w:lang w:val="lt-LT"/>
        </w:rPr>
        <w:t xml:space="preserve">pagal </w:t>
      </w:r>
      <w:r w:rsidR="00D209AA" w:rsidRPr="00F071C5">
        <w:rPr>
          <w:sz w:val="24"/>
          <w:szCs w:val="24"/>
          <w:lang w:val="lt-LT"/>
        </w:rPr>
        <w:t xml:space="preserve">visą </w:t>
      </w:r>
      <w:r w:rsidR="007158E5" w:rsidRPr="00F071C5">
        <w:rPr>
          <w:sz w:val="24"/>
          <w:szCs w:val="24"/>
          <w:lang w:val="lt-LT"/>
        </w:rPr>
        <w:t xml:space="preserve">Probleminio </w:t>
      </w:r>
      <w:r w:rsidR="00F21757" w:rsidRPr="00F071C5">
        <w:rPr>
          <w:sz w:val="24"/>
          <w:szCs w:val="24"/>
          <w:lang w:val="lt-LT"/>
        </w:rPr>
        <w:t>Faktoringo sandorio</w:t>
      </w:r>
      <w:r w:rsidR="00D209AA" w:rsidRPr="00F071C5">
        <w:rPr>
          <w:sz w:val="24"/>
          <w:szCs w:val="24"/>
          <w:lang w:val="lt-LT"/>
        </w:rPr>
        <w:t xml:space="preserve"> skolą</w:t>
      </w:r>
      <w:r w:rsidR="0019608E" w:rsidRPr="00F071C5">
        <w:rPr>
          <w:sz w:val="24"/>
          <w:szCs w:val="24"/>
          <w:lang w:val="lt-LT"/>
        </w:rPr>
        <w:t xml:space="preserve">, neatsižvelgiant į gautą </w:t>
      </w:r>
      <w:r w:rsidR="00F00B4F" w:rsidRPr="00F071C5">
        <w:rPr>
          <w:sz w:val="24"/>
          <w:szCs w:val="24"/>
          <w:lang w:val="lt-LT"/>
        </w:rPr>
        <w:t xml:space="preserve">Garantijos </w:t>
      </w:r>
      <w:r w:rsidR="005932D3" w:rsidRPr="00F071C5">
        <w:rPr>
          <w:sz w:val="24"/>
          <w:szCs w:val="24"/>
          <w:lang w:val="lt-LT"/>
        </w:rPr>
        <w:t>i</w:t>
      </w:r>
      <w:r w:rsidR="006C7B57" w:rsidRPr="00F071C5">
        <w:rPr>
          <w:sz w:val="24"/>
          <w:szCs w:val="24"/>
          <w:lang w:val="lt-LT"/>
        </w:rPr>
        <w:t>šmoką</w:t>
      </w:r>
      <w:r w:rsidR="0019608E" w:rsidRPr="00F071C5">
        <w:rPr>
          <w:sz w:val="24"/>
          <w:szCs w:val="24"/>
          <w:lang w:val="lt-LT"/>
        </w:rPr>
        <w:t>.</w:t>
      </w:r>
      <w:r w:rsidR="00E215B1" w:rsidRPr="00F071C5">
        <w:rPr>
          <w:lang w:val="lt-LT"/>
        </w:rPr>
        <w:t xml:space="preserve"> </w:t>
      </w:r>
      <w:r w:rsidR="00E215B1" w:rsidRPr="00F071C5">
        <w:rPr>
          <w:sz w:val="24"/>
          <w:szCs w:val="24"/>
          <w:lang w:val="lt-LT"/>
        </w:rPr>
        <w:t xml:space="preserve">PGF2 priemonės valdytojas pagal </w:t>
      </w:r>
      <w:r w:rsidR="00E215B1" w:rsidRPr="00430C26">
        <w:rPr>
          <w:sz w:val="24"/>
          <w:szCs w:val="24"/>
          <w:lang w:val="lt-LT"/>
        </w:rPr>
        <w:t>Faktoringo sandorį gavęs Išmoką, turi dėti visas pastangas susigrąžinti skolą, realizuojant regreso teisę pagal Faktoringo sandorį.</w:t>
      </w:r>
    </w:p>
    <w:p w14:paraId="26EA2855" w14:textId="3A91C733" w:rsidR="009D3653" w:rsidRPr="00430C26" w:rsidRDefault="00C51F33" w:rsidP="009B0EE1">
      <w:pPr>
        <w:pStyle w:val="ListParagraph"/>
        <w:numPr>
          <w:ilvl w:val="1"/>
          <w:numId w:val="8"/>
        </w:numPr>
        <w:tabs>
          <w:tab w:val="left" w:pos="567"/>
        </w:tabs>
        <w:overflowPunct w:val="0"/>
        <w:autoSpaceDE w:val="0"/>
        <w:autoSpaceDN w:val="0"/>
        <w:adjustRightInd w:val="0"/>
        <w:spacing w:after="0"/>
        <w:ind w:left="-709" w:firstLine="709"/>
        <w:jc w:val="both"/>
        <w:textAlignment w:val="baseline"/>
        <w:rPr>
          <w:rFonts w:eastAsia="Times New Roman"/>
          <w:sz w:val="24"/>
          <w:szCs w:val="24"/>
          <w:lang w:val="lt-LT"/>
        </w:rPr>
      </w:pPr>
      <w:r w:rsidRPr="00430C26">
        <w:rPr>
          <w:sz w:val="24"/>
          <w:szCs w:val="24"/>
          <w:lang w:val="lt-LT"/>
        </w:rPr>
        <w:t>PGF</w:t>
      </w:r>
      <w:r w:rsidR="00561556" w:rsidRPr="00430C26">
        <w:rPr>
          <w:sz w:val="24"/>
          <w:szCs w:val="24"/>
          <w:lang w:val="lt-LT"/>
        </w:rPr>
        <w:t>2</w:t>
      </w:r>
      <w:r w:rsidR="0019608E" w:rsidRPr="00430C26">
        <w:rPr>
          <w:sz w:val="24"/>
          <w:szCs w:val="24"/>
          <w:lang w:val="lt-LT"/>
        </w:rPr>
        <w:t xml:space="preserve"> priemonės valdytojui išieškojus skolą, pagal kurią buvo atlikta </w:t>
      </w:r>
      <w:r w:rsidR="00402190" w:rsidRPr="00430C26">
        <w:rPr>
          <w:sz w:val="24"/>
          <w:szCs w:val="24"/>
          <w:lang w:val="lt-LT"/>
        </w:rPr>
        <w:t xml:space="preserve">Garantijos </w:t>
      </w:r>
      <w:r w:rsidR="00054B8F" w:rsidRPr="00430C26">
        <w:rPr>
          <w:sz w:val="24"/>
          <w:szCs w:val="24"/>
          <w:lang w:val="lt-LT"/>
        </w:rPr>
        <w:t>i</w:t>
      </w:r>
      <w:r w:rsidR="0019608E" w:rsidRPr="00430C26">
        <w:rPr>
          <w:sz w:val="24"/>
          <w:szCs w:val="24"/>
          <w:lang w:val="lt-LT"/>
        </w:rPr>
        <w:t>šmoka, iš šios sumos atėmus</w:t>
      </w:r>
      <w:r w:rsidR="004350D3" w:rsidRPr="00430C26">
        <w:rPr>
          <w:sz w:val="24"/>
          <w:szCs w:val="24"/>
          <w:lang w:val="lt-LT"/>
        </w:rPr>
        <w:t xml:space="preserve"> išieškojimo </w:t>
      </w:r>
      <w:r w:rsidR="00BE781A" w:rsidRPr="00430C26">
        <w:rPr>
          <w:sz w:val="24"/>
          <w:szCs w:val="24"/>
          <w:lang w:val="lt-LT"/>
        </w:rPr>
        <w:t xml:space="preserve">išlaidas </w:t>
      </w:r>
      <w:r w:rsidR="00BD46CF" w:rsidRPr="00430C26">
        <w:rPr>
          <w:sz w:val="24"/>
          <w:szCs w:val="24"/>
          <w:lang w:val="lt-LT"/>
        </w:rPr>
        <w:t>(</w:t>
      </w:r>
      <w:r w:rsidR="00982F48" w:rsidRPr="00430C26">
        <w:rPr>
          <w:sz w:val="24"/>
          <w:szCs w:val="24"/>
          <w:lang w:val="lt-LT"/>
        </w:rPr>
        <w:t>atimamos tik PGF2 priemonės valdytojo tretiesiems asmenims faktiškai sumokėtos išieškojimo išlaidos</w:t>
      </w:r>
      <w:r w:rsidR="00BD46CF" w:rsidRPr="00430C26">
        <w:rPr>
          <w:sz w:val="24"/>
          <w:szCs w:val="24"/>
          <w:lang w:val="lt-LT"/>
        </w:rPr>
        <w:t>)</w:t>
      </w:r>
      <w:r w:rsidR="00A73E7F" w:rsidRPr="00430C26">
        <w:rPr>
          <w:sz w:val="24"/>
          <w:szCs w:val="24"/>
          <w:lang w:val="lt-LT"/>
        </w:rPr>
        <w:t>,</w:t>
      </w:r>
      <w:r w:rsidR="00D759C7" w:rsidRPr="00430C26">
        <w:rPr>
          <w:sz w:val="24"/>
          <w:szCs w:val="24"/>
          <w:lang w:val="lt-LT"/>
        </w:rPr>
        <w:t xml:space="preserve"> </w:t>
      </w:r>
      <w:r w:rsidR="0019608E" w:rsidRPr="00430C26">
        <w:rPr>
          <w:i/>
          <w:sz w:val="24"/>
          <w:szCs w:val="24"/>
          <w:lang w:val="lt-LT"/>
        </w:rPr>
        <w:t>pari passu</w:t>
      </w:r>
      <w:r w:rsidR="0019608E" w:rsidRPr="00430C26">
        <w:rPr>
          <w:sz w:val="24"/>
          <w:szCs w:val="24"/>
          <w:lang w:val="lt-LT"/>
        </w:rPr>
        <w:t xml:space="preserve"> principu</w:t>
      </w:r>
      <w:r w:rsidR="00527DEE" w:rsidRPr="00430C26">
        <w:rPr>
          <w:sz w:val="24"/>
          <w:szCs w:val="24"/>
          <w:lang w:val="lt-LT"/>
        </w:rPr>
        <w:t xml:space="preserve"> </w:t>
      </w:r>
      <w:r w:rsidR="00306E90" w:rsidRPr="00430C26">
        <w:rPr>
          <w:sz w:val="24"/>
          <w:szCs w:val="24"/>
          <w:lang w:val="lt-LT"/>
        </w:rPr>
        <w:t xml:space="preserve">PGF2 </w:t>
      </w:r>
      <w:r w:rsidR="00527DEE" w:rsidRPr="00430C26">
        <w:rPr>
          <w:sz w:val="24"/>
          <w:szCs w:val="24"/>
          <w:lang w:val="lt-LT"/>
        </w:rPr>
        <w:t>apskaičiuotą</w:t>
      </w:r>
      <w:r w:rsidR="008255B6" w:rsidRPr="00430C26">
        <w:rPr>
          <w:sz w:val="24"/>
          <w:szCs w:val="24"/>
          <w:lang w:val="lt-LT"/>
        </w:rPr>
        <w:t xml:space="preserve"> </w:t>
      </w:r>
      <w:r w:rsidR="00527DEE" w:rsidRPr="00430C26">
        <w:rPr>
          <w:sz w:val="24"/>
          <w:szCs w:val="24"/>
          <w:lang w:val="lt-LT"/>
        </w:rPr>
        <w:t>sumą</w:t>
      </w:r>
      <w:r w:rsidR="00594968" w:rsidRPr="00430C26">
        <w:rPr>
          <w:sz w:val="24"/>
          <w:szCs w:val="24"/>
          <w:lang w:val="lt-LT"/>
        </w:rPr>
        <w:t>,</w:t>
      </w:r>
      <w:r w:rsidR="006C64F0" w:rsidRPr="00430C26">
        <w:rPr>
          <w:sz w:val="24"/>
          <w:szCs w:val="24"/>
          <w:lang w:val="lt-LT"/>
        </w:rPr>
        <w:t xml:space="preserve"> </w:t>
      </w:r>
      <w:r w:rsidR="00306E90" w:rsidRPr="00430C26">
        <w:rPr>
          <w:sz w:val="24"/>
          <w:szCs w:val="24"/>
          <w:lang w:val="lt-LT"/>
        </w:rPr>
        <w:t xml:space="preserve">lygią 80 proc. nuo atgautos sumos, </w:t>
      </w:r>
      <w:r w:rsidR="00594968" w:rsidRPr="00430C26">
        <w:rPr>
          <w:sz w:val="24"/>
          <w:szCs w:val="24"/>
          <w:lang w:val="lt-LT"/>
        </w:rPr>
        <w:t xml:space="preserve">tačiau </w:t>
      </w:r>
      <w:r w:rsidR="00C870A7" w:rsidRPr="00430C26">
        <w:rPr>
          <w:sz w:val="24"/>
          <w:szCs w:val="24"/>
          <w:lang w:val="lt-LT"/>
        </w:rPr>
        <w:t xml:space="preserve">bet kuriuo atveju </w:t>
      </w:r>
      <w:r w:rsidR="00594968" w:rsidRPr="00430C26">
        <w:rPr>
          <w:sz w:val="24"/>
          <w:szCs w:val="24"/>
          <w:lang w:val="lt-LT"/>
        </w:rPr>
        <w:t xml:space="preserve">ne </w:t>
      </w:r>
      <w:r w:rsidR="00C870A7" w:rsidRPr="00430C26">
        <w:rPr>
          <w:sz w:val="24"/>
          <w:szCs w:val="24"/>
          <w:lang w:val="lt-LT"/>
        </w:rPr>
        <w:t xml:space="preserve">didesnę sumą nei „Invegos“ </w:t>
      </w:r>
      <w:r w:rsidR="000B4855" w:rsidRPr="00430C26">
        <w:rPr>
          <w:sz w:val="24"/>
          <w:szCs w:val="24"/>
          <w:lang w:val="lt-LT"/>
        </w:rPr>
        <w:t>PGF2</w:t>
      </w:r>
      <w:r w:rsidR="000B4855">
        <w:rPr>
          <w:sz w:val="24"/>
          <w:szCs w:val="24"/>
          <w:lang w:val="lt-LT"/>
        </w:rPr>
        <w:t> </w:t>
      </w:r>
      <w:r w:rsidR="00C870A7" w:rsidRPr="00430C26">
        <w:rPr>
          <w:sz w:val="24"/>
          <w:szCs w:val="24"/>
          <w:lang w:val="lt-LT"/>
        </w:rPr>
        <w:t>priemonės valdytojui sumokėtą Garantijos pagal konkretų Faktoringo sandorį suma</w:t>
      </w:r>
      <w:r w:rsidR="00594968" w:rsidRPr="00430C26">
        <w:rPr>
          <w:sz w:val="24"/>
          <w:szCs w:val="24"/>
          <w:lang w:val="lt-LT"/>
        </w:rPr>
        <w:t xml:space="preserve">, </w:t>
      </w:r>
      <w:r w:rsidR="000B4855" w:rsidRPr="00430C26">
        <w:rPr>
          <w:sz w:val="24"/>
          <w:szCs w:val="24"/>
          <w:lang w:val="lt-LT"/>
        </w:rPr>
        <w:t>PGF2</w:t>
      </w:r>
      <w:r w:rsidR="000B4855">
        <w:rPr>
          <w:sz w:val="24"/>
          <w:szCs w:val="24"/>
          <w:lang w:val="lt-LT"/>
        </w:rPr>
        <w:t> </w:t>
      </w:r>
      <w:r w:rsidR="00A73E7F" w:rsidRPr="00430C26">
        <w:rPr>
          <w:sz w:val="24"/>
          <w:szCs w:val="24"/>
          <w:lang w:val="lt-LT"/>
        </w:rPr>
        <w:t>priemonės valdytojas</w:t>
      </w:r>
      <w:r w:rsidR="00523AEE" w:rsidRPr="00430C26">
        <w:rPr>
          <w:sz w:val="24"/>
          <w:szCs w:val="24"/>
          <w:lang w:val="lt-LT"/>
        </w:rPr>
        <w:t>,</w:t>
      </w:r>
      <w:r w:rsidR="00AE124F" w:rsidRPr="00430C26">
        <w:rPr>
          <w:sz w:val="24"/>
          <w:szCs w:val="24"/>
          <w:lang w:val="lt-LT"/>
        </w:rPr>
        <w:t xml:space="preserve"> </w:t>
      </w:r>
      <w:r w:rsidR="0019608E" w:rsidRPr="00430C26">
        <w:rPr>
          <w:sz w:val="24"/>
          <w:szCs w:val="24"/>
          <w:lang w:val="lt-LT"/>
        </w:rPr>
        <w:t xml:space="preserve">perveda </w:t>
      </w:r>
      <w:r w:rsidR="00280A9B" w:rsidRPr="00430C26">
        <w:rPr>
          <w:sz w:val="24"/>
          <w:szCs w:val="24"/>
          <w:lang w:val="lt-LT"/>
        </w:rPr>
        <w:t xml:space="preserve">šią sumą </w:t>
      </w:r>
      <w:r w:rsidR="0019608E" w:rsidRPr="00430C26">
        <w:rPr>
          <w:sz w:val="24"/>
          <w:szCs w:val="24"/>
          <w:lang w:val="lt-LT"/>
        </w:rPr>
        <w:t xml:space="preserve">į </w:t>
      </w:r>
      <w:r w:rsidR="00463213" w:rsidRPr="00430C26">
        <w:rPr>
          <w:sz w:val="24"/>
          <w:szCs w:val="24"/>
          <w:lang w:val="lt-LT"/>
        </w:rPr>
        <w:t>Einamąją</w:t>
      </w:r>
      <w:r w:rsidR="0019608E" w:rsidRPr="00430C26">
        <w:rPr>
          <w:sz w:val="24"/>
          <w:szCs w:val="24"/>
          <w:lang w:val="lt-LT"/>
        </w:rPr>
        <w:t xml:space="preserve"> sąskaitą. Šia suma </w:t>
      </w:r>
      <w:r w:rsidR="006C7B57" w:rsidRPr="00430C26">
        <w:rPr>
          <w:sz w:val="24"/>
          <w:szCs w:val="24"/>
          <w:lang w:val="lt-LT"/>
        </w:rPr>
        <w:t xml:space="preserve">yra </w:t>
      </w:r>
      <w:r w:rsidR="0019608E" w:rsidRPr="00430C26">
        <w:rPr>
          <w:sz w:val="24"/>
          <w:szCs w:val="24"/>
          <w:lang w:val="lt-LT"/>
        </w:rPr>
        <w:t xml:space="preserve">mažinama </w:t>
      </w:r>
      <w:r w:rsidR="000B4855" w:rsidRPr="00430C26">
        <w:rPr>
          <w:sz w:val="24"/>
          <w:szCs w:val="24"/>
          <w:lang w:val="lt-LT"/>
        </w:rPr>
        <w:t>PGF2</w:t>
      </w:r>
      <w:r w:rsidR="000B4855">
        <w:rPr>
          <w:sz w:val="24"/>
          <w:szCs w:val="24"/>
          <w:lang w:val="lt-LT"/>
        </w:rPr>
        <w:t> </w:t>
      </w:r>
      <w:r w:rsidR="0019608E" w:rsidRPr="00430C26">
        <w:rPr>
          <w:sz w:val="24"/>
          <w:szCs w:val="24"/>
          <w:lang w:val="lt-LT"/>
        </w:rPr>
        <w:t xml:space="preserve">priemonės valdytojui faktiškai išmokėta </w:t>
      </w:r>
      <w:r w:rsidR="00463213" w:rsidRPr="00430C26">
        <w:rPr>
          <w:sz w:val="24"/>
          <w:szCs w:val="24"/>
          <w:lang w:val="lt-LT"/>
        </w:rPr>
        <w:t xml:space="preserve">Garantijos </w:t>
      </w:r>
      <w:r w:rsidR="0019608E" w:rsidRPr="00430C26">
        <w:rPr>
          <w:sz w:val="24"/>
          <w:szCs w:val="24"/>
          <w:lang w:val="lt-LT"/>
        </w:rPr>
        <w:t>išmokų suma</w:t>
      </w:r>
      <w:r w:rsidR="00527DEE" w:rsidRPr="00430C26">
        <w:rPr>
          <w:sz w:val="24"/>
          <w:szCs w:val="24"/>
          <w:lang w:val="lt-LT"/>
        </w:rPr>
        <w:t>.</w:t>
      </w:r>
    </w:p>
    <w:p w14:paraId="7E924D04" w14:textId="0593D31C" w:rsidR="009D3653" w:rsidRPr="00060398" w:rsidRDefault="000C3A80" w:rsidP="009B0EE1">
      <w:pPr>
        <w:pStyle w:val="ListParagraph"/>
        <w:numPr>
          <w:ilvl w:val="1"/>
          <w:numId w:val="8"/>
        </w:numPr>
        <w:tabs>
          <w:tab w:val="left" w:pos="567"/>
        </w:tabs>
        <w:overflowPunct w:val="0"/>
        <w:autoSpaceDE w:val="0"/>
        <w:autoSpaceDN w:val="0"/>
        <w:adjustRightInd w:val="0"/>
        <w:ind w:left="-709" w:firstLine="709"/>
        <w:jc w:val="both"/>
        <w:textAlignment w:val="baseline"/>
        <w:rPr>
          <w:rFonts w:eastAsia="Times New Roman"/>
          <w:sz w:val="24"/>
          <w:szCs w:val="24"/>
          <w:lang w:val="lt-LT"/>
        </w:rPr>
      </w:pPr>
      <w:r w:rsidRPr="00E81511">
        <w:rPr>
          <w:sz w:val="24"/>
          <w:szCs w:val="24"/>
          <w:lang w:val="lt-LT"/>
        </w:rPr>
        <w:t>Išieškotas sumas PGF</w:t>
      </w:r>
      <w:r w:rsidR="000527B2">
        <w:rPr>
          <w:sz w:val="24"/>
          <w:szCs w:val="24"/>
          <w:lang w:val="lt-LT"/>
        </w:rPr>
        <w:t>2</w:t>
      </w:r>
      <w:r w:rsidRPr="00E81511">
        <w:rPr>
          <w:sz w:val="24"/>
          <w:szCs w:val="24"/>
          <w:lang w:val="lt-LT"/>
        </w:rPr>
        <w:t xml:space="preserve"> priemonės valdytojas</w:t>
      </w:r>
      <w:r w:rsidR="00523AEE" w:rsidRPr="00E81511">
        <w:rPr>
          <w:rFonts w:ascii="TimesLT" w:hAnsi="TimesLT"/>
          <w:snapToGrid/>
          <w:sz w:val="24"/>
          <w:szCs w:val="20"/>
          <w:lang w:val="lt-LT" w:eastAsia="en-US"/>
        </w:rPr>
        <w:t xml:space="preserve"> </w:t>
      </w:r>
      <w:r w:rsidRPr="00E81511">
        <w:rPr>
          <w:sz w:val="24"/>
          <w:szCs w:val="24"/>
          <w:lang w:val="lt-LT"/>
        </w:rPr>
        <w:t xml:space="preserve">į </w:t>
      </w:r>
      <w:r w:rsidRPr="00E34EF9">
        <w:rPr>
          <w:sz w:val="24"/>
          <w:szCs w:val="24"/>
          <w:lang w:val="lt-LT"/>
        </w:rPr>
        <w:t xml:space="preserve">Einamąją sąskaitą perveda per </w:t>
      </w:r>
      <w:r w:rsidR="000B4855" w:rsidRPr="00E34EF9">
        <w:rPr>
          <w:sz w:val="24"/>
          <w:szCs w:val="24"/>
          <w:lang w:val="lt-LT"/>
        </w:rPr>
        <w:t>15</w:t>
      </w:r>
      <w:r w:rsidR="000B4855">
        <w:rPr>
          <w:sz w:val="24"/>
          <w:szCs w:val="24"/>
          <w:lang w:val="lt-LT"/>
        </w:rPr>
        <w:t> </w:t>
      </w:r>
      <w:r w:rsidRPr="00E34EF9">
        <w:rPr>
          <w:sz w:val="24"/>
          <w:szCs w:val="24"/>
          <w:lang w:val="lt-LT"/>
        </w:rPr>
        <w:t>kalendorinių dienų nuo tokių sumų išieškojimo dienos, pavedimo paskirtyje nurodant „Išieškotos sumos pagal priemonę PGF</w:t>
      </w:r>
      <w:r w:rsidR="00E81511" w:rsidRPr="00060398">
        <w:rPr>
          <w:sz w:val="24"/>
          <w:szCs w:val="24"/>
          <w:lang w:val="lt-LT"/>
        </w:rPr>
        <w:t>2</w:t>
      </w:r>
      <w:r w:rsidRPr="00060398">
        <w:rPr>
          <w:sz w:val="24"/>
          <w:szCs w:val="24"/>
          <w:lang w:val="lt-LT"/>
        </w:rPr>
        <w:t>“.</w:t>
      </w:r>
    </w:p>
    <w:p w14:paraId="1DE114B9" w14:textId="603E225B" w:rsidR="00902894" w:rsidRPr="004A7AEA" w:rsidRDefault="0019608E" w:rsidP="009B0EE1">
      <w:pPr>
        <w:pStyle w:val="ListParagraph"/>
        <w:numPr>
          <w:ilvl w:val="1"/>
          <w:numId w:val="8"/>
        </w:numPr>
        <w:tabs>
          <w:tab w:val="left" w:pos="567"/>
        </w:tabs>
        <w:overflowPunct w:val="0"/>
        <w:autoSpaceDE w:val="0"/>
        <w:autoSpaceDN w:val="0"/>
        <w:adjustRightInd w:val="0"/>
        <w:spacing w:after="0"/>
        <w:ind w:left="-709" w:firstLine="709"/>
        <w:jc w:val="both"/>
        <w:textAlignment w:val="baseline"/>
        <w:rPr>
          <w:rFonts w:eastAsia="Times New Roman"/>
          <w:sz w:val="24"/>
          <w:szCs w:val="24"/>
          <w:lang w:val="lt-LT"/>
        </w:rPr>
      </w:pPr>
      <w:r w:rsidRPr="00E34EF9">
        <w:rPr>
          <w:sz w:val="24"/>
          <w:szCs w:val="24"/>
          <w:lang w:val="lt-LT"/>
        </w:rPr>
        <w:t xml:space="preserve">Jeigu </w:t>
      </w:r>
      <w:r w:rsidR="001D0CAD" w:rsidRPr="00E34EF9">
        <w:rPr>
          <w:sz w:val="24"/>
          <w:szCs w:val="24"/>
          <w:lang w:val="lt-LT"/>
        </w:rPr>
        <w:t xml:space="preserve">Garantijos </w:t>
      </w:r>
      <w:r w:rsidRPr="00E34EF9">
        <w:rPr>
          <w:sz w:val="24"/>
          <w:szCs w:val="24"/>
          <w:lang w:val="lt-LT"/>
        </w:rPr>
        <w:t xml:space="preserve">išmoka buvo atlikta pagal </w:t>
      </w:r>
      <w:r w:rsidR="00013C53" w:rsidRPr="00E34EF9">
        <w:rPr>
          <w:sz w:val="24"/>
          <w:szCs w:val="24"/>
          <w:lang w:val="lt-LT"/>
        </w:rPr>
        <w:t>Faktoringo sandorį</w:t>
      </w:r>
      <w:r w:rsidRPr="00E34EF9">
        <w:rPr>
          <w:sz w:val="24"/>
          <w:szCs w:val="24"/>
          <w:lang w:val="lt-LT"/>
        </w:rPr>
        <w:t xml:space="preserve">, kurio </w:t>
      </w:r>
      <w:r w:rsidR="0073622E" w:rsidRPr="00E34EF9">
        <w:rPr>
          <w:sz w:val="24"/>
          <w:szCs w:val="24"/>
          <w:lang w:val="lt-LT"/>
        </w:rPr>
        <w:t xml:space="preserve">dalis </w:t>
      </w:r>
      <w:r w:rsidR="001F76DD" w:rsidRPr="00E34EF9">
        <w:rPr>
          <w:sz w:val="24"/>
          <w:szCs w:val="24"/>
          <w:lang w:val="lt-LT"/>
        </w:rPr>
        <w:t xml:space="preserve">Faktoringo avansų </w:t>
      </w:r>
      <w:r w:rsidR="0073622E" w:rsidRPr="00E34EF9">
        <w:rPr>
          <w:sz w:val="24"/>
          <w:szCs w:val="24"/>
          <w:lang w:val="lt-LT"/>
        </w:rPr>
        <w:t>buvo iš</w:t>
      </w:r>
      <w:r w:rsidR="008F1D65" w:rsidRPr="00E34EF9">
        <w:rPr>
          <w:sz w:val="24"/>
          <w:szCs w:val="24"/>
          <w:lang w:val="lt-LT"/>
        </w:rPr>
        <w:t>mokėta</w:t>
      </w:r>
      <w:r w:rsidR="0073622E" w:rsidRPr="00E34EF9">
        <w:rPr>
          <w:sz w:val="24"/>
          <w:szCs w:val="24"/>
          <w:lang w:val="lt-LT"/>
        </w:rPr>
        <w:t xml:space="preserve"> </w:t>
      </w:r>
      <w:r w:rsidR="008F1D65" w:rsidRPr="00E34EF9">
        <w:rPr>
          <w:sz w:val="24"/>
          <w:szCs w:val="24"/>
          <w:lang w:val="lt-LT"/>
        </w:rPr>
        <w:t>po Faktoringo avansų išmokėjimo laikotarpio pabaigos</w:t>
      </w:r>
      <w:r w:rsidRPr="00E34EF9">
        <w:rPr>
          <w:sz w:val="24"/>
          <w:szCs w:val="24"/>
          <w:lang w:val="lt-LT"/>
        </w:rPr>
        <w:t xml:space="preserve">, išieškotų skolų procentinė dalis, kurią </w:t>
      </w:r>
      <w:r w:rsidR="00C51F33" w:rsidRPr="00E34EF9">
        <w:rPr>
          <w:sz w:val="24"/>
          <w:szCs w:val="24"/>
          <w:lang w:val="lt-LT"/>
        </w:rPr>
        <w:t>PGF</w:t>
      </w:r>
      <w:r w:rsidR="008F1D65" w:rsidRPr="00E34EF9">
        <w:rPr>
          <w:sz w:val="24"/>
          <w:szCs w:val="24"/>
          <w:lang w:val="lt-LT"/>
        </w:rPr>
        <w:t>2</w:t>
      </w:r>
      <w:r w:rsidRPr="00E34EF9">
        <w:rPr>
          <w:sz w:val="24"/>
          <w:szCs w:val="24"/>
          <w:lang w:val="lt-LT"/>
        </w:rPr>
        <w:t xml:space="preserve"> priemonės valdytojas</w:t>
      </w:r>
      <w:r w:rsidR="00523AEE" w:rsidRPr="00E34EF9">
        <w:rPr>
          <w:sz w:val="24"/>
          <w:szCs w:val="24"/>
          <w:lang w:val="lt-LT"/>
        </w:rPr>
        <w:t xml:space="preserve"> </w:t>
      </w:r>
      <w:r w:rsidRPr="00E34EF9">
        <w:rPr>
          <w:sz w:val="24"/>
          <w:szCs w:val="24"/>
          <w:lang w:val="lt-LT"/>
        </w:rPr>
        <w:t xml:space="preserve">turi pervesti į </w:t>
      </w:r>
      <w:r w:rsidR="00902894" w:rsidRPr="00E34EF9">
        <w:rPr>
          <w:sz w:val="24"/>
          <w:szCs w:val="24"/>
          <w:lang w:val="lt-LT"/>
        </w:rPr>
        <w:t>Einamąją sąskaitą</w:t>
      </w:r>
      <w:r w:rsidRPr="00E34EF9">
        <w:rPr>
          <w:sz w:val="24"/>
          <w:szCs w:val="24"/>
          <w:lang w:val="lt-LT"/>
        </w:rPr>
        <w:t xml:space="preserve">, </w:t>
      </w:r>
      <w:r w:rsidR="009D3653" w:rsidRPr="005C736D">
        <w:rPr>
          <w:sz w:val="24"/>
          <w:szCs w:val="24"/>
          <w:lang w:val="lt-LT"/>
        </w:rPr>
        <w:t xml:space="preserve">skaičiuojama </w:t>
      </w:r>
      <w:r w:rsidR="009D3653" w:rsidRPr="004A7AEA">
        <w:rPr>
          <w:sz w:val="24"/>
          <w:szCs w:val="24"/>
          <w:lang w:val="lt-LT"/>
        </w:rPr>
        <w:t>naudojant formulę:</w:t>
      </w:r>
    </w:p>
    <w:p w14:paraId="5E0B80FB" w14:textId="2E8043A1" w:rsidR="009845C6" w:rsidRPr="004A7AEA" w:rsidRDefault="005C736D" w:rsidP="009B0EE1">
      <w:pPr>
        <w:pStyle w:val="NormalWeb"/>
        <w:tabs>
          <w:tab w:val="left" w:pos="709"/>
          <w:tab w:val="left" w:pos="1560"/>
        </w:tabs>
        <w:spacing w:before="0" w:beforeAutospacing="0" w:after="0" w:afterAutospacing="0" w:line="276" w:lineRule="auto"/>
        <w:ind w:left="-709" w:firstLine="709"/>
        <w:jc w:val="both"/>
        <w:rPr>
          <w:lang w:val="lt-LT"/>
        </w:rPr>
      </w:pPr>
      <w:r w:rsidRPr="004A7AEA">
        <w:rPr>
          <w:lang w:val="lt-LT"/>
        </w:rPr>
        <w:t>S</w:t>
      </w:r>
      <w:r w:rsidR="009845C6" w:rsidRPr="004A7AEA">
        <w:rPr>
          <w:lang w:val="lt-LT"/>
        </w:rPr>
        <w:t xml:space="preserve"> = </w:t>
      </w:r>
      <w:r w:rsidRPr="004A7AEA">
        <w:rPr>
          <w:lang w:val="lt-LT"/>
        </w:rPr>
        <w:t xml:space="preserve">G* </w:t>
      </w:r>
      <w:r w:rsidR="009845C6" w:rsidRPr="004A7AEA">
        <w:rPr>
          <w:lang w:val="lt-LT"/>
        </w:rPr>
        <w:t>(1 – N / V)</w:t>
      </w:r>
      <w:bookmarkStart w:id="9" w:name="_Hlk36677797"/>
      <w:r w:rsidR="00F71E06" w:rsidRPr="004A7AEA">
        <w:rPr>
          <w:lang w:val="lt-LT"/>
        </w:rPr>
        <w:t xml:space="preserve"> *</w:t>
      </w:r>
      <w:bookmarkEnd w:id="9"/>
      <w:r w:rsidR="00F71E06" w:rsidRPr="004A7AEA">
        <w:rPr>
          <w:lang w:val="lt-LT"/>
        </w:rPr>
        <w:t>100</w:t>
      </w:r>
      <w:r w:rsidR="009845C6" w:rsidRPr="004A7AEA">
        <w:rPr>
          <w:lang w:val="lt-LT"/>
        </w:rPr>
        <w:t xml:space="preserve"> </w:t>
      </w:r>
    </w:p>
    <w:p w14:paraId="7A5FFBD1" w14:textId="77777777" w:rsidR="0019608E" w:rsidRPr="004A7AEA" w:rsidRDefault="0019608E" w:rsidP="009B0EE1">
      <w:pPr>
        <w:pStyle w:val="NormalWeb"/>
        <w:tabs>
          <w:tab w:val="left" w:pos="709"/>
          <w:tab w:val="left" w:pos="1560"/>
        </w:tabs>
        <w:spacing w:before="0" w:beforeAutospacing="0" w:after="0" w:afterAutospacing="0" w:line="276" w:lineRule="auto"/>
        <w:ind w:left="-709" w:firstLine="709"/>
        <w:jc w:val="both"/>
        <w:rPr>
          <w:lang w:val="lt-LT"/>
        </w:rPr>
      </w:pPr>
      <w:r w:rsidRPr="004A7AEA">
        <w:rPr>
          <w:lang w:val="lt-LT"/>
        </w:rPr>
        <w:t>kur:</w:t>
      </w:r>
    </w:p>
    <w:p w14:paraId="4F4C6A93" w14:textId="24F8D60A" w:rsidR="0019608E" w:rsidRPr="004A7AEA" w:rsidRDefault="009837BF" w:rsidP="009B0EE1">
      <w:pPr>
        <w:pStyle w:val="NormalWeb"/>
        <w:tabs>
          <w:tab w:val="left" w:pos="709"/>
          <w:tab w:val="left" w:pos="1560"/>
        </w:tabs>
        <w:spacing w:before="0" w:beforeAutospacing="0" w:after="0" w:afterAutospacing="0" w:line="276" w:lineRule="auto"/>
        <w:ind w:left="-709" w:firstLine="709"/>
        <w:jc w:val="both"/>
        <w:rPr>
          <w:lang w:val="lt-LT"/>
        </w:rPr>
      </w:pPr>
      <w:r w:rsidRPr="004A7AEA">
        <w:rPr>
          <w:lang w:val="lt-LT"/>
        </w:rPr>
        <w:t>S</w:t>
      </w:r>
      <w:r w:rsidR="0019608E" w:rsidRPr="004A7AEA">
        <w:rPr>
          <w:lang w:val="lt-LT"/>
        </w:rPr>
        <w:t xml:space="preserve"> – išieškotų skolų procentinė dalis;</w:t>
      </w:r>
    </w:p>
    <w:p w14:paraId="41A167BD" w14:textId="1A341486" w:rsidR="0019608E" w:rsidRPr="004A7AEA" w:rsidRDefault="0019608E" w:rsidP="009B0EE1">
      <w:pPr>
        <w:pStyle w:val="NormalWeb"/>
        <w:tabs>
          <w:tab w:val="left" w:pos="709"/>
          <w:tab w:val="left" w:pos="1560"/>
        </w:tabs>
        <w:spacing w:before="0" w:beforeAutospacing="0" w:after="0" w:afterAutospacing="0" w:line="276" w:lineRule="auto"/>
        <w:ind w:left="-709" w:firstLine="709"/>
        <w:jc w:val="both"/>
        <w:rPr>
          <w:lang w:val="lt-LT"/>
        </w:rPr>
      </w:pPr>
      <w:r w:rsidRPr="004A7AEA">
        <w:rPr>
          <w:lang w:val="lt-LT"/>
        </w:rPr>
        <w:t>G –</w:t>
      </w:r>
      <w:r w:rsidR="00514842" w:rsidRPr="004A7AEA">
        <w:rPr>
          <w:lang w:val="lt-LT"/>
        </w:rPr>
        <w:t xml:space="preserve"> </w:t>
      </w:r>
      <w:r w:rsidRPr="004A7AEA">
        <w:rPr>
          <w:lang w:val="lt-LT"/>
        </w:rPr>
        <w:t>Garantijos dydis</w:t>
      </w:r>
      <w:r w:rsidR="00C36503" w:rsidRPr="004A7AEA">
        <w:rPr>
          <w:lang w:val="lt-LT"/>
        </w:rPr>
        <w:t xml:space="preserve"> (</w:t>
      </w:r>
      <w:r w:rsidR="009837BF" w:rsidRPr="004A7AEA">
        <w:rPr>
          <w:lang w:val="lt-LT"/>
        </w:rPr>
        <w:t xml:space="preserve"> 80 </w:t>
      </w:r>
      <w:r w:rsidR="00C36503" w:rsidRPr="004A7AEA">
        <w:rPr>
          <w:lang w:val="lt-LT"/>
        </w:rPr>
        <w:t>proc.)</w:t>
      </w:r>
      <w:r w:rsidRPr="004A7AEA">
        <w:rPr>
          <w:lang w:val="lt-LT"/>
        </w:rPr>
        <w:t>;</w:t>
      </w:r>
    </w:p>
    <w:p w14:paraId="68158B6F" w14:textId="117DBA13" w:rsidR="0019608E" w:rsidRPr="004A7AEA" w:rsidRDefault="0019608E" w:rsidP="002C43C1">
      <w:pPr>
        <w:pStyle w:val="NormalWeb"/>
        <w:tabs>
          <w:tab w:val="left" w:pos="709"/>
          <w:tab w:val="left" w:pos="1560"/>
        </w:tabs>
        <w:spacing w:before="0" w:beforeAutospacing="0" w:after="0" w:afterAutospacing="0" w:line="276" w:lineRule="auto"/>
        <w:ind w:left="-709" w:firstLine="709"/>
        <w:jc w:val="both"/>
        <w:rPr>
          <w:lang w:val="lt-LT"/>
        </w:rPr>
      </w:pPr>
      <w:r w:rsidRPr="004A7AEA">
        <w:rPr>
          <w:lang w:val="lt-LT"/>
        </w:rPr>
        <w:t>N –</w:t>
      </w:r>
      <w:r w:rsidR="000014A8" w:rsidRPr="004A7AEA">
        <w:rPr>
          <w:lang w:val="lt-LT"/>
        </w:rPr>
        <w:t xml:space="preserve"> </w:t>
      </w:r>
      <w:r w:rsidR="00F21757" w:rsidRPr="004A7AEA">
        <w:rPr>
          <w:lang w:val="lt-LT"/>
        </w:rPr>
        <w:t xml:space="preserve">Faktoringo </w:t>
      </w:r>
      <w:r w:rsidR="00B713A3" w:rsidRPr="004A7AEA">
        <w:rPr>
          <w:lang w:val="lt-LT"/>
        </w:rPr>
        <w:t xml:space="preserve">avansų </w:t>
      </w:r>
      <w:r w:rsidR="0073622E" w:rsidRPr="004A7AEA">
        <w:rPr>
          <w:lang w:val="lt-LT"/>
        </w:rPr>
        <w:t xml:space="preserve">suma, </w:t>
      </w:r>
      <w:r w:rsidR="00FB57E7" w:rsidRPr="004A7AEA">
        <w:rPr>
          <w:lang w:val="lt-LT"/>
        </w:rPr>
        <w:t>išmokėta po Faktoringo avansų išmokėjimo laikotarpio pabaigos</w:t>
      </w:r>
      <w:r w:rsidRPr="004A7AEA">
        <w:rPr>
          <w:lang w:val="lt-LT"/>
        </w:rPr>
        <w:t>;</w:t>
      </w:r>
    </w:p>
    <w:p w14:paraId="1D930FFF" w14:textId="5D11ED3C" w:rsidR="000A08C3" w:rsidRPr="00AC7DAF" w:rsidRDefault="0019608E" w:rsidP="00F811BC">
      <w:pPr>
        <w:pStyle w:val="CommentText"/>
        <w:spacing w:line="276" w:lineRule="auto"/>
        <w:ind w:left="-709"/>
        <w:jc w:val="both"/>
        <w:rPr>
          <w:rFonts w:ascii="Times New Roman" w:hAnsi="Times New Roman"/>
          <w:sz w:val="24"/>
          <w:szCs w:val="24"/>
        </w:rPr>
      </w:pPr>
      <w:r w:rsidRPr="004A7AEA">
        <w:rPr>
          <w:rFonts w:ascii="Times New Roman" w:hAnsi="Times New Roman"/>
          <w:sz w:val="24"/>
          <w:szCs w:val="24"/>
          <w:lang w:val="lt-LT"/>
        </w:rPr>
        <w:t>V – visa išmokėt</w:t>
      </w:r>
      <w:r w:rsidR="00F96431" w:rsidRPr="004A7AEA">
        <w:rPr>
          <w:rFonts w:ascii="Times New Roman" w:hAnsi="Times New Roman"/>
          <w:sz w:val="24"/>
          <w:szCs w:val="24"/>
          <w:lang w:val="lt-LT"/>
        </w:rPr>
        <w:t>a</w:t>
      </w:r>
      <w:r w:rsidRPr="004A7AEA">
        <w:rPr>
          <w:rFonts w:ascii="Times New Roman" w:hAnsi="Times New Roman"/>
          <w:sz w:val="24"/>
          <w:szCs w:val="24"/>
          <w:lang w:val="lt-LT"/>
        </w:rPr>
        <w:t xml:space="preserve"> </w:t>
      </w:r>
      <w:r w:rsidR="00F21757" w:rsidRPr="004A7AEA">
        <w:rPr>
          <w:rFonts w:ascii="Times New Roman" w:hAnsi="Times New Roman"/>
          <w:sz w:val="24"/>
          <w:szCs w:val="24"/>
          <w:lang w:val="lt-LT"/>
        </w:rPr>
        <w:t>Faktoringo sandorio</w:t>
      </w:r>
      <w:r w:rsidR="007158E5" w:rsidRPr="004A7AEA">
        <w:rPr>
          <w:rFonts w:ascii="Times New Roman" w:hAnsi="Times New Roman"/>
          <w:sz w:val="24"/>
          <w:szCs w:val="24"/>
          <w:lang w:val="lt-LT"/>
        </w:rPr>
        <w:t xml:space="preserve"> avansų</w:t>
      </w:r>
      <w:r w:rsidRPr="004A7AEA">
        <w:rPr>
          <w:rFonts w:ascii="Times New Roman" w:hAnsi="Times New Roman"/>
          <w:sz w:val="24"/>
          <w:szCs w:val="24"/>
          <w:lang w:val="lt-LT"/>
        </w:rPr>
        <w:t xml:space="preserve"> suma</w:t>
      </w:r>
      <w:r w:rsidR="0008606F" w:rsidRPr="004A7AEA">
        <w:rPr>
          <w:rFonts w:ascii="Times New Roman" w:hAnsi="Times New Roman"/>
          <w:sz w:val="24"/>
          <w:szCs w:val="24"/>
        </w:rPr>
        <w:t xml:space="preserve"> </w:t>
      </w:r>
      <w:r w:rsidR="00BF7CA8" w:rsidRPr="004A7AEA">
        <w:rPr>
          <w:rFonts w:ascii="Times New Roman" w:hAnsi="Times New Roman"/>
          <w:sz w:val="24"/>
          <w:szCs w:val="24"/>
          <w:lang w:val="lt-LT"/>
        </w:rPr>
        <w:t>(</w:t>
      </w:r>
      <w:r w:rsidR="0008606F" w:rsidRPr="004A7AEA">
        <w:rPr>
          <w:rFonts w:ascii="Times New Roman" w:hAnsi="Times New Roman"/>
          <w:sz w:val="24"/>
          <w:szCs w:val="24"/>
        </w:rPr>
        <w:t>Pavyzdžiui, PGF2 priemonės</w:t>
      </w:r>
      <w:r w:rsidR="00BF7CA8" w:rsidRPr="004A7AEA">
        <w:rPr>
          <w:rFonts w:ascii="Times New Roman" w:hAnsi="Times New Roman"/>
          <w:sz w:val="24"/>
          <w:szCs w:val="24"/>
          <w:lang w:val="lt-LT"/>
        </w:rPr>
        <w:t xml:space="preserve"> </w:t>
      </w:r>
      <w:r w:rsidR="0008606F" w:rsidRPr="004A7AEA">
        <w:rPr>
          <w:rFonts w:ascii="Times New Roman" w:hAnsi="Times New Roman"/>
          <w:sz w:val="24"/>
          <w:szCs w:val="24"/>
        </w:rPr>
        <w:t xml:space="preserve">valdytojas išmokėjo MVĮ 300 </w:t>
      </w:r>
      <w:r w:rsidR="002C43C1" w:rsidRPr="004A7AEA">
        <w:rPr>
          <w:rFonts w:ascii="Times New Roman" w:hAnsi="Times New Roman"/>
          <w:sz w:val="24"/>
          <w:szCs w:val="24"/>
        </w:rPr>
        <w:t xml:space="preserve">EUR </w:t>
      </w:r>
      <w:r w:rsidR="0008606F" w:rsidRPr="004A7AEA">
        <w:rPr>
          <w:rFonts w:ascii="Times New Roman" w:hAnsi="Times New Roman"/>
          <w:sz w:val="24"/>
          <w:szCs w:val="24"/>
        </w:rPr>
        <w:t xml:space="preserve">(V), bet iš jų 150 </w:t>
      </w:r>
      <w:r w:rsidR="002C43C1" w:rsidRPr="004A7AEA">
        <w:rPr>
          <w:rFonts w:ascii="Times New Roman" w:hAnsi="Times New Roman"/>
          <w:sz w:val="24"/>
          <w:szCs w:val="24"/>
        </w:rPr>
        <w:t xml:space="preserve">EUR </w:t>
      </w:r>
      <w:r w:rsidR="0008606F" w:rsidRPr="004A7AEA">
        <w:rPr>
          <w:rFonts w:ascii="Times New Roman" w:hAnsi="Times New Roman"/>
          <w:sz w:val="24"/>
          <w:szCs w:val="24"/>
        </w:rPr>
        <w:t xml:space="preserve">buvo išmokėta po Faktoringo avansų išmokėjimo laikotarpio pabaigos (N), tuomet išieškotų skolų procentinė dalis (S) yra lygi </w:t>
      </w:r>
      <w:r w:rsidR="0008606F" w:rsidRPr="004A7AEA">
        <w:rPr>
          <w:rFonts w:ascii="Times New Roman" w:hAnsi="Times New Roman"/>
          <w:sz w:val="24"/>
          <w:szCs w:val="24"/>
          <w:lang w:val="lt-LT"/>
        </w:rPr>
        <w:t>80</w:t>
      </w:r>
      <w:r w:rsidR="00AB05CE" w:rsidRPr="004A7AEA">
        <w:rPr>
          <w:rFonts w:ascii="Times New Roman" w:hAnsi="Times New Roman"/>
          <w:sz w:val="24"/>
          <w:szCs w:val="24"/>
          <w:lang w:val="lt-LT"/>
        </w:rPr>
        <w:t> </w:t>
      </w:r>
      <w:r w:rsidR="0008606F" w:rsidRPr="004A7AEA">
        <w:rPr>
          <w:rFonts w:ascii="Times New Roman" w:hAnsi="Times New Roman"/>
          <w:sz w:val="24"/>
          <w:szCs w:val="24"/>
          <w:lang w:val="lt-LT"/>
        </w:rPr>
        <w:t>proc.*(1-</w:t>
      </w:r>
      <w:r w:rsidR="00AB05CE" w:rsidRPr="004A7AEA">
        <w:rPr>
          <w:rFonts w:ascii="Times New Roman" w:hAnsi="Times New Roman"/>
          <w:sz w:val="24"/>
          <w:szCs w:val="24"/>
          <w:lang w:val="lt-LT"/>
        </w:rPr>
        <w:t> </w:t>
      </w:r>
      <w:r w:rsidR="0008606F" w:rsidRPr="004A7AEA">
        <w:rPr>
          <w:rFonts w:ascii="Times New Roman" w:hAnsi="Times New Roman"/>
          <w:sz w:val="24"/>
          <w:szCs w:val="24"/>
          <w:lang w:val="lt-LT"/>
        </w:rPr>
        <w:t>150</w:t>
      </w:r>
      <w:r w:rsidR="00AB05CE" w:rsidRPr="004A7AEA">
        <w:rPr>
          <w:rFonts w:ascii="Times New Roman" w:hAnsi="Times New Roman"/>
          <w:sz w:val="24"/>
          <w:szCs w:val="24"/>
          <w:lang w:val="lt-LT"/>
        </w:rPr>
        <w:t> </w:t>
      </w:r>
      <w:r w:rsidR="002C43C1" w:rsidRPr="004A7AEA">
        <w:rPr>
          <w:rFonts w:ascii="Times New Roman" w:hAnsi="Times New Roman"/>
          <w:sz w:val="24"/>
          <w:szCs w:val="24"/>
          <w:lang w:val="lt-LT"/>
        </w:rPr>
        <w:t>EUR</w:t>
      </w:r>
      <w:r w:rsidR="0008606F" w:rsidRPr="004A7AEA">
        <w:rPr>
          <w:rFonts w:ascii="Times New Roman" w:hAnsi="Times New Roman"/>
          <w:sz w:val="24"/>
          <w:szCs w:val="24"/>
          <w:lang w:val="lt-LT"/>
        </w:rPr>
        <w:t>/300</w:t>
      </w:r>
      <w:r w:rsidR="00AB05CE" w:rsidRPr="004A7AEA">
        <w:rPr>
          <w:rFonts w:ascii="Times New Roman" w:hAnsi="Times New Roman"/>
          <w:sz w:val="24"/>
          <w:szCs w:val="24"/>
          <w:lang w:val="lt-LT"/>
        </w:rPr>
        <w:t> </w:t>
      </w:r>
      <w:r w:rsidR="00447F4A" w:rsidRPr="004A7AEA">
        <w:rPr>
          <w:rFonts w:ascii="Times New Roman" w:hAnsi="Times New Roman"/>
          <w:sz w:val="24"/>
          <w:szCs w:val="24"/>
          <w:lang w:val="lt-LT"/>
        </w:rPr>
        <w:t>EUR</w:t>
      </w:r>
      <w:r w:rsidR="0008606F" w:rsidRPr="004A7AEA">
        <w:rPr>
          <w:rFonts w:ascii="Times New Roman" w:hAnsi="Times New Roman"/>
          <w:sz w:val="24"/>
          <w:szCs w:val="24"/>
          <w:lang w:val="lt-LT"/>
        </w:rPr>
        <w:t>)*100=40 proc.</w:t>
      </w:r>
      <w:r w:rsidR="00BF7CA8" w:rsidRPr="004A7AEA">
        <w:rPr>
          <w:rFonts w:ascii="Times New Roman" w:hAnsi="Times New Roman"/>
          <w:sz w:val="24"/>
          <w:szCs w:val="24"/>
          <w:lang w:val="lt-LT"/>
        </w:rPr>
        <w:t>)</w:t>
      </w:r>
      <w:r w:rsidRPr="004A7AEA">
        <w:rPr>
          <w:rFonts w:ascii="Times New Roman" w:hAnsi="Times New Roman"/>
          <w:sz w:val="24"/>
          <w:szCs w:val="24"/>
          <w:lang w:val="lt-LT"/>
        </w:rPr>
        <w:t>.</w:t>
      </w:r>
    </w:p>
    <w:p w14:paraId="01E1CC49" w14:textId="2D7066F5" w:rsidR="0002253A" w:rsidRPr="00AC7DAF" w:rsidRDefault="00C51F33" w:rsidP="002C43C1">
      <w:pPr>
        <w:pStyle w:val="NormalWeb"/>
        <w:numPr>
          <w:ilvl w:val="1"/>
          <w:numId w:val="8"/>
        </w:numPr>
        <w:tabs>
          <w:tab w:val="left" w:pos="567"/>
        </w:tabs>
        <w:spacing w:before="0" w:beforeAutospacing="0" w:after="0" w:afterAutospacing="0" w:line="276" w:lineRule="auto"/>
        <w:ind w:left="-709" w:firstLine="709"/>
        <w:jc w:val="both"/>
        <w:rPr>
          <w:lang w:val="lt-LT"/>
        </w:rPr>
      </w:pPr>
      <w:r w:rsidRPr="00AC7DAF">
        <w:rPr>
          <w:lang w:val="lt-LT"/>
        </w:rPr>
        <w:t>PGF</w:t>
      </w:r>
      <w:r w:rsidR="00F46209" w:rsidRPr="00AC7DAF">
        <w:rPr>
          <w:lang w:val="lt-LT"/>
        </w:rPr>
        <w:t>2</w:t>
      </w:r>
      <w:r w:rsidR="0002253A" w:rsidRPr="00AC7DAF">
        <w:rPr>
          <w:lang w:val="lt-LT"/>
        </w:rPr>
        <w:t xml:space="preserve"> priemonės valdytojas nedelsiant, bet ne vėliau kaip </w:t>
      </w:r>
      <w:r w:rsidR="00BE71B1" w:rsidRPr="00AC7DAF">
        <w:rPr>
          <w:lang w:val="lt-LT"/>
        </w:rPr>
        <w:t xml:space="preserve">per </w:t>
      </w:r>
      <w:r w:rsidR="00F57554" w:rsidRPr="00AC7DAF">
        <w:rPr>
          <w:lang w:val="lt-LT"/>
        </w:rPr>
        <w:t xml:space="preserve">7 </w:t>
      </w:r>
      <w:r w:rsidR="00A73E7F" w:rsidRPr="00AC7DAF">
        <w:rPr>
          <w:lang w:val="lt-LT"/>
        </w:rPr>
        <w:t xml:space="preserve">(septynias) kalendorines </w:t>
      </w:r>
      <w:r w:rsidR="0002253A" w:rsidRPr="00AC7DAF">
        <w:rPr>
          <w:lang w:val="lt-LT"/>
        </w:rPr>
        <w:t>dien</w:t>
      </w:r>
      <w:r w:rsidR="00F57554" w:rsidRPr="00AC7DAF">
        <w:rPr>
          <w:lang w:val="lt-LT"/>
        </w:rPr>
        <w:t xml:space="preserve">as po </w:t>
      </w:r>
      <w:r w:rsidR="001D0CAD" w:rsidRPr="00AC7DAF">
        <w:rPr>
          <w:lang w:val="lt-LT"/>
        </w:rPr>
        <w:t xml:space="preserve">fakto </w:t>
      </w:r>
      <w:r w:rsidR="00F57554" w:rsidRPr="00AC7DAF">
        <w:rPr>
          <w:lang w:val="lt-LT"/>
        </w:rPr>
        <w:t>nustatymo,</w:t>
      </w:r>
      <w:r w:rsidR="0002253A" w:rsidRPr="00AC7DAF">
        <w:rPr>
          <w:lang w:val="lt-LT"/>
        </w:rPr>
        <w:t xml:space="preserve"> privalo į Einamąją sąskaitą grąžinti:</w:t>
      </w:r>
    </w:p>
    <w:p w14:paraId="3F816C49" w14:textId="69F4FA09" w:rsidR="009D3653" w:rsidRPr="00AC7DAF" w:rsidRDefault="00514842" w:rsidP="002C43C1">
      <w:pPr>
        <w:pStyle w:val="NormalWeb"/>
        <w:numPr>
          <w:ilvl w:val="2"/>
          <w:numId w:val="8"/>
        </w:numPr>
        <w:tabs>
          <w:tab w:val="left" w:pos="851"/>
        </w:tabs>
        <w:spacing w:before="0" w:beforeAutospacing="0" w:after="0" w:afterAutospacing="0" w:line="276" w:lineRule="auto"/>
        <w:ind w:left="-709" w:firstLine="709"/>
        <w:jc w:val="both"/>
        <w:rPr>
          <w:lang w:val="lt-LT"/>
        </w:rPr>
      </w:pPr>
      <w:r w:rsidRPr="00AC7DAF">
        <w:rPr>
          <w:lang w:val="lt-LT"/>
        </w:rPr>
        <w:t>s</w:t>
      </w:r>
      <w:r w:rsidR="0002253A" w:rsidRPr="00AC7DAF">
        <w:rPr>
          <w:lang w:val="lt-LT"/>
        </w:rPr>
        <w:t>umą</w:t>
      </w:r>
      <w:r w:rsidR="00A73E7F" w:rsidRPr="00AC7DAF">
        <w:rPr>
          <w:lang w:val="lt-LT"/>
        </w:rPr>
        <w:t>,</w:t>
      </w:r>
      <w:r w:rsidR="0002253A" w:rsidRPr="00AC7DAF">
        <w:rPr>
          <w:lang w:val="lt-LT"/>
        </w:rPr>
        <w:t xml:space="preserve"> viršijančią Didžiausią išmokų sumą;</w:t>
      </w:r>
    </w:p>
    <w:p w14:paraId="30E0616B" w14:textId="6C3601F7" w:rsidR="009D3653" w:rsidRPr="00AC7DAF" w:rsidRDefault="00EB527E" w:rsidP="00155BD1">
      <w:pPr>
        <w:pStyle w:val="NormalWeb"/>
        <w:numPr>
          <w:ilvl w:val="2"/>
          <w:numId w:val="8"/>
        </w:numPr>
        <w:tabs>
          <w:tab w:val="left" w:pos="851"/>
        </w:tabs>
        <w:spacing w:before="0" w:beforeAutospacing="0" w:after="0" w:afterAutospacing="0" w:line="276" w:lineRule="auto"/>
        <w:ind w:left="-709" w:firstLine="709"/>
        <w:jc w:val="both"/>
        <w:rPr>
          <w:lang w:val="lt-LT"/>
        </w:rPr>
      </w:pPr>
      <w:r w:rsidRPr="00AC7DAF">
        <w:rPr>
          <w:lang w:val="lt-LT"/>
        </w:rPr>
        <w:t>už</w:t>
      </w:r>
      <w:r w:rsidR="00000057" w:rsidRPr="00AC7DAF">
        <w:rPr>
          <w:lang w:val="lt-LT"/>
        </w:rPr>
        <w:t xml:space="preserve"> Reikalavimų neatitinkanči</w:t>
      </w:r>
      <w:r w:rsidR="007158E5" w:rsidRPr="00AC7DAF">
        <w:rPr>
          <w:lang w:val="lt-LT"/>
        </w:rPr>
        <w:t>u</w:t>
      </w:r>
      <w:r w:rsidR="00000057" w:rsidRPr="00AC7DAF">
        <w:rPr>
          <w:lang w:val="lt-LT"/>
        </w:rPr>
        <w:t xml:space="preserve">s </w:t>
      </w:r>
      <w:r w:rsidR="00BE1664" w:rsidRPr="00AC7DAF">
        <w:rPr>
          <w:lang w:val="lt-LT"/>
        </w:rPr>
        <w:t>Faktoringo sandori</w:t>
      </w:r>
      <w:r w:rsidR="007158E5" w:rsidRPr="00AC7DAF">
        <w:rPr>
          <w:lang w:val="lt-LT"/>
        </w:rPr>
        <w:t>u</w:t>
      </w:r>
      <w:r w:rsidR="00000057" w:rsidRPr="00AC7DAF">
        <w:rPr>
          <w:lang w:val="lt-LT"/>
        </w:rPr>
        <w:t xml:space="preserve">s </w:t>
      </w:r>
      <w:r w:rsidR="00624F07" w:rsidRPr="00AC7DAF">
        <w:rPr>
          <w:lang w:val="lt-LT"/>
        </w:rPr>
        <w:t>gautas Garantijos išmokas</w:t>
      </w:r>
      <w:r w:rsidR="00F57554" w:rsidRPr="00AC7DAF">
        <w:rPr>
          <w:lang w:val="lt-LT"/>
        </w:rPr>
        <w:t>;</w:t>
      </w:r>
    </w:p>
    <w:p w14:paraId="2DD967FA" w14:textId="6C9AD37E" w:rsidR="001050D9" w:rsidRPr="00AC7DAF" w:rsidRDefault="00F57554" w:rsidP="009B0EE1">
      <w:pPr>
        <w:pStyle w:val="NormalWeb"/>
        <w:numPr>
          <w:ilvl w:val="2"/>
          <w:numId w:val="8"/>
        </w:numPr>
        <w:tabs>
          <w:tab w:val="left" w:pos="0"/>
          <w:tab w:val="left" w:pos="709"/>
        </w:tabs>
        <w:spacing w:before="0" w:beforeAutospacing="0" w:after="0" w:afterAutospacing="0" w:line="276" w:lineRule="auto"/>
        <w:ind w:left="-851" w:firstLine="851"/>
        <w:jc w:val="both"/>
        <w:rPr>
          <w:lang w:val="lt-LT"/>
        </w:rPr>
      </w:pPr>
      <w:r w:rsidRPr="00AC7DAF">
        <w:rPr>
          <w:lang w:val="lt-LT"/>
        </w:rPr>
        <w:t>bet kokias kitas „Invegai“ pagal Sutartį mokėtinas sumas</w:t>
      </w:r>
      <w:r w:rsidR="008F51DB" w:rsidRPr="00AC7DAF">
        <w:rPr>
          <w:lang w:val="lt-LT"/>
        </w:rPr>
        <w:t xml:space="preserve">, kurių </w:t>
      </w:r>
      <w:r w:rsidR="000014A8" w:rsidRPr="00AC7DAF">
        <w:rPr>
          <w:lang w:val="lt-LT"/>
        </w:rPr>
        <w:t xml:space="preserve">konkretūs </w:t>
      </w:r>
      <w:r w:rsidR="008F51DB" w:rsidRPr="00AC7DAF">
        <w:rPr>
          <w:lang w:val="lt-LT"/>
        </w:rPr>
        <w:t>mokėjimo terminai Sutartyje nenumatyti.</w:t>
      </w:r>
    </w:p>
    <w:p w14:paraId="053EC7C2" w14:textId="77777777" w:rsidR="00147B72" w:rsidRPr="008069D7" w:rsidRDefault="00147B72" w:rsidP="009B0EE1">
      <w:pPr>
        <w:pStyle w:val="NormalWeb"/>
        <w:spacing w:before="0" w:beforeAutospacing="0" w:after="0" w:afterAutospacing="0" w:line="276" w:lineRule="auto"/>
        <w:ind w:left="-709" w:firstLine="709"/>
        <w:jc w:val="both"/>
        <w:rPr>
          <w:lang w:val="lt-LT"/>
        </w:rPr>
      </w:pPr>
    </w:p>
    <w:p w14:paraId="0BFE89BB" w14:textId="13802B9B" w:rsidR="009D3653" w:rsidRPr="008069D7" w:rsidRDefault="009D3653" w:rsidP="009B0EE1">
      <w:pPr>
        <w:pStyle w:val="NormalWeb"/>
        <w:spacing w:before="0" w:beforeAutospacing="0" w:after="0" w:afterAutospacing="0" w:line="276" w:lineRule="auto"/>
        <w:ind w:left="-709" w:firstLine="709"/>
        <w:jc w:val="center"/>
        <w:rPr>
          <w:b/>
          <w:lang w:val="lt-LT"/>
        </w:rPr>
      </w:pPr>
      <w:r w:rsidRPr="008069D7">
        <w:rPr>
          <w:b/>
          <w:lang w:val="lt-LT"/>
        </w:rPr>
        <w:t xml:space="preserve">VIII SKYRIUS. </w:t>
      </w:r>
      <w:r w:rsidRPr="008069D7">
        <w:rPr>
          <w:b/>
          <w:caps/>
          <w:lang w:val="lt-LT"/>
        </w:rPr>
        <w:t>Ataskaitų formos ir jų pateikimo tvarka</w:t>
      </w:r>
    </w:p>
    <w:p w14:paraId="67E1B5A2" w14:textId="77777777" w:rsidR="00856580" w:rsidRPr="004D4C38" w:rsidRDefault="00856580" w:rsidP="009B0EE1">
      <w:pPr>
        <w:spacing w:line="276" w:lineRule="auto"/>
        <w:ind w:left="-709" w:firstLine="709"/>
        <w:jc w:val="both"/>
        <w:rPr>
          <w:rFonts w:ascii="Times New Roman" w:hAnsi="Times New Roman"/>
          <w:szCs w:val="24"/>
        </w:rPr>
      </w:pPr>
    </w:p>
    <w:p w14:paraId="270B4EF5" w14:textId="4C2A825F" w:rsidR="00270B27" w:rsidRPr="004D4C38" w:rsidRDefault="00C51F33" w:rsidP="009B0EE1">
      <w:pPr>
        <w:numPr>
          <w:ilvl w:val="1"/>
          <w:numId w:val="9"/>
        </w:numPr>
        <w:tabs>
          <w:tab w:val="left" w:pos="567"/>
        </w:tabs>
        <w:spacing w:line="276" w:lineRule="auto"/>
        <w:ind w:left="-709" w:firstLine="709"/>
        <w:jc w:val="both"/>
        <w:textAlignment w:val="auto"/>
        <w:rPr>
          <w:rFonts w:ascii="Times New Roman" w:hAnsi="Times New Roman"/>
          <w:szCs w:val="24"/>
        </w:rPr>
      </w:pPr>
      <w:r w:rsidRPr="004D4C38">
        <w:rPr>
          <w:rFonts w:ascii="Times New Roman" w:hAnsi="Times New Roman"/>
          <w:szCs w:val="24"/>
        </w:rPr>
        <w:t>PGF</w:t>
      </w:r>
      <w:r w:rsidR="00691672" w:rsidRPr="004D4C38">
        <w:rPr>
          <w:rFonts w:ascii="Times New Roman" w:hAnsi="Times New Roman"/>
          <w:szCs w:val="24"/>
        </w:rPr>
        <w:t>2</w:t>
      </w:r>
      <w:r w:rsidR="00270B27" w:rsidRPr="004D4C38">
        <w:rPr>
          <w:rFonts w:ascii="Times New Roman" w:hAnsi="Times New Roman"/>
          <w:szCs w:val="24"/>
        </w:rPr>
        <w:t xml:space="preserve"> priemonės valdytojas „Invegai“ teikia šias ataskaitas:</w:t>
      </w:r>
    </w:p>
    <w:p w14:paraId="5CC97B2B" w14:textId="0C167448" w:rsidR="009D3653" w:rsidRPr="004D4C38" w:rsidRDefault="00E3368F" w:rsidP="009B0EE1">
      <w:pPr>
        <w:numPr>
          <w:ilvl w:val="2"/>
          <w:numId w:val="16"/>
        </w:numPr>
        <w:tabs>
          <w:tab w:val="left" w:pos="851"/>
        </w:tabs>
        <w:spacing w:line="276" w:lineRule="auto"/>
        <w:ind w:left="-709" w:firstLine="709"/>
        <w:jc w:val="both"/>
        <w:textAlignment w:val="auto"/>
        <w:rPr>
          <w:rFonts w:ascii="Times New Roman" w:hAnsi="Times New Roman"/>
          <w:szCs w:val="24"/>
        </w:rPr>
      </w:pPr>
      <w:r w:rsidRPr="004D4C38">
        <w:rPr>
          <w:rFonts w:ascii="Times New Roman" w:hAnsi="Times New Roman"/>
          <w:szCs w:val="24"/>
        </w:rPr>
        <w:t>k</w:t>
      </w:r>
      <w:r w:rsidR="00897FDD" w:rsidRPr="004D4C38">
        <w:rPr>
          <w:rFonts w:ascii="Times New Roman" w:hAnsi="Times New Roman"/>
          <w:szCs w:val="24"/>
        </w:rPr>
        <w:t>as mėnesį</w:t>
      </w:r>
      <w:r w:rsidR="00043A07" w:rsidRPr="004D4C38">
        <w:rPr>
          <w:rFonts w:ascii="Times New Roman" w:hAnsi="Times New Roman"/>
          <w:szCs w:val="24"/>
        </w:rPr>
        <w:t xml:space="preserve"> </w:t>
      </w:r>
      <w:r w:rsidR="00230098" w:rsidRPr="004D4C38">
        <w:rPr>
          <w:rFonts w:ascii="Times New Roman" w:hAnsi="Times New Roman"/>
          <w:szCs w:val="24"/>
        </w:rPr>
        <w:t>–</w:t>
      </w:r>
      <w:r w:rsidR="00043A07" w:rsidRPr="004D4C38">
        <w:rPr>
          <w:rFonts w:ascii="Times New Roman" w:hAnsi="Times New Roman"/>
          <w:szCs w:val="24"/>
        </w:rPr>
        <w:t xml:space="preserve"> </w:t>
      </w:r>
      <w:r w:rsidR="00897FDD" w:rsidRPr="004D4C38">
        <w:rPr>
          <w:rFonts w:ascii="Times New Roman" w:hAnsi="Times New Roman"/>
          <w:szCs w:val="24"/>
        </w:rPr>
        <w:t>mėnesi</w:t>
      </w:r>
      <w:r w:rsidR="002A5D86" w:rsidRPr="004D4C38">
        <w:rPr>
          <w:rFonts w:ascii="Times New Roman" w:hAnsi="Times New Roman"/>
          <w:szCs w:val="24"/>
        </w:rPr>
        <w:t>o</w:t>
      </w:r>
      <w:r w:rsidR="00897FDD" w:rsidRPr="004D4C38">
        <w:rPr>
          <w:rFonts w:ascii="Times New Roman" w:hAnsi="Times New Roman"/>
          <w:szCs w:val="24"/>
        </w:rPr>
        <w:t xml:space="preserve"> ataskaitą </w:t>
      </w:r>
      <w:r w:rsidR="00147B72" w:rsidRPr="004D4C38">
        <w:rPr>
          <w:rFonts w:ascii="Times New Roman" w:hAnsi="Times New Roman"/>
          <w:szCs w:val="24"/>
        </w:rPr>
        <w:t>apie Portfelį</w:t>
      </w:r>
      <w:r w:rsidR="00EB527E" w:rsidRPr="004D4C38">
        <w:rPr>
          <w:rFonts w:ascii="Times New Roman" w:hAnsi="Times New Roman"/>
          <w:szCs w:val="24"/>
        </w:rPr>
        <w:t xml:space="preserve"> (</w:t>
      </w:r>
      <w:r w:rsidR="00720446" w:rsidRPr="004D4C38">
        <w:rPr>
          <w:rFonts w:ascii="Times New Roman" w:hAnsi="Times New Roman"/>
          <w:szCs w:val="24"/>
        </w:rPr>
        <w:t xml:space="preserve">Sutarties </w:t>
      </w:r>
      <w:r w:rsidR="00651EAC" w:rsidRPr="004D4C38">
        <w:rPr>
          <w:rFonts w:ascii="Times New Roman" w:hAnsi="Times New Roman"/>
          <w:szCs w:val="24"/>
        </w:rPr>
        <w:t>1</w:t>
      </w:r>
      <w:r w:rsidR="000711F0" w:rsidRPr="004D4C38">
        <w:rPr>
          <w:rFonts w:ascii="Times New Roman" w:hAnsi="Times New Roman"/>
          <w:szCs w:val="24"/>
        </w:rPr>
        <w:t>4</w:t>
      </w:r>
      <w:r w:rsidR="00651EAC" w:rsidRPr="004D4C38">
        <w:rPr>
          <w:rFonts w:ascii="Times New Roman" w:hAnsi="Times New Roman"/>
          <w:szCs w:val="24"/>
        </w:rPr>
        <w:t xml:space="preserve"> </w:t>
      </w:r>
      <w:r w:rsidR="00720446" w:rsidRPr="004D4C38">
        <w:rPr>
          <w:rFonts w:ascii="Times New Roman" w:hAnsi="Times New Roman"/>
          <w:szCs w:val="24"/>
        </w:rPr>
        <w:t>prie</w:t>
      </w:r>
      <w:r w:rsidR="009D3653" w:rsidRPr="004D4C38">
        <w:rPr>
          <w:rFonts w:ascii="Times New Roman" w:hAnsi="Times New Roman"/>
          <w:szCs w:val="24"/>
        </w:rPr>
        <w:t>das „Mėnesio ataskaita“)</w:t>
      </w:r>
      <w:r w:rsidR="00A07ECF">
        <w:rPr>
          <w:rFonts w:ascii="Times New Roman" w:hAnsi="Times New Roman"/>
          <w:szCs w:val="24"/>
        </w:rPr>
        <w:t xml:space="preserve">. </w:t>
      </w:r>
    </w:p>
    <w:p w14:paraId="2905FD53" w14:textId="3886F837" w:rsidR="00043A07" w:rsidRPr="004D4C38" w:rsidRDefault="00043A07" w:rsidP="009B0EE1">
      <w:pPr>
        <w:numPr>
          <w:ilvl w:val="2"/>
          <w:numId w:val="16"/>
        </w:numPr>
        <w:tabs>
          <w:tab w:val="left" w:pos="851"/>
        </w:tabs>
        <w:spacing w:line="276" w:lineRule="auto"/>
        <w:ind w:left="-709" w:firstLine="709"/>
        <w:jc w:val="both"/>
        <w:textAlignment w:val="auto"/>
        <w:rPr>
          <w:rFonts w:ascii="Times New Roman" w:hAnsi="Times New Roman"/>
          <w:szCs w:val="24"/>
        </w:rPr>
      </w:pPr>
      <w:r w:rsidRPr="004D4C38">
        <w:rPr>
          <w:rFonts w:ascii="Times New Roman" w:hAnsi="Times New Roman"/>
          <w:szCs w:val="24"/>
        </w:rPr>
        <w:lastRenderedPageBreak/>
        <w:t>kas ketvirtį:</w:t>
      </w:r>
    </w:p>
    <w:p w14:paraId="212D9167" w14:textId="03EEFEAB" w:rsidR="009D3653" w:rsidRPr="004D4C38" w:rsidRDefault="001D0CAD" w:rsidP="009B0EE1">
      <w:pPr>
        <w:numPr>
          <w:ilvl w:val="3"/>
          <w:numId w:val="16"/>
        </w:numPr>
        <w:tabs>
          <w:tab w:val="left" w:pos="851"/>
        </w:tabs>
        <w:spacing w:line="276" w:lineRule="auto"/>
        <w:ind w:left="-709" w:firstLine="709"/>
        <w:jc w:val="both"/>
        <w:textAlignment w:val="auto"/>
        <w:rPr>
          <w:rFonts w:ascii="Times New Roman" w:hAnsi="Times New Roman"/>
          <w:szCs w:val="24"/>
        </w:rPr>
      </w:pPr>
      <w:r w:rsidRPr="004D4C38">
        <w:rPr>
          <w:rFonts w:ascii="Times New Roman" w:hAnsi="Times New Roman"/>
          <w:szCs w:val="24"/>
        </w:rPr>
        <w:t xml:space="preserve">ketvirtinę ataskaitą apie </w:t>
      </w:r>
      <w:r w:rsidR="00F21757" w:rsidRPr="004D4C38">
        <w:rPr>
          <w:rFonts w:ascii="Times New Roman" w:hAnsi="Times New Roman"/>
          <w:szCs w:val="24"/>
        </w:rPr>
        <w:t xml:space="preserve">Faktoringo </w:t>
      </w:r>
      <w:r w:rsidRPr="004D4C38">
        <w:rPr>
          <w:rFonts w:ascii="Times New Roman" w:hAnsi="Times New Roman"/>
          <w:szCs w:val="24"/>
        </w:rPr>
        <w:t xml:space="preserve">gavėjus (Sutarties </w:t>
      </w:r>
      <w:r w:rsidR="00651EAC" w:rsidRPr="004D4C38">
        <w:rPr>
          <w:rFonts w:ascii="Times New Roman" w:hAnsi="Times New Roman"/>
          <w:szCs w:val="24"/>
        </w:rPr>
        <w:t xml:space="preserve">3 </w:t>
      </w:r>
      <w:r w:rsidR="008B3C78" w:rsidRPr="004D4C38">
        <w:rPr>
          <w:rFonts w:ascii="Times New Roman" w:hAnsi="Times New Roman"/>
          <w:szCs w:val="24"/>
        </w:rPr>
        <w:t>p</w:t>
      </w:r>
      <w:r w:rsidRPr="004D4C38">
        <w:rPr>
          <w:rFonts w:ascii="Times New Roman" w:hAnsi="Times New Roman"/>
          <w:szCs w:val="24"/>
        </w:rPr>
        <w:t>riedas „A1_</w:t>
      </w:r>
      <w:r w:rsidR="00F21757" w:rsidRPr="004D4C38">
        <w:rPr>
          <w:rFonts w:ascii="Times New Roman" w:hAnsi="Times New Roman"/>
          <w:szCs w:val="24"/>
        </w:rPr>
        <w:t>Faktoringo sandorio</w:t>
      </w:r>
      <w:r w:rsidRPr="004D4C38">
        <w:rPr>
          <w:rFonts w:ascii="Times New Roman" w:hAnsi="Times New Roman"/>
          <w:szCs w:val="24"/>
        </w:rPr>
        <w:t xml:space="preserve"> gavėjai</w:t>
      </w:r>
      <w:r w:rsidR="008B3C78" w:rsidRPr="004D4C38">
        <w:rPr>
          <w:rFonts w:ascii="Times New Roman" w:hAnsi="Times New Roman"/>
          <w:szCs w:val="24"/>
        </w:rPr>
        <w:t>“</w:t>
      </w:r>
      <w:r w:rsidR="00D4380E" w:rsidRPr="004D4C38">
        <w:rPr>
          <w:rFonts w:ascii="Times New Roman" w:hAnsi="Times New Roman"/>
          <w:szCs w:val="24"/>
        </w:rPr>
        <w:t>);</w:t>
      </w:r>
    </w:p>
    <w:p w14:paraId="0F681F1A" w14:textId="3CEDC805" w:rsidR="009D3653" w:rsidRPr="004D4C38" w:rsidRDefault="00897FDD" w:rsidP="009B0EE1">
      <w:pPr>
        <w:numPr>
          <w:ilvl w:val="3"/>
          <w:numId w:val="16"/>
        </w:numPr>
        <w:tabs>
          <w:tab w:val="left" w:pos="851"/>
        </w:tabs>
        <w:spacing w:line="276" w:lineRule="auto"/>
        <w:ind w:left="-709" w:firstLine="709"/>
        <w:jc w:val="both"/>
        <w:textAlignment w:val="auto"/>
        <w:rPr>
          <w:rFonts w:ascii="Times New Roman" w:hAnsi="Times New Roman"/>
          <w:szCs w:val="24"/>
        </w:rPr>
      </w:pPr>
      <w:r w:rsidRPr="004D4C38">
        <w:rPr>
          <w:rFonts w:ascii="Times New Roman" w:hAnsi="Times New Roman"/>
          <w:szCs w:val="24"/>
        </w:rPr>
        <w:t xml:space="preserve">ketvirtinę ataskaitą apie </w:t>
      </w:r>
      <w:r w:rsidR="00C55DEE" w:rsidRPr="004D4C38">
        <w:rPr>
          <w:rFonts w:ascii="Times New Roman" w:hAnsi="Times New Roman"/>
          <w:szCs w:val="24"/>
        </w:rPr>
        <w:t xml:space="preserve">suteiktus </w:t>
      </w:r>
      <w:r w:rsidR="00BE1664" w:rsidRPr="004D4C38">
        <w:rPr>
          <w:rFonts w:ascii="Times New Roman" w:hAnsi="Times New Roman"/>
          <w:szCs w:val="24"/>
        </w:rPr>
        <w:t>Faktoringo sandori</w:t>
      </w:r>
      <w:r w:rsidR="00C55DEE" w:rsidRPr="004D4C38">
        <w:rPr>
          <w:rFonts w:ascii="Times New Roman" w:hAnsi="Times New Roman"/>
          <w:szCs w:val="24"/>
        </w:rPr>
        <w:t>u</w:t>
      </w:r>
      <w:r w:rsidRPr="004D4C38">
        <w:rPr>
          <w:rFonts w:ascii="Times New Roman" w:hAnsi="Times New Roman"/>
          <w:szCs w:val="24"/>
        </w:rPr>
        <w:t xml:space="preserve">s (Sutarties </w:t>
      </w:r>
      <w:r w:rsidR="00651EAC" w:rsidRPr="004D4C38">
        <w:rPr>
          <w:rFonts w:ascii="Times New Roman" w:hAnsi="Times New Roman"/>
          <w:szCs w:val="24"/>
        </w:rPr>
        <w:t xml:space="preserve">4 </w:t>
      </w:r>
      <w:r w:rsidRPr="004D4C38">
        <w:rPr>
          <w:rFonts w:ascii="Times New Roman" w:hAnsi="Times New Roman"/>
          <w:szCs w:val="24"/>
        </w:rPr>
        <w:t>priedas „A2_</w:t>
      </w:r>
      <w:r w:rsidR="00F21757" w:rsidRPr="004D4C38">
        <w:rPr>
          <w:rFonts w:ascii="Times New Roman" w:hAnsi="Times New Roman"/>
          <w:szCs w:val="24"/>
        </w:rPr>
        <w:t>Faktoringo sandorio</w:t>
      </w:r>
      <w:r w:rsidRPr="004D4C38">
        <w:rPr>
          <w:rFonts w:ascii="Times New Roman" w:hAnsi="Times New Roman"/>
          <w:szCs w:val="24"/>
        </w:rPr>
        <w:t>“);</w:t>
      </w:r>
    </w:p>
    <w:p w14:paraId="16EC6690" w14:textId="33BE068C" w:rsidR="009D3653" w:rsidRPr="004D4C38" w:rsidRDefault="00897FDD" w:rsidP="009B0EE1">
      <w:pPr>
        <w:numPr>
          <w:ilvl w:val="3"/>
          <w:numId w:val="16"/>
        </w:numPr>
        <w:tabs>
          <w:tab w:val="left" w:pos="851"/>
        </w:tabs>
        <w:spacing w:line="276" w:lineRule="auto"/>
        <w:ind w:left="-709" w:firstLine="709"/>
        <w:jc w:val="both"/>
        <w:textAlignment w:val="auto"/>
        <w:rPr>
          <w:rFonts w:ascii="Times New Roman" w:hAnsi="Times New Roman"/>
          <w:szCs w:val="24"/>
        </w:rPr>
      </w:pPr>
      <w:r w:rsidRPr="004D4C38">
        <w:rPr>
          <w:rFonts w:ascii="Times New Roman" w:hAnsi="Times New Roman"/>
          <w:szCs w:val="24"/>
        </w:rPr>
        <w:t xml:space="preserve">ketvirtinę ataskaitą apie </w:t>
      </w:r>
      <w:r w:rsidR="0058580E" w:rsidRPr="004D4C38">
        <w:rPr>
          <w:rFonts w:ascii="Times New Roman" w:hAnsi="Times New Roman"/>
          <w:szCs w:val="24"/>
        </w:rPr>
        <w:t xml:space="preserve">Faktoringo </w:t>
      </w:r>
      <w:r w:rsidR="000711F0" w:rsidRPr="004D4C38">
        <w:rPr>
          <w:rFonts w:ascii="Times New Roman" w:hAnsi="Times New Roman"/>
          <w:szCs w:val="24"/>
        </w:rPr>
        <w:t xml:space="preserve">sandorių </w:t>
      </w:r>
      <w:r w:rsidRPr="004D4C38">
        <w:rPr>
          <w:rFonts w:ascii="Times New Roman" w:hAnsi="Times New Roman"/>
          <w:szCs w:val="24"/>
        </w:rPr>
        <w:t xml:space="preserve">judėjimą (Sutarties </w:t>
      </w:r>
      <w:r w:rsidR="00651EAC" w:rsidRPr="004D4C38">
        <w:rPr>
          <w:rFonts w:ascii="Times New Roman" w:hAnsi="Times New Roman"/>
          <w:szCs w:val="24"/>
        </w:rPr>
        <w:t xml:space="preserve">5 </w:t>
      </w:r>
      <w:r w:rsidRPr="004D4C38">
        <w:rPr>
          <w:rFonts w:ascii="Times New Roman" w:hAnsi="Times New Roman"/>
          <w:szCs w:val="24"/>
        </w:rPr>
        <w:t>priedas „B_</w:t>
      </w:r>
      <w:r w:rsidR="0058580E" w:rsidRPr="004D4C38">
        <w:rPr>
          <w:rFonts w:ascii="Times New Roman" w:hAnsi="Times New Roman"/>
          <w:szCs w:val="24"/>
        </w:rPr>
        <w:t>Faktoringo sandorių</w:t>
      </w:r>
      <w:r w:rsidRPr="004D4C38">
        <w:rPr>
          <w:rFonts w:ascii="Times New Roman" w:hAnsi="Times New Roman"/>
          <w:szCs w:val="24"/>
        </w:rPr>
        <w:t xml:space="preserve"> judėjimas“);</w:t>
      </w:r>
    </w:p>
    <w:p w14:paraId="578F4637" w14:textId="41D51575" w:rsidR="009D3653" w:rsidRPr="004D4C38" w:rsidRDefault="00897FDD" w:rsidP="009B0EE1">
      <w:pPr>
        <w:numPr>
          <w:ilvl w:val="3"/>
          <w:numId w:val="16"/>
        </w:numPr>
        <w:tabs>
          <w:tab w:val="left" w:pos="851"/>
        </w:tabs>
        <w:spacing w:line="276" w:lineRule="auto"/>
        <w:ind w:left="-709" w:firstLine="709"/>
        <w:jc w:val="both"/>
        <w:textAlignment w:val="auto"/>
        <w:rPr>
          <w:rFonts w:ascii="Times New Roman" w:hAnsi="Times New Roman"/>
          <w:szCs w:val="24"/>
        </w:rPr>
      </w:pPr>
      <w:r w:rsidRPr="004D4C38">
        <w:rPr>
          <w:rFonts w:ascii="Times New Roman" w:hAnsi="Times New Roman"/>
          <w:szCs w:val="24"/>
        </w:rPr>
        <w:t>ketvirtin</w:t>
      </w:r>
      <w:r w:rsidR="001D0CAD" w:rsidRPr="004D4C38">
        <w:rPr>
          <w:rFonts w:ascii="Times New Roman" w:hAnsi="Times New Roman"/>
          <w:szCs w:val="24"/>
        </w:rPr>
        <w:t>ę</w:t>
      </w:r>
      <w:r w:rsidRPr="004D4C38">
        <w:rPr>
          <w:rFonts w:ascii="Times New Roman" w:hAnsi="Times New Roman"/>
          <w:szCs w:val="24"/>
        </w:rPr>
        <w:t xml:space="preserve"> suvestin</w:t>
      </w:r>
      <w:r w:rsidR="001D0CAD" w:rsidRPr="004D4C38">
        <w:rPr>
          <w:rFonts w:ascii="Times New Roman" w:hAnsi="Times New Roman"/>
          <w:szCs w:val="24"/>
        </w:rPr>
        <w:t>ę</w:t>
      </w:r>
      <w:r w:rsidRPr="004D4C38">
        <w:rPr>
          <w:rFonts w:ascii="Times New Roman" w:hAnsi="Times New Roman"/>
          <w:szCs w:val="24"/>
        </w:rPr>
        <w:t xml:space="preserve"> ataskait</w:t>
      </w:r>
      <w:r w:rsidR="001D0CAD" w:rsidRPr="004D4C38">
        <w:rPr>
          <w:rFonts w:ascii="Times New Roman" w:hAnsi="Times New Roman"/>
          <w:szCs w:val="24"/>
        </w:rPr>
        <w:t>ą</w:t>
      </w:r>
      <w:r w:rsidRPr="004D4C38">
        <w:rPr>
          <w:rFonts w:ascii="Times New Roman" w:hAnsi="Times New Roman"/>
          <w:szCs w:val="24"/>
        </w:rPr>
        <w:t xml:space="preserve"> (Sutarties </w:t>
      </w:r>
      <w:r w:rsidR="00651EAC" w:rsidRPr="004D4C38">
        <w:rPr>
          <w:rFonts w:ascii="Times New Roman" w:hAnsi="Times New Roman"/>
          <w:szCs w:val="24"/>
        </w:rPr>
        <w:t xml:space="preserve">6 </w:t>
      </w:r>
      <w:r w:rsidRPr="004D4C38">
        <w:rPr>
          <w:rFonts w:ascii="Times New Roman" w:hAnsi="Times New Roman"/>
          <w:szCs w:val="24"/>
        </w:rPr>
        <w:t>priedas „A3_Suvestinė“)</w:t>
      </w:r>
      <w:r w:rsidR="00230098" w:rsidRPr="004D4C38">
        <w:rPr>
          <w:rFonts w:ascii="Times New Roman" w:hAnsi="Times New Roman"/>
          <w:szCs w:val="24"/>
        </w:rPr>
        <w:t>;</w:t>
      </w:r>
    </w:p>
    <w:p w14:paraId="6AF68C66" w14:textId="6498E29C" w:rsidR="009D3653" w:rsidRPr="004D4C38" w:rsidRDefault="00897FDD" w:rsidP="009B0EE1">
      <w:pPr>
        <w:numPr>
          <w:ilvl w:val="3"/>
          <w:numId w:val="16"/>
        </w:numPr>
        <w:tabs>
          <w:tab w:val="left" w:pos="851"/>
        </w:tabs>
        <w:spacing w:line="276" w:lineRule="auto"/>
        <w:ind w:left="-709" w:firstLine="709"/>
        <w:jc w:val="both"/>
        <w:textAlignment w:val="auto"/>
        <w:rPr>
          <w:rFonts w:ascii="Times New Roman" w:hAnsi="Times New Roman"/>
          <w:szCs w:val="24"/>
        </w:rPr>
      </w:pPr>
      <w:r w:rsidRPr="004D4C38">
        <w:rPr>
          <w:rFonts w:ascii="Times New Roman" w:hAnsi="Times New Roman"/>
          <w:szCs w:val="24"/>
        </w:rPr>
        <w:t>ketvirtin</w:t>
      </w:r>
      <w:r w:rsidR="001D0CAD" w:rsidRPr="004D4C38">
        <w:rPr>
          <w:rFonts w:ascii="Times New Roman" w:hAnsi="Times New Roman"/>
          <w:szCs w:val="24"/>
        </w:rPr>
        <w:t>ę</w:t>
      </w:r>
      <w:r w:rsidRPr="004D4C38">
        <w:rPr>
          <w:rFonts w:ascii="Times New Roman" w:hAnsi="Times New Roman"/>
          <w:szCs w:val="24"/>
        </w:rPr>
        <w:t xml:space="preserve"> ataskait</w:t>
      </w:r>
      <w:r w:rsidR="001D0CAD" w:rsidRPr="004D4C38">
        <w:rPr>
          <w:rFonts w:ascii="Times New Roman" w:hAnsi="Times New Roman"/>
          <w:szCs w:val="24"/>
        </w:rPr>
        <w:t>ą</w:t>
      </w:r>
      <w:r w:rsidRPr="004D4C38">
        <w:rPr>
          <w:rFonts w:ascii="Times New Roman" w:hAnsi="Times New Roman"/>
          <w:szCs w:val="24"/>
        </w:rPr>
        <w:t xml:space="preserve"> apie pa</w:t>
      </w:r>
      <w:r w:rsidR="00230098" w:rsidRPr="004D4C38">
        <w:rPr>
          <w:rFonts w:ascii="Times New Roman" w:hAnsi="Times New Roman"/>
          <w:szCs w:val="24"/>
        </w:rPr>
        <w:t xml:space="preserve">keitimus (Sutarties </w:t>
      </w:r>
      <w:r w:rsidR="00651EAC" w:rsidRPr="004D4C38">
        <w:rPr>
          <w:rFonts w:ascii="Times New Roman" w:hAnsi="Times New Roman"/>
          <w:szCs w:val="24"/>
        </w:rPr>
        <w:t xml:space="preserve">7 </w:t>
      </w:r>
      <w:r w:rsidR="00230098" w:rsidRPr="004D4C38">
        <w:rPr>
          <w:rFonts w:ascii="Times New Roman" w:hAnsi="Times New Roman"/>
          <w:szCs w:val="24"/>
        </w:rPr>
        <w:t xml:space="preserve">priedas </w:t>
      </w:r>
      <w:r w:rsidRPr="004D4C38">
        <w:rPr>
          <w:rFonts w:ascii="Times New Roman" w:hAnsi="Times New Roman"/>
          <w:szCs w:val="24"/>
        </w:rPr>
        <w:t>„C_Pakeitimai“)</w:t>
      </w:r>
      <w:r w:rsidR="00720446" w:rsidRPr="004D4C38">
        <w:rPr>
          <w:rFonts w:ascii="Times New Roman" w:hAnsi="Times New Roman"/>
          <w:szCs w:val="24"/>
        </w:rPr>
        <w:t>;</w:t>
      </w:r>
    </w:p>
    <w:p w14:paraId="0E2A8993" w14:textId="0F9711F6" w:rsidR="009D3653" w:rsidRPr="004D4C38" w:rsidRDefault="00897FDD" w:rsidP="009B0EE1">
      <w:pPr>
        <w:numPr>
          <w:ilvl w:val="3"/>
          <w:numId w:val="16"/>
        </w:numPr>
        <w:tabs>
          <w:tab w:val="left" w:pos="851"/>
        </w:tabs>
        <w:spacing w:line="276" w:lineRule="auto"/>
        <w:ind w:left="-709" w:firstLine="709"/>
        <w:jc w:val="both"/>
        <w:textAlignment w:val="auto"/>
        <w:rPr>
          <w:rFonts w:ascii="Times New Roman" w:hAnsi="Times New Roman"/>
          <w:szCs w:val="24"/>
        </w:rPr>
      </w:pPr>
      <w:r w:rsidRPr="004D4C38">
        <w:rPr>
          <w:rFonts w:ascii="Times New Roman" w:hAnsi="Times New Roman"/>
          <w:szCs w:val="24"/>
        </w:rPr>
        <w:t>ketvirtin</w:t>
      </w:r>
      <w:r w:rsidR="001D0CAD" w:rsidRPr="004D4C38">
        <w:rPr>
          <w:rFonts w:ascii="Times New Roman" w:hAnsi="Times New Roman"/>
          <w:szCs w:val="24"/>
        </w:rPr>
        <w:t>ę</w:t>
      </w:r>
      <w:r w:rsidRPr="004D4C38">
        <w:rPr>
          <w:rFonts w:ascii="Times New Roman" w:hAnsi="Times New Roman"/>
          <w:szCs w:val="24"/>
        </w:rPr>
        <w:t xml:space="preserve"> ataskait</w:t>
      </w:r>
      <w:r w:rsidR="001D0CAD" w:rsidRPr="004D4C38">
        <w:rPr>
          <w:rFonts w:ascii="Times New Roman" w:hAnsi="Times New Roman"/>
          <w:szCs w:val="24"/>
        </w:rPr>
        <w:t>ą</w:t>
      </w:r>
      <w:r w:rsidRPr="004D4C38">
        <w:rPr>
          <w:rFonts w:ascii="Times New Roman" w:hAnsi="Times New Roman"/>
          <w:szCs w:val="24"/>
        </w:rPr>
        <w:t xml:space="preserve"> apie </w:t>
      </w:r>
      <w:r w:rsidR="00BE1664" w:rsidRPr="004D4C38">
        <w:rPr>
          <w:rFonts w:ascii="Times New Roman" w:hAnsi="Times New Roman"/>
          <w:szCs w:val="24"/>
        </w:rPr>
        <w:t>Faktoringo sandori</w:t>
      </w:r>
      <w:r w:rsidR="00C11558" w:rsidRPr="004D4C38">
        <w:rPr>
          <w:rFonts w:ascii="Times New Roman" w:hAnsi="Times New Roman"/>
          <w:szCs w:val="24"/>
        </w:rPr>
        <w:t>u</w:t>
      </w:r>
      <w:r w:rsidRPr="004D4C38">
        <w:rPr>
          <w:rFonts w:ascii="Times New Roman" w:hAnsi="Times New Roman"/>
          <w:szCs w:val="24"/>
        </w:rPr>
        <w:t>s, kuri</w:t>
      </w:r>
      <w:r w:rsidR="00C11558" w:rsidRPr="004D4C38">
        <w:rPr>
          <w:rFonts w:ascii="Times New Roman" w:hAnsi="Times New Roman"/>
          <w:szCs w:val="24"/>
        </w:rPr>
        <w:t>e</w:t>
      </w:r>
      <w:r w:rsidRPr="004D4C38">
        <w:rPr>
          <w:rFonts w:ascii="Times New Roman" w:hAnsi="Times New Roman"/>
          <w:szCs w:val="24"/>
        </w:rPr>
        <w:t xml:space="preserve"> išimam</w:t>
      </w:r>
      <w:r w:rsidR="00C11558" w:rsidRPr="004D4C38">
        <w:rPr>
          <w:rFonts w:ascii="Times New Roman" w:hAnsi="Times New Roman"/>
          <w:szCs w:val="24"/>
        </w:rPr>
        <w:t>i</w:t>
      </w:r>
      <w:r w:rsidRPr="004D4C38">
        <w:rPr>
          <w:rFonts w:ascii="Times New Roman" w:hAnsi="Times New Roman"/>
          <w:szCs w:val="24"/>
        </w:rPr>
        <w:t xml:space="preserve"> iš Portfelio (Sutarties </w:t>
      </w:r>
      <w:r w:rsidR="00BB205B" w:rsidRPr="004D4C38">
        <w:rPr>
          <w:rFonts w:ascii="Times New Roman" w:hAnsi="Times New Roman"/>
          <w:szCs w:val="24"/>
        </w:rPr>
        <w:t>8</w:t>
      </w:r>
      <w:r w:rsidR="00BB205B">
        <w:rPr>
          <w:rFonts w:ascii="Times New Roman" w:hAnsi="Times New Roman"/>
          <w:szCs w:val="24"/>
        </w:rPr>
        <w:t> </w:t>
      </w:r>
      <w:r w:rsidRPr="004D4C38">
        <w:rPr>
          <w:rFonts w:ascii="Times New Roman" w:hAnsi="Times New Roman"/>
          <w:szCs w:val="24"/>
        </w:rPr>
        <w:t>priedas „D_Išimt</w:t>
      </w:r>
      <w:r w:rsidR="00C11558" w:rsidRPr="004D4C38">
        <w:rPr>
          <w:rFonts w:ascii="Times New Roman" w:hAnsi="Times New Roman"/>
          <w:szCs w:val="24"/>
        </w:rPr>
        <w:t>i</w:t>
      </w:r>
      <w:r w:rsidRPr="004D4C38">
        <w:rPr>
          <w:rFonts w:ascii="Times New Roman" w:hAnsi="Times New Roman"/>
          <w:szCs w:val="24"/>
        </w:rPr>
        <w:t xml:space="preserve"> iš </w:t>
      </w:r>
      <w:r w:rsidR="00230098" w:rsidRPr="004D4C38">
        <w:rPr>
          <w:rFonts w:ascii="Times New Roman" w:hAnsi="Times New Roman"/>
          <w:szCs w:val="24"/>
        </w:rPr>
        <w:t>P</w:t>
      </w:r>
      <w:r w:rsidRPr="004D4C38">
        <w:rPr>
          <w:rFonts w:ascii="Times New Roman" w:hAnsi="Times New Roman"/>
          <w:szCs w:val="24"/>
        </w:rPr>
        <w:t xml:space="preserve">ortfelio </w:t>
      </w:r>
      <w:r w:rsidR="00F21757" w:rsidRPr="004D4C38">
        <w:rPr>
          <w:rFonts w:ascii="Times New Roman" w:hAnsi="Times New Roman"/>
          <w:szCs w:val="24"/>
        </w:rPr>
        <w:t>Faktoringo sandori</w:t>
      </w:r>
      <w:r w:rsidR="00C11558" w:rsidRPr="004D4C38">
        <w:rPr>
          <w:rFonts w:ascii="Times New Roman" w:hAnsi="Times New Roman"/>
          <w:szCs w:val="24"/>
        </w:rPr>
        <w:t>ai</w:t>
      </w:r>
      <w:r w:rsidRPr="004D4C38">
        <w:rPr>
          <w:rFonts w:ascii="Times New Roman" w:hAnsi="Times New Roman"/>
          <w:szCs w:val="24"/>
        </w:rPr>
        <w:t>“);</w:t>
      </w:r>
    </w:p>
    <w:p w14:paraId="1F5CAD8E" w14:textId="093D8DED" w:rsidR="009D3653" w:rsidRPr="004D4C38" w:rsidRDefault="00897FDD" w:rsidP="009B0EE1">
      <w:pPr>
        <w:numPr>
          <w:ilvl w:val="3"/>
          <w:numId w:val="16"/>
        </w:numPr>
        <w:tabs>
          <w:tab w:val="left" w:pos="851"/>
        </w:tabs>
        <w:spacing w:line="276" w:lineRule="auto"/>
        <w:ind w:left="-709" w:firstLine="709"/>
        <w:jc w:val="both"/>
        <w:textAlignment w:val="auto"/>
        <w:rPr>
          <w:rFonts w:ascii="Times New Roman" w:hAnsi="Times New Roman"/>
          <w:szCs w:val="24"/>
        </w:rPr>
      </w:pPr>
      <w:r w:rsidRPr="004D4C38">
        <w:rPr>
          <w:rFonts w:ascii="Times New Roman" w:hAnsi="Times New Roman"/>
          <w:szCs w:val="24"/>
        </w:rPr>
        <w:t>ketvirtin</w:t>
      </w:r>
      <w:r w:rsidR="001D0CAD" w:rsidRPr="004D4C38">
        <w:rPr>
          <w:rFonts w:ascii="Times New Roman" w:hAnsi="Times New Roman"/>
          <w:szCs w:val="24"/>
        </w:rPr>
        <w:t>ę</w:t>
      </w:r>
      <w:r w:rsidRPr="004D4C38">
        <w:rPr>
          <w:rFonts w:ascii="Times New Roman" w:hAnsi="Times New Roman"/>
          <w:szCs w:val="24"/>
        </w:rPr>
        <w:t xml:space="preserve"> ataskait</w:t>
      </w:r>
      <w:r w:rsidR="001D0CAD" w:rsidRPr="004D4C38">
        <w:rPr>
          <w:rFonts w:ascii="Times New Roman" w:hAnsi="Times New Roman"/>
          <w:szCs w:val="24"/>
        </w:rPr>
        <w:t>ą</w:t>
      </w:r>
      <w:r w:rsidRPr="004D4C38">
        <w:rPr>
          <w:rFonts w:ascii="Times New Roman" w:hAnsi="Times New Roman"/>
          <w:szCs w:val="24"/>
        </w:rPr>
        <w:t xml:space="preserve"> apie išieškotų sumų susigrąžinimą (Sutarties </w:t>
      </w:r>
      <w:r w:rsidR="00651EAC" w:rsidRPr="004D4C38">
        <w:rPr>
          <w:rFonts w:ascii="Times New Roman" w:hAnsi="Times New Roman"/>
          <w:szCs w:val="24"/>
        </w:rPr>
        <w:t xml:space="preserve">9 </w:t>
      </w:r>
      <w:r w:rsidRPr="004D4C38">
        <w:rPr>
          <w:rFonts w:ascii="Times New Roman" w:hAnsi="Times New Roman"/>
          <w:szCs w:val="24"/>
        </w:rPr>
        <w:t>priedas „</w:t>
      </w:r>
      <w:r w:rsidR="00292218" w:rsidRPr="004D4C38">
        <w:rPr>
          <w:rFonts w:ascii="Times New Roman" w:hAnsi="Times New Roman"/>
          <w:szCs w:val="24"/>
        </w:rPr>
        <w:t>E</w:t>
      </w:r>
      <w:r w:rsidRPr="004D4C38">
        <w:rPr>
          <w:rFonts w:ascii="Times New Roman" w:hAnsi="Times New Roman"/>
          <w:szCs w:val="24"/>
        </w:rPr>
        <w:t>_</w:t>
      </w:r>
      <w:r w:rsidR="00242909" w:rsidRPr="004D4C38">
        <w:rPr>
          <w:rFonts w:ascii="Times New Roman" w:hAnsi="Times New Roman"/>
          <w:szCs w:val="24"/>
        </w:rPr>
        <w:t>Duomenys apie išieškotas sumas</w:t>
      </w:r>
      <w:r w:rsidRPr="004D4C38">
        <w:rPr>
          <w:rFonts w:ascii="Times New Roman" w:hAnsi="Times New Roman"/>
          <w:szCs w:val="24"/>
        </w:rPr>
        <w:t>“);</w:t>
      </w:r>
    </w:p>
    <w:p w14:paraId="59701B58" w14:textId="1C0DF36B" w:rsidR="009D3653" w:rsidRPr="004D4C38" w:rsidRDefault="00897FDD" w:rsidP="009B0EE1">
      <w:pPr>
        <w:numPr>
          <w:ilvl w:val="3"/>
          <w:numId w:val="16"/>
        </w:numPr>
        <w:tabs>
          <w:tab w:val="left" w:pos="851"/>
        </w:tabs>
        <w:spacing w:line="276" w:lineRule="auto"/>
        <w:ind w:left="-709" w:firstLine="709"/>
        <w:jc w:val="both"/>
        <w:textAlignment w:val="auto"/>
        <w:rPr>
          <w:rFonts w:ascii="Times New Roman" w:hAnsi="Times New Roman"/>
          <w:szCs w:val="24"/>
        </w:rPr>
      </w:pPr>
      <w:r w:rsidRPr="004D4C38">
        <w:rPr>
          <w:rFonts w:ascii="Times New Roman" w:hAnsi="Times New Roman"/>
          <w:szCs w:val="24"/>
        </w:rPr>
        <w:t xml:space="preserve">ketvirtinę ataskaitą apie </w:t>
      </w:r>
      <w:r w:rsidR="00746374" w:rsidRPr="004D4C38">
        <w:rPr>
          <w:rFonts w:ascii="Times New Roman" w:hAnsi="Times New Roman"/>
          <w:szCs w:val="24"/>
        </w:rPr>
        <w:t>Probleminius</w:t>
      </w:r>
      <w:r w:rsidRPr="004D4C38">
        <w:rPr>
          <w:rFonts w:ascii="Times New Roman" w:hAnsi="Times New Roman"/>
          <w:szCs w:val="24"/>
        </w:rPr>
        <w:t xml:space="preserve"> </w:t>
      </w:r>
      <w:r w:rsidR="00BE1664" w:rsidRPr="004D4C38">
        <w:rPr>
          <w:rFonts w:ascii="Times New Roman" w:hAnsi="Times New Roman"/>
          <w:szCs w:val="24"/>
        </w:rPr>
        <w:t>Faktoringo sandori</w:t>
      </w:r>
      <w:r w:rsidR="00C55DEE" w:rsidRPr="004D4C38">
        <w:rPr>
          <w:rFonts w:ascii="Times New Roman" w:hAnsi="Times New Roman"/>
          <w:szCs w:val="24"/>
        </w:rPr>
        <w:t>u</w:t>
      </w:r>
      <w:r w:rsidRPr="004D4C38">
        <w:rPr>
          <w:rFonts w:ascii="Times New Roman" w:hAnsi="Times New Roman"/>
          <w:szCs w:val="24"/>
        </w:rPr>
        <w:t xml:space="preserve">s (Sutarties </w:t>
      </w:r>
      <w:r w:rsidR="00651EAC" w:rsidRPr="004D4C38">
        <w:rPr>
          <w:rFonts w:ascii="Times New Roman" w:hAnsi="Times New Roman"/>
          <w:szCs w:val="24"/>
        </w:rPr>
        <w:t xml:space="preserve">10 </w:t>
      </w:r>
      <w:r w:rsidRPr="004D4C38">
        <w:rPr>
          <w:rFonts w:ascii="Times New Roman" w:hAnsi="Times New Roman"/>
          <w:szCs w:val="24"/>
        </w:rPr>
        <w:t>priedas „</w:t>
      </w:r>
      <w:r w:rsidR="00292218" w:rsidRPr="004D4C38">
        <w:rPr>
          <w:rFonts w:ascii="Times New Roman" w:hAnsi="Times New Roman"/>
          <w:szCs w:val="24"/>
        </w:rPr>
        <w:t>F</w:t>
      </w:r>
      <w:r w:rsidRPr="004D4C38">
        <w:rPr>
          <w:rFonts w:ascii="Times New Roman" w:hAnsi="Times New Roman"/>
          <w:szCs w:val="24"/>
        </w:rPr>
        <w:t>_Problemin</w:t>
      </w:r>
      <w:r w:rsidR="000711F0" w:rsidRPr="004D4C38">
        <w:rPr>
          <w:rFonts w:ascii="Times New Roman" w:hAnsi="Times New Roman"/>
          <w:szCs w:val="24"/>
        </w:rPr>
        <w:t>iai</w:t>
      </w:r>
      <w:r w:rsidRPr="004D4C38">
        <w:rPr>
          <w:rFonts w:ascii="Times New Roman" w:hAnsi="Times New Roman"/>
          <w:szCs w:val="24"/>
        </w:rPr>
        <w:t xml:space="preserve"> </w:t>
      </w:r>
      <w:r w:rsidR="00F21757" w:rsidRPr="004D4C38">
        <w:rPr>
          <w:rFonts w:ascii="Times New Roman" w:hAnsi="Times New Roman"/>
          <w:szCs w:val="24"/>
        </w:rPr>
        <w:t>Faktoringo sandorio</w:t>
      </w:r>
      <w:r w:rsidR="000711F0" w:rsidRPr="004D4C38">
        <w:rPr>
          <w:rFonts w:ascii="Times New Roman" w:hAnsi="Times New Roman"/>
          <w:szCs w:val="24"/>
        </w:rPr>
        <w:t xml:space="preserve"> sandoriai</w:t>
      </w:r>
      <w:r w:rsidRPr="004D4C38">
        <w:rPr>
          <w:rFonts w:ascii="Times New Roman" w:hAnsi="Times New Roman"/>
          <w:szCs w:val="24"/>
        </w:rPr>
        <w:t>“);</w:t>
      </w:r>
    </w:p>
    <w:p w14:paraId="10648760" w14:textId="450C9DA9" w:rsidR="009D3653" w:rsidRPr="004D4C38" w:rsidRDefault="00897FDD" w:rsidP="009B0EE1">
      <w:pPr>
        <w:numPr>
          <w:ilvl w:val="3"/>
          <w:numId w:val="16"/>
        </w:numPr>
        <w:tabs>
          <w:tab w:val="left" w:pos="851"/>
        </w:tabs>
        <w:spacing w:line="276" w:lineRule="auto"/>
        <w:ind w:left="-709" w:firstLine="709"/>
        <w:jc w:val="both"/>
        <w:textAlignment w:val="auto"/>
        <w:rPr>
          <w:rFonts w:ascii="Times New Roman" w:hAnsi="Times New Roman"/>
          <w:szCs w:val="24"/>
        </w:rPr>
      </w:pPr>
      <w:r w:rsidRPr="004D4C38">
        <w:rPr>
          <w:rFonts w:ascii="Times New Roman" w:hAnsi="Times New Roman"/>
          <w:szCs w:val="24"/>
        </w:rPr>
        <w:t>ketvirtin</w:t>
      </w:r>
      <w:r w:rsidR="001D0CAD" w:rsidRPr="004D4C38">
        <w:rPr>
          <w:rFonts w:ascii="Times New Roman" w:hAnsi="Times New Roman"/>
          <w:szCs w:val="24"/>
        </w:rPr>
        <w:t>ę</w:t>
      </w:r>
      <w:r w:rsidRPr="004D4C38">
        <w:rPr>
          <w:rFonts w:ascii="Times New Roman" w:hAnsi="Times New Roman"/>
          <w:szCs w:val="24"/>
        </w:rPr>
        <w:t xml:space="preserve"> ataskaitą apie visas per ataskaitinį ketvirtį atliktas viešinimo </w:t>
      </w:r>
      <w:r w:rsidR="00651EAC" w:rsidRPr="004D4C38">
        <w:rPr>
          <w:rFonts w:ascii="Times New Roman" w:hAnsi="Times New Roman"/>
          <w:szCs w:val="24"/>
        </w:rPr>
        <w:t xml:space="preserve">veiklas </w:t>
      </w:r>
      <w:r w:rsidRPr="004D4C38">
        <w:rPr>
          <w:rFonts w:ascii="Times New Roman" w:hAnsi="Times New Roman"/>
          <w:szCs w:val="24"/>
        </w:rPr>
        <w:t xml:space="preserve">(Sutarties </w:t>
      </w:r>
      <w:r w:rsidR="00651EAC" w:rsidRPr="004D4C38">
        <w:rPr>
          <w:rFonts w:ascii="Times New Roman" w:hAnsi="Times New Roman"/>
          <w:szCs w:val="24"/>
        </w:rPr>
        <w:t xml:space="preserve">11 </w:t>
      </w:r>
      <w:r w:rsidRPr="004D4C38">
        <w:rPr>
          <w:rFonts w:ascii="Times New Roman" w:hAnsi="Times New Roman"/>
          <w:szCs w:val="24"/>
        </w:rPr>
        <w:t>priedas „</w:t>
      </w:r>
      <w:r w:rsidR="00292218" w:rsidRPr="004D4C38">
        <w:rPr>
          <w:rFonts w:ascii="Times New Roman" w:hAnsi="Times New Roman"/>
          <w:szCs w:val="24"/>
        </w:rPr>
        <w:t>G</w:t>
      </w:r>
      <w:r w:rsidRPr="004D4C38">
        <w:rPr>
          <w:rFonts w:ascii="Times New Roman" w:hAnsi="Times New Roman"/>
          <w:szCs w:val="24"/>
        </w:rPr>
        <w:t xml:space="preserve">_Viešinimo </w:t>
      </w:r>
      <w:r w:rsidR="00651EAC" w:rsidRPr="004D4C38">
        <w:rPr>
          <w:rFonts w:ascii="Times New Roman" w:hAnsi="Times New Roman"/>
          <w:szCs w:val="24"/>
        </w:rPr>
        <w:t>veiklos</w:t>
      </w:r>
      <w:r w:rsidRPr="004D4C38">
        <w:rPr>
          <w:rFonts w:ascii="Times New Roman" w:hAnsi="Times New Roman"/>
          <w:szCs w:val="24"/>
        </w:rPr>
        <w:t>“);</w:t>
      </w:r>
    </w:p>
    <w:p w14:paraId="5171E19F" w14:textId="77777777" w:rsidR="00CA19CA" w:rsidRDefault="00651EAC" w:rsidP="009B0EE1">
      <w:pPr>
        <w:numPr>
          <w:ilvl w:val="3"/>
          <w:numId w:val="16"/>
        </w:numPr>
        <w:tabs>
          <w:tab w:val="left" w:pos="851"/>
        </w:tabs>
        <w:spacing w:line="276" w:lineRule="auto"/>
        <w:ind w:left="-709" w:firstLine="709"/>
        <w:jc w:val="both"/>
        <w:textAlignment w:val="auto"/>
        <w:rPr>
          <w:rFonts w:ascii="Times New Roman" w:hAnsi="Times New Roman"/>
          <w:szCs w:val="24"/>
        </w:rPr>
      </w:pPr>
      <w:r w:rsidRPr="004D4C38">
        <w:rPr>
          <w:rFonts w:ascii="Times New Roman" w:hAnsi="Times New Roman"/>
          <w:szCs w:val="24"/>
        </w:rPr>
        <w:t xml:space="preserve"> </w:t>
      </w:r>
      <w:r w:rsidR="004324C3" w:rsidRPr="004D4C38">
        <w:rPr>
          <w:rFonts w:ascii="Times New Roman" w:hAnsi="Times New Roman"/>
          <w:szCs w:val="24"/>
        </w:rPr>
        <w:t>informaciją</w:t>
      </w:r>
      <w:r w:rsidR="00897FDD" w:rsidRPr="004D4C38">
        <w:rPr>
          <w:rFonts w:ascii="Times New Roman" w:hAnsi="Times New Roman"/>
          <w:szCs w:val="24"/>
        </w:rPr>
        <w:t xml:space="preserve"> apie visus per ataskaitinį ketvirtį nustatytus </w:t>
      </w:r>
      <w:r w:rsidR="00013C53" w:rsidRPr="004D4C38">
        <w:rPr>
          <w:rFonts w:ascii="Times New Roman" w:hAnsi="Times New Roman"/>
          <w:szCs w:val="24"/>
        </w:rPr>
        <w:t>Neatitikim</w:t>
      </w:r>
      <w:r w:rsidR="00897FDD" w:rsidRPr="004D4C38">
        <w:rPr>
          <w:rFonts w:ascii="Times New Roman" w:hAnsi="Times New Roman"/>
          <w:szCs w:val="24"/>
        </w:rPr>
        <w:t xml:space="preserve">us ir atnaujintą informaciją apie anksčiau praneštus nustatytus </w:t>
      </w:r>
      <w:r w:rsidR="00013C53" w:rsidRPr="004D4C38">
        <w:rPr>
          <w:rFonts w:ascii="Times New Roman" w:hAnsi="Times New Roman"/>
          <w:szCs w:val="24"/>
        </w:rPr>
        <w:t>Neatitikim</w:t>
      </w:r>
      <w:r w:rsidR="00897FDD" w:rsidRPr="004D4C38">
        <w:rPr>
          <w:rFonts w:ascii="Times New Roman" w:hAnsi="Times New Roman"/>
          <w:szCs w:val="24"/>
        </w:rPr>
        <w:t>us</w:t>
      </w:r>
    </w:p>
    <w:p w14:paraId="07A3CE47" w14:textId="7A337239" w:rsidR="009D3653" w:rsidRPr="004D4C38" w:rsidRDefault="00CA19CA" w:rsidP="009B0EE1">
      <w:pPr>
        <w:numPr>
          <w:ilvl w:val="3"/>
          <w:numId w:val="16"/>
        </w:numPr>
        <w:tabs>
          <w:tab w:val="left" w:pos="851"/>
        </w:tabs>
        <w:spacing w:line="276" w:lineRule="auto"/>
        <w:ind w:left="-709" w:firstLine="709"/>
        <w:jc w:val="both"/>
        <w:textAlignment w:val="auto"/>
        <w:rPr>
          <w:rFonts w:ascii="Times New Roman" w:hAnsi="Times New Roman"/>
          <w:szCs w:val="24"/>
        </w:rPr>
      </w:pPr>
      <w:r>
        <w:rPr>
          <w:rFonts w:ascii="Times New Roman" w:hAnsi="Times New Roman"/>
          <w:szCs w:val="24"/>
        </w:rPr>
        <w:t xml:space="preserve"> ketvirtinę ataskaitą</w:t>
      </w:r>
      <w:r w:rsidRPr="00712361">
        <w:rPr>
          <w:rFonts w:ascii="Times New Roman" w:hAnsi="Times New Roman"/>
          <w:szCs w:val="24"/>
        </w:rPr>
        <w:t xml:space="preserve"> apie </w:t>
      </w:r>
      <w:r>
        <w:rPr>
          <w:rFonts w:ascii="Times New Roman" w:hAnsi="Times New Roman"/>
          <w:szCs w:val="24"/>
        </w:rPr>
        <w:t>PGF</w:t>
      </w:r>
      <w:r>
        <w:rPr>
          <w:rFonts w:ascii="Times New Roman" w:hAnsi="Times New Roman"/>
          <w:szCs w:val="24"/>
          <w:lang w:val="en-US"/>
        </w:rPr>
        <w:t>2</w:t>
      </w:r>
      <w:r w:rsidRPr="00712361">
        <w:rPr>
          <w:rFonts w:ascii="Times New Roman" w:hAnsi="Times New Roman"/>
          <w:szCs w:val="24"/>
        </w:rPr>
        <w:t xml:space="preserve"> </w:t>
      </w:r>
      <w:r>
        <w:rPr>
          <w:rFonts w:ascii="Times New Roman" w:hAnsi="Times New Roman"/>
          <w:szCs w:val="24"/>
        </w:rPr>
        <w:t xml:space="preserve">priemonės valdytojo </w:t>
      </w:r>
      <w:r w:rsidRPr="00712361">
        <w:rPr>
          <w:rFonts w:ascii="Times New Roman" w:hAnsi="Times New Roman"/>
          <w:szCs w:val="24"/>
        </w:rPr>
        <w:t>tinkamumo reikalavimų laikymąsi</w:t>
      </w:r>
      <w:r w:rsidR="00D82E9B" w:rsidRPr="004D4C38">
        <w:rPr>
          <w:rFonts w:ascii="Times New Roman" w:hAnsi="Times New Roman"/>
          <w:szCs w:val="24"/>
        </w:rPr>
        <w:t>;</w:t>
      </w:r>
    </w:p>
    <w:p w14:paraId="58557F81" w14:textId="46D5D1EA" w:rsidR="00897FDD" w:rsidRPr="004D4C38" w:rsidRDefault="00651EAC" w:rsidP="009B0EE1">
      <w:pPr>
        <w:numPr>
          <w:ilvl w:val="3"/>
          <w:numId w:val="16"/>
        </w:numPr>
        <w:tabs>
          <w:tab w:val="left" w:pos="851"/>
        </w:tabs>
        <w:spacing w:line="276" w:lineRule="auto"/>
        <w:ind w:left="-709" w:firstLine="709"/>
        <w:jc w:val="both"/>
        <w:textAlignment w:val="auto"/>
        <w:rPr>
          <w:rFonts w:ascii="Times New Roman" w:hAnsi="Times New Roman"/>
          <w:szCs w:val="24"/>
        </w:rPr>
      </w:pPr>
      <w:r w:rsidRPr="004D4C38">
        <w:rPr>
          <w:rFonts w:ascii="Times New Roman" w:hAnsi="Times New Roman"/>
          <w:szCs w:val="24"/>
        </w:rPr>
        <w:t xml:space="preserve"> </w:t>
      </w:r>
      <w:r w:rsidR="003C46C5" w:rsidRPr="004D4C38">
        <w:rPr>
          <w:rFonts w:ascii="Times New Roman" w:hAnsi="Times New Roman"/>
          <w:szCs w:val="24"/>
        </w:rPr>
        <w:t>ketvirtin</w:t>
      </w:r>
      <w:r w:rsidR="005E5310" w:rsidRPr="004D4C38">
        <w:rPr>
          <w:rFonts w:ascii="Times New Roman" w:hAnsi="Times New Roman"/>
          <w:szCs w:val="24"/>
        </w:rPr>
        <w:t>es</w:t>
      </w:r>
      <w:r w:rsidR="00A54598" w:rsidRPr="004D4C38">
        <w:rPr>
          <w:rFonts w:ascii="Times New Roman" w:hAnsi="Times New Roman"/>
          <w:szCs w:val="24"/>
        </w:rPr>
        <w:t xml:space="preserve"> </w:t>
      </w:r>
      <w:r w:rsidR="005E5310" w:rsidRPr="004D4C38">
        <w:rPr>
          <w:rFonts w:ascii="Times New Roman" w:hAnsi="Times New Roman"/>
          <w:szCs w:val="24"/>
        </w:rPr>
        <w:t xml:space="preserve">finansines </w:t>
      </w:r>
      <w:r w:rsidR="00A54598" w:rsidRPr="004D4C38">
        <w:rPr>
          <w:rFonts w:ascii="Times New Roman" w:hAnsi="Times New Roman"/>
          <w:szCs w:val="24"/>
        </w:rPr>
        <w:t>ataskait</w:t>
      </w:r>
      <w:r w:rsidR="005E5310" w:rsidRPr="004D4C38">
        <w:rPr>
          <w:rFonts w:ascii="Times New Roman" w:hAnsi="Times New Roman"/>
          <w:szCs w:val="24"/>
        </w:rPr>
        <w:t>as, jeigu jos neprieinamos viešai</w:t>
      </w:r>
      <w:r w:rsidR="00230098" w:rsidRPr="004D4C38">
        <w:rPr>
          <w:rFonts w:ascii="Times New Roman" w:hAnsi="Times New Roman"/>
          <w:szCs w:val="24"/>
        </w:rPr>
        <w:t>.</w:t>
      </w:r>
    </w:p>
    <w:p w14:paraId="3BBED5D6" w14:textId="7CF6DC2F" w:rsidR="009D3653" w:rsidRPr="00F53315" w:rsidRDefault="00270B27" w:rsidP="009B0EE1">
      <w:pPr>
        <w:numPr>
          <w:ilvl w:val="1"/>
          <w:numId w:val="16"/>
        </w:numPr>
        <w:tabs>
          <w:tab w:val="left" w:pos="567"/>
        </w:tabs>
        <w:spacing w:line="276" w:lineRule="auto"/>
        <w:ind w:left="-709" w:firstLine="709"/>
        <w:jc w:val="both"/>
        <w:textAlignment w:val="auto"/>
        <w:rPr>
          <w:rFonts w:ascii="Times New Roman" w:hAnsi="Times New Roman"/>
          <w:szCs w:val="24"/>
        </w:rPr>
      </w:pPr>
      <w:r w:rsidRPr="00E066AC">
        <w:rPr>
          <w:rFonts w:ascii="Times New Roman" w:hAnsi="Times New Roman"/>
          <w:szCs w:val="24"/>
        </w:rPr>
        <w:t>Sutarties 8.</w:t>
      </w:r>
      <w:r w:rsidR="00AD0F27" w:rsidRPr="00E066AC">
        <w:rPr>
          <w:rFonts w:ascii="Times New Roman" w:hAnsi="Times New Roman"/>
          <w:szCs w:val="24"/>
        </w:rPr>
        <w:t>1.1.</w:t>
      </w:r>
      <w:r w:rsidRPr="00E066AC">
        <w:rPr>
          <w:rFonts w:ascii="Times New Roman" w:hAnsi="Times New Roman"/>
          <w:szCs w:val="24"/>
        </w:rPr>
        <w:t xml:space="preserve"> papunk</w:t>
      </w:r>
      <w:r w:rsidR="004E2A67" w:rsidRPr="00E066AC">
        <w:rPr>
          <w:rFonts w:ascii="Times New Roman" w:hAnsi="Times New Roman"/>
          <w:szCs w:val="24"/>
        </w:rPr>
        <w:t>tyje</w:t>
      </w:r>
      <w:r w:rsidRPr="00E066AC">
        <w:rPr>
          <w:rFonts w:ascii="Times New Roman" w:hAnsi="Times New Roman"/>
          <w:szCs w:val="24"/>
        </w:rPr>
        <w:t xml:space="preserve"> nurodyt</w:t>
      </w:r>
      <w:r w:rsidR="004E2A67" w:rsidRPr="00E066AC">
        <w:rPr>
          <w:rFonts w:ascii="Times New Roman" w:hAnsi="Times New Roman"/>
          <w:szCs w:val="24"/>
        </w:rPr>
        <w:t>ą</w:t>
      </w:r>
      <w:r w:rsidRPr="00E066AC">
        <w:rPr>
          <w:rFonts w:ascii="Times New Roman" w:hAnsi="Times New Roman"/>
          <w:szCs w:val="24"/>
        </w:rPr>
        <w:t xml:space="preserve"> ataskait</w:t>
      </w:r>
      <w:r w:rsidR="004E2A67" w:rsidRPr="00E066AC">
        <w:rPr>
          <w:rFonts w:ascii="Times New Roman" w:hAnsi="Times New Roman"/>
          <w:szCs w:val="24"/>
        </w:rPr>
        <w:t>ą</w:t>
      </w:r>
      <w:r w:rsidRPr="00E066AC">
        <w:rPr>
          <w:rFonts w:ascii="Times New Roman" w:hAnsi="Times New Roman"/>
          <w:szCs w:val="24"/>
        </w:rPr>
        <w:t xml:space="preserve"> </w:t>
      </w:r>
      <w:r w:rsidR="00C51F33" w:rsidRPr="00E066AC">
        <w:rPr>
          <w:rFonts w:ascii="Times New Roman" w:hAnsi="Times New Roman"/>
          <w:szCs w:val="24"/>
        </w:rPr>
        <w:t>PGF</w:t>
      </w:r>
      <w:r w:rsidR="00691672" w:rsidRPr="00E066AC">
        <w:rPr>
          <w:rFonts w:ascii="Times New Roman" w:hAnsi="Times New Roman"/>
          <w:szCs w:val="24"/>
        </w:rPr>
        <w:t>2</w:t>
      </w:r>
      <w:r w:rsidRPr="00E066AC">
        <w:rPr>
          <w:rFonts w:ascii="Times New Roman" w:hAnsi="Times New Roman"/>
          <w:szCs w:val="24"/>
        </w:rPr>
        <w:t xml:space="preserve"> priemonės valdytojas</w:t>
      </w:r>
      <w:r w:rsidR="00AE124F" w:rsidRPr="00E066AC">
        <w:rPr>
          <w:rFonts w:ascii="Times New Roman" w:hAnsi="Times New Roman"/>
          <w:szCs w:val="24"/>
        </w:rPr>
        <w:t xml:space="preserve"> </w:t>
      </w:r>
      <w:r w:rsidRPr="00E066AC">
        <w:rPr>
          <w:rFonts w:ascii="Times New Roman" w:hAnsi="Times New Roman"/>
          <w:szCs w:val="24"/>
        </w:rPr>
        <w:t xml:space="preserve">„Invegai“ teikia už ataskaitinį kalendorinį mėnesį. Šią ataskaitą </w:t>
      </w:r>
      <w:r w:rsidR="00C51F33" w:rsidRPr="00E066AC">
        <w:rPr>
          <w:rFonts w:ascii="Times New Roman" w:hAnsi="Times New Roman"/>
          <w:szCs w:val="24"/>
        </w:rPr>
        <w:t>PGF</w:t>
      </w:r>
      <w:r w:rsidR="00E066AC" w:rsidRPr="00E066AC">
        <w:rPr>
          <w:rFonts w:ascii="Times New Roman" w:hAnsi="Times New Roman"/>
          <w:szCs w:val="24"/>
        </w:rPr>
        <w:t>2</w:t>
      </w:r>
      <w:r w:rsidRPr="00E066AC">
        <w:rPr>
          <w:rFonts w:ascii="Times New Roman" w:hAnsi="Times New Roman"/>
          <w:szCs w:val="24"/>
        </w:rPr>
        <w:t xml:space="preserve"> priemonės valdytojas „Invegai“ teikia elektroniniu paštu </w:t>
      </w:r>
      <w:hyperlink r:id="rId13" w:history="1">
        <w:r w:rsidR="000F6D3E" w:rsidRPr="00E066AC">
          <w:rPr>
            <w:rStyle w:val="Hyperlink"/>
            <w:rFonts w:ascii="Times New Roman" w:hAnsi="Times New Roman"/>
            <w:szCs w:val="24"/>
          </w:rPr>
          <w:t>pgf</w:t>
        </w:r>
        <w:r w:rsidR="00CE5C4B">
          <w:rPr>
            <w:rStyle w:val="Hyperlink"/>
            <w:rFonts w:ascii="Times New Roman" w:hAnsi="Times New Roman"/>
            <w:szCs w:val="24"/>
          </w:rPr>
          <w:t>2</w:t>
        </w:r>
        <w:r w:rsidR="000F6D3E" w:rsidRPr="00E066AC">
          <w:rPr>
            <w:rStyle w:val="Hyperlink"/>
            <w:rFonts w:ascii="Times New Roman" w:hAnsi="Times New Roman"/>
            <w:szCs w:val="24"/>
          </w:rPr>
          <w:t>@invega.lt</w:t>
        </w:r>
      </w:hyperlink>
      <w:r w:rsidRPr="00E066AC">
        <w:rPr>
          <w:rStyle w:val="Hyperlink"/>
          <w:rFonts w:ascii="Times New Roman" w:hAnsi="Times New Roman"/>
          <w:color w:val="auto"/>
          <w:szCs w:val="24"/>
          <w:u w:val="none"/>
        </w:rPr>
        <w:t>. Ataskaita pateikiama</w:t>
      </w:r>
      <w:r w:rsidR="006F6DFB" w:rsidRPr="00E066AC">
        <w:rPr>
          <w:rStyle w:val="Hyperlink"/>
          <w:rFonts w:ascii="Times New Roman" w:hAnsi="Times New Roman"/>
          <w:color w:val="auto"/>
          <w:szCs w:val="24"/>
          <w:u w:val="none"/>
        </w:rPr>
        <w:t xml:space="preserve"> </w:t>
      </w:r>
      <w:r w:rsidRPr="00E066AC">
        <w:rPr>
          <w:rFonts w:ascii="Times New Roman" w:hAnsi="Times New Roman"/>
          <w:szCs w:val="24"/>
        </w:rPr>
        <w:t xml:space="preserve">per </w:t>
      </w:r>
      <w:r w:rsidR="007F47EC" w:rsidRPr="00E066AC">
        <w:rPr>
          <w:rFonts w:ascii="Times New Roman" w:hAnsi="Times New Roman"/>
          <w:szCs w:val="24"/>
        </w:rPr>
        <w:t>7</w:t>
      </w:r>
      <w:r w:rsidR="008B3C78" w:rsidRPr="00E066AC">
        <w:rPr>
          <w:rFonts w:ascii="Times New Roman" w:hAnsi="Times New Roman"/>
          <w:szCs w:val="24"/>
        </w:rPr>
        <w:t xml:space="preserve"> (</w:t>
      </w:r>
      <w:r w:rsidR="007F47EC" w:rsidRPr="00E066AC">
        <w:rPr>
          <w:rFonts w:ascii="Times New Roman" w:hAnsi="Times New Roman"/>
          <w:szCs w:val="24"/>
        </w:rPr>
        <w:t>septynias</w:t>
      </w:r>
      <w:r w:rsidR="008B3C78" w:rsidRPr="00E066AC">
        <w:rPr>
          <w:rFonts w:ascii="Times New Roman" w:hAnsi="Times New Roman"/>
          <w:szCs w:val="24"/>
        </w:rPr>
        <w:t>) kalendorin</w:t>
      </w:r>
      <w:r w:rsidR="007F47EC" w:rsidRPr="00E066AC">
        <w:rPr>
          <w:rFonts w:ascii="Times New Roman" w:hAnsi="Times New Roman"/>
          <w:szCs w:val="24"/>
        </w:rPr>
        <w:t>es</w:t>
      </w:r>
      <w:r w:rsidR="00230098" w:rsidRPr="00E066AC">
        <w:rPr>
          <w:rFonts w:ascii="Times New Roman" w:hAnsi="Times New Roman"/>
          <w:szCs w:val="24"/>
        </w:rPr>
        <w:t xml:space="preserve"> </w:t>
      </w:r>
      <w:r w:rsidRPr="00E066AC">
        <w:rPr>
          <w:rFonts w:ascii="Times New Roman" w:hAnsi="Times New Roman"/>
          <w:szCs w:val="24"/>
        </w:rPr>
        <w:t>dien</w:t>
      </w:r>
      <w:r w:rsidR="007F47EC" w:rsidRPr="00E066AC">
        <w:rPr>
          <w:rFonts w:ascii="Times New Roman" w:hAnsi="Times New Roman"/>
          <w:szCs w:val="24"/>
        </w:rPr>
        <w:t>as</w:t>
      </w:r>
      <w:r w:rsidRPr="00E066AC">
        <w:rPr>
          <w:rFonts w:ascii="Times New Roman" w:hAnsi="Times New Roman"/>
          <w:szCs w:val="24"/>
        </w:rPr>
        <w:t xml:space="preserve"> po ataskaitinio kalendorinio mėnesio </w:t>
      </w:r>
      <w:r w:rsidRPr="00F53315">
        <w:rPr>
          <w:rFonts w:ascii="Times New Roman" w:hAnsi="Times New Roman"/>
          <w:szCs w:val="24"/>
        </w:rPr>
        <w:t>pabaigos</w:t>
      </w:r>
      <w:r w:rsidR="00A07ECF">
        <w:rPr>
          <w:rFonts w:ascii="Times New Roman" w:hAnsi="Times New Roman"/>
          <w:szCs w:val="24"/>
        </w:rPr>
        <w:t xml:space="preserve"> arba, „Inveg</w:t>
      </w:r>
      <w:r w:rsidR="00683183">
        <w:rPr>
          <w:rFonts w:ascii="Times New Roman" w:hAnsi="Times New Roman"/>
          <w:szCs w:val="24"/>
        </w:rPr>
        <w:t>os</w:t>
      </w:r>
      <w:r w:rsidR="00A07ECF">
        <w:rPr>
          <w:rFonts w:ascii="Times New Roman" w:hAnsi="Times New Roman"/>
          <w:szCs w:val="24"/>
        </w:rPr>
        <w:t xml:space="preserve">“ </w:t>
      </w:r>
      <w:r w:rsidR="00683183">
        <w:rPr>
          <w:rFonts w:ascii="Times New Roman" w:hAnsi="Times New Roman"/>
          <w:szCs w:val="24"/>
        </w:rPr>
        <w:t>prašymu</w:t>
      </w:r>
      <w:r w:rsidR="00A07ECF">
        <w:rPr>
          <w:rFonts w:ascii="Times New Roman" w:hAnsi="Times New Roman"/>
          <w:szCs w:val="24"/>
        </w:rPr>
        <w:t xml:space="preserve">, dažniau (kas savaitę, kas dvi savaites) per nurodytą </w:t>
      </w:r>
      <w:r w:rsidR="00F178B8">
        <w:rPr>
          <w:rFonts w:ascii="Times New Roman" w:hAnsi="Times New Roman"/>
          <w:szCs w:val="24"/>
        </w:rPr>
        <w:t>terminą</w:t>
      </w:r>
      <w:r w:rsidR="00A07ECF">
        <w:rPr>
          <w:rFonts w:ascii="Times New Roman" w:hAnsi="Times New Roman"/>
          <w:szCs w:val="24"/>
        </w:rPr>
        <w:t>.</w:t>
      </w:r>
    </w:p>
    <w:p w14:paraId="7F15A314" w14:textId="749A89A7" w:rsidR="009D3653" w:rsidRPr="004B31AA" w:rsidRDefault="00270B27" w:rsidP="009B0EE1">
      <w:pPr>
        <w:numPr>
          <w:ilvl w:val="1"/>
          <w:numId w:val="16"/>
        </w:numPr>
        <w:tabs>
          <w:tab w:val="left" w:pos="567"/>
        </w:tabs>
        <w:spacing w:line="276" w:lineRule="auto"/>
        <w:ind w:left="-709" w:firstLine="709"/>
        <w:jc w:val="both"/>
        <w:textAlignment w:val="auto"/>
        <w:rPr>
          <w:rFonts w:ascii="Times New Roman" w:hAnsi="Times New Roman"/>
          <w:szCs w:val="24"/>
        </w:rPr>
      </w:pPr>
      <w:r w:rsidRPr="00F53315">
        <w:rPr>
          <w:rFonts w:ascii="Times New Roman" w:hAnsi="Times New Roman"/>
          <w:szCs w:val="24"/>
        </w:rPr>
        <w:t>Sutarties 8.1.</w:t>
      </w:r>
      <w:r w:rsidR="004E2A67" w:rsidRPr="00F53315">
        <w:rPr>
          <w:rFonts w:ascii="Times New Roman" w:hAnsi="Times New Roman"/>
          <w:szCs w:val="24"/>
        </w:rPr>
        <w:t>2</w:t>
      </w:r>
      <w:r w:rsidR="00E3368F" w:rsidRPr="00F53315">
        <w:rPr>
          <w:rFonts w:ascii="Times New Roman" w:hAnsi="Times New Roman"/>
          <w:szCs w:val="24"/>
        </w:rPr>
        <w:t>.</w:t>
      </w:r>
      <w:r w:rsidR="004E2A67" w:rsidRPr="00F53315">
        <w:rPr>
          <w:rFonts w:ascii="Times New Roman" w:hAnsi="Times New Roman"/>
          <w:szCs w:val="24"/>
        </w:rPr>
        <w:t>1</w:t>
      </w:r>
      <w:r w:rsidR="00C22084" w:rsidRPr="00F53315">
        <w:rPr>
          <w:rFonts w:ascii="Times New Roman" w:hAnsi="Times New Roman"/>
          <w:szCs w:val="24"/>
        </w:rPr>
        <w:t>–</w:t>
      </w:r>
      <w:r w:rsidRPr="00F53315">
        <w:rPr>
          <w:rFonts w:ascii="Times New Roman" w:hAnsi="Times New Roman"/>
          <w:szCs w:val="24"/>
        </w:rPr>
        <w:t>8.1.</w:t>
      </w:r>
      <w:r w:rsidR="006F6DFB" w:rsidRPr="00F53315">
        <w:rPr>
          <w:rFonts w:ascii="Times New Roman" w:hAnsi="Times New Roman"/>
          <w:szCs w:val="24"/>
        </w:rPr>
        <w:t>2</w:t>
      </w:r>
      <w:r w:rsidR="00E3368F" w:rsidRPr="00F53315">
        <w:rPr>
          <w:rFonts w:ascii="Times New Roman" w:hAnsi="Times New Roman"/>
          <w:szCs w:val="24"/>
        </w:rPr>
        <w:t>.</w:t>
      </w:r>
      <w:r w:rsidR="006F6DFB" w:rsidRPr="00F53315">
        <w:rPr>
          <w:rFonts w:ascii="Times New Roman" w:hAnsi="Times New Roman"/>
          <w:szCs w:val="24"/>
        </w:rPr>
        <w:t>9 ir 8.1.2.11</w:t>
      </w:r>
      <w:r w:rsidR="00B47391">
        <w:rPr>
          <w:rFonts w:ascii="Times New Roman" w:hAnsi="Times New Roman"/>
          <w:szCs w:val="24"/>
        </w:rPr>
        <w:t xml:space="preserve"> ir </w:t>
      </w:r>
      <w:r w:rsidR="00B47391" w:rsidRPr="00F53315">
        <w:rPr>
          <w:rFonts w:ascii="Times New Roman" w:hAnsi="Times New Roman"/>
          <w:szCs w:val="24"/>
        </w:rPr>
        <w:t>8.1.2.1</w:t>
      </w:r>
      <w:r w:rsidR="00B47391">
        <w:rPr>
          <w:rFonts w:ascii="Times New Roman" w:hAnsi="Times New Roman"/>
          <w:szCs w:val="24"/>
          <w:lang w:val="en-US"/>
        </w:rPr>
        <w:t>2</w:t>
      </w:r>
      <w:r w:rsidRPr="00F53315">
        <w:rPr>
          <w:rFonts w:ascii="Times New Roman" w:hAnsi="Times New Roman"/>
          <w:szCs w:val="24"/>
        </w:rPr>
        <w:t xml:space="preserve"> papunkčiuose nurodytas ataskaitas </w:t>
      </w:r>
      <w:r w:rsidR="00C51F33" w:rsidRPr="00F53315">
        <w:rPr>
          <w:rFonts w:ascii="Times New Roman" w:hAnsi="Times New Roman"/>
          <w:szCs w:val="24"/>
        </w:rPr>
        <w:t>PGF</w:t>
      </w:r>
      <w:r w:rsidR="00F53315" w:rsidRPr="00F53315">
        <w:rPr>
          <w:rFonts w:ascii="Times New Roman" w:hAnsi="Times New Roman"/>
          <w:szCs w:val="24"/>
        </w:rPr>
        <w:t>2</w:t>
      </w:r>
      <w:r w:rsidRPr="00F53315">
        <w:rPr>
          <w:rFonts w:ascii="Times New Roman" w:hAnsi="Times New Roman"/>
          <w:szCs w:val="24"/>
        </w:rPr>
        <w:t xml:space="preserve"> priemonės valdytoj</w:t>
      </w:r>
      <w:r w:rsidR="00F53315" w:rsidRPr="00F53315">
        <w:rPr>
          <w:rFonts w:ascii="Times New Roman" w:hAnsi="Times New Roman"/>
          <w:szCs w:val="24"/>
        </w:rPr>
        <w:t>as</w:t>
      </w:r>
      <w:r w:rsidRPr="00F53315">
        <w:rPr>
          <w:rFonts w:ascii="Times New Roman" w:hAnsi="Times New Roman"/>
          <w:szCs w:val="24"/>
        </w:rPr>
        <w:t xml:space="preserve"> „Invegai“ teikia už ataskaitinį kalendorinį ketvirtį</w:t>
      </w:r>
      <w:r w:rsidR="00B14435" w:rsidRPr="00F53315">
        <w:rPr>
          <w:rFonts w:ascii="Times New Roman" w:hAnsi="Times New Roman"/>
          <w:szCs w:val="24"/>
        </w:rPr>
        <w:t xml:space="preserve">. </w:t>
      </w:r>
      <w:r w:rsidRPr="00F53315">
        <w:rPr>
          <w:rFonts w:ascii="Times New Roman" w:hAnsi="Times New Roman"/>
          <w:szCs w:val="24"/>
        </w:rPr>
        <w:t xml:space="preserve">Šias ataskaitas </w:t>
      </w:r>
      <w:r w:rsidR="00C51F33" w:rsidRPr="00F53315">
        <w:rPr>
          <w:rFonts w:ascii="Times New Roman" w:hAnsi="Times New Roman"/>
          <w:szCs w:val="24"/>
        </w:rPr>
        <w:t>PGF</w:t>
      </w:r>
      <w:r w:rsidR="00F53315" w:rsidRPr="00F53315">
        <w:rPr>
          <w:rFonts w:ascii="Times New Roman" w:hAnsi="Times New Roman"/>
          <w:szCs w:val="24"/>
        </w:rPr>
        <w:t>2</w:t>
      </w:r>
      <w:r w:rsidRPr="00F53315">
        <w:rPr>
          <w:rFonts w:ascii="Times New Roman" w:hAnsi="Times New Roman"/>
          <w:szCs w:val="24"/>
        </w:rPr>
        <w:t xml:space="preserve"> priemonės valdytojas „Invegai“ teikia elektroniniu paštu </w:t>
      </w:r>
      <w:hyperlink r:id="rId14" w:history="1">
        <w:r w:rsidR="00774557" w:rsidRPr="00774557">
          <w:rPr>
            <w:rStyle w:val="Hyperlink"/>
            <w:rFonts w:ascii="Times New Roman" w:hAnsi="Times New Roman"/>
            <w:szCs w:val="24"/>
          </w:rPr>
          <w:t>pgf2@invega.lt</w:t>
        </w:r>
      </w:hyperlink>
      <w:r w:rsidRPr="00F53315">
        <w:rPr>
          <w:rFonts w:ascii="Times New Roman" w:hAnsi="Times New Roman"/>
          <w:szCs w:val="24"/>
        </w:rPr>
        <w:t xml:space="preserve">, jas </w:t>
      </w:r>
      <w:r w:rsidRPr="004B31AA">
        <w:rPr>
          <w:rFonts w:ascii="Times New Roman" w:hAnsi="Times New Roman"/>
          <w:szCs w:val="24"/>
        </w:rPr>
        <w:t xml:space="preserve">pasirašant </w:t>
      </w:r>
      <w:r w:rsidR="00083AF0" w:rsidRPr="004B31AA">
        <w:rPr>
          <w:rFonts w:ascii="Times New Roman" w:hAnsi="Times New Roman"/>
          <w:szCs w:val="24"/>
        </w:rPr>
        <w:t>E</w:t>
      </w:r>
      <w:r w:rsidRPr="004B31AA">
        <w:rPr>
          <w:rFonts w:ascii="Times New Roman" w:hAnsi="Times New Roman"/>
          <w:szCs w:val="24"/>
        </w:rPr>
        <w:t>lektroniniu parašu</w:t>
      </w:r>
      <w:r w:rsidR="00DF1617" w:rsidRPr="004B31AA">
        <w:rPr>
          <w:rFonts w:ascii="Times New Roman" w:hAnsi="Times New Roman"/>
          <w:szCs w:val="24"/>
        </w:rPr>
        <w:t>.</w:t>
      </w:r>
      <w:r w:rsidRPr="004B31AA">
        <w:rPr>
          <w:rFonts w:ascii="Times New Roman" w:hAnsi="Times New Roman"/>
          <w:szCs w:val="24"/>
        </w:rPr>
        <w:t xml:space="preserve"> </w:t>
      </w:r>
      <w:r w:rsidR="00464B47" w:rsidRPr="004B31AA">
        <w:rPr>
          <w:rFonts w:ascii="Times New Roman" w:eastAsia="Calibri" w:hAnsi="Times New Roman"/>
          <w:szCs w:val="24"/>
        </w:rPr>
        <w:t>Galutinės suderintos a</w:t>
      </w:r>
      <w:r w:rsidRPr="004B31AA">
        <w:rPr>
          <w:rFonts w:ascii="Times New Roman" w:hAnsi="Times New Roman"/>
          <w:szCs w:val="24"/>
        </w:rPr>
        <w:t>taskaitos pateikiamos per 1</w:t>
      </w:r>
      <w:r w:rsidR="008B3C78" w:rsidRPr="004B31AA">
        <w:rPr>
          <w:rFonts w:ascii="Times New Roman" w:hAnsi="Times New Roman"/>
          <w:szCs w:val="24"/>
        </w:rPr>
        <w:t>5</w:t>
      </w:r>
      <w:r w:rsidRPr="004B31AA">
        <w:rPr>
          <w:rFonts w:ascii="Times New Roman" w:hAnsi="Times New Roman"/>
          <w:szCs w:val="24"/>
        </w:rPr>
        <w:t xml:space="preserve"> </w:t>
      </w:r>
      <w:r w:rsidR="00230098" w:rsidRPr="004B31AA">
        <w:rPr>
          <w:rFonts w:ascii="Times New Roman" w:hAnsi="Times New Roman"/>
          <w:szCs w:val="24"/>
        </w:rPr>
        <w:t>(</w:t>
      </w:r>
      <w:r w:rsidR="008B3C78" w:rsidRPr="004B31AA">
        <w:rPr>
          <w:rFonts w:ascii="Times New Roman" w:hAnsi="Times New Roman"/>
          <w:szCs w:val="24"/>
        </w:rPr>
        <w:t>penkiolika</w:t>
      </w:r>
      <w:r w:rsidR="00230098" w:rsidRPr="004B31AA">
        <w:rPr>
          <w:rFonts w:ascii="Times New Roman" w:hAnsi="Times New Roman"/>
          <w:szCs w:val="24"/>
        </w:rPr>
        <w:t xml:space="preserve">) </w:t>
      </w:r>
      <w:r w:rsidRPr="004B31AA">
        <w:rPr>
          <w:rFonts w:ascii="Times New Roman" w:hAnsi="Times New Roman"/>
          <w:szCs w:val="24"/>
        </w:rPr>
        <w:t>kalendorinių dienų po ataskaitinio k</w:t>
      </w:r>
      <w:r w:rsidR="009D3653" w:rsidRPr="004B31AA">
        <w:rPr>
          <w:rFonts w:ascii="Times New Roman" w:hAnsi="Times New Roman"/>
          <w:szCs w:val="24"/>
        </w:rPr>
        <w:t>alendorinio ketvirčio pabaigos.</w:t>
      </w:r>
    </w:p>
    <w:p w14:paraId="756D9E51" w14:textId="3664ACD9" w:rsidR="009D3653" w:rsidRPr="00792240" w:rsidRDefault="00270B27" w:rsidP="009B0EE1">
      <w:pPr>
        <w:numPr>
          <w:ilvl w:val="1"/>
          <w:numId w:val="16"/>
        </w:numPr>
        <w:tabs>
          <w:tab w:val="left" w:pos="567"/>
        </w:tabs>
        <w:spacing w:line="276" w:lineRule="auto"/>
        <w:ind w:left="-709" w:firstLine="709"/>
        <w:jc w:val="both"/>
        <w:textAlignment w:val="auto"/>
        <w:rPr>
          <w:rFonts w:ascii="Times New Roman" w:hAnsi="Times New Roman"/>
          <w:szCs w:val="24"/>
        </w:rPr>
      </w:pPr>
      <w:r w:rsidRPr="004B31AA">
        <w:rPr>
          <w:rFonts w:ascii="Times New Roman" w:hAnsi="Times New Roman"/>
          <w:szCs w:val="24"/>
        </w:rPr>
        <w:t>Sutarties 8.1.</w:t>
      </w:r>
      <w:r w:rsidR="00C20B68" w:rsidRPr="004B31AA">
        <w:rPr>
          <w:rFonts w:ascii="Times New Roman" w:hAnsi="Times New Roman"/>
          <w:szCs w:val="24"/>
        </w:rPr>
        <w:t>2</w:t>
      </w:r>
      <w:r w:rsidR="00FC3779" w:rsidRPr="004B31AA">
        <w:rPr>
          <w:rFonts w:ascii="Times New Roman" w:hAnsi="Times New Roman"/>
          <w:szCs w:val="24"/>
        </w:rPr>
        <w:t>.1</w:t>
      </w:r>
      <w:r w:rsidR="006F6DFB" w:rsidRPr="004B31AA">
        <w:rPr>
          <w:rFonts w:ascii="Times New Roman" w:hAnsi="Times New Roman"/>
          <w:szCs w:val="24"/>
        </w:rPr>
        <w:t>0</w:t>
      </w:r>
      <w:r w:rsidRPr="004B31AA">
        <w:rPr>
          <w:rFonts w:ascii="Times New Roman" w:hAnsi="Times New Roman"/>
          <w:szCs w:val="24"/>
        </w:rPr>
        <w:t xml:space="preserve"> papunktyje nurodytus </w:t>
      </w:r>
      <w:r w:rsidR="00A679B2" w:rsidRPr="004B31AA">
        <w:rPr>
          <w:rFonts w:ascii="Times New Roman" w:hAnsi="Times New Roman"/>
          <w:szCs w:val="24"/>
        </w:rPr>
        <w:t>p</w:t>
      </w:r>
      <w:r w:rsidRPr="004B31AA">
        <w:rPr>
          <w:rFonts w:ascii="Times New Roman" w:hAnsi="Times New Roman"/>
          <w:szCs w:val="24"/>
        </w:rPr>
        <w:t xml:space="preserve">ranešimus </w:t>
      </w:r>
      <w:r w:rsidR="00C51F33" w:rsidRPr="004B31AA">
        <w:rPr>
          <w:rFonts w:ascii="Times New Roman" w:hAnsi="Times New Roman"/>
          <w:szCs w:val="24"/>
        </w:rPr>
        <w:t>PGF</w:t>
      </w:r>
      <w:r w:rsidR="004B31AA" w:rsidRPr="004B31AA">
        <w:rPr>
          <w:rFonts w:ascii="Times New Roman" w:hAnsi="Times New Roman"/>
          <w:szCs w:val="24"/>
        </w:rPr>
        <w:t>2</w:t>
      </w:r>
      <w:r w:rsidRPr="004B31AA">
        <w:rPr>
          <w:rFonts w:ascii="Times New Roman" w:hAnsi="Times New Roman"/>
          <w:szCs w:val="24"/>
        </w:rPr>
        <w:t xml:space="preserve"> priemonės </w:t>
      </w:r>
      <w:r w:rsidR="00AE124F" w:rsidRPr="004B31AA">
        <w:rPr>
          <w:rFonts w:ascii="Times New Roman" w:hAnsi="Times New Roman"/>
          <w:szCs w:val="24"/>
        </w:rPr>
        <w:t>valdytoj</w:t>
      </w:r>
      <w:r w:rsidR="004B31AA" w:rsidRPr="004B31AA">
        <w:rPr>
          <w:rFonts w:ascii="Times New Roman" w:hAnsi="Times New Roman"/>
          <w:szCs w:val="24"/>
        </w:rPr>
        <w:t>as</w:t>
      </w:r>
      <w:r w:rsidR="00AE124F" w:rsidRPr="004B31AA">
        <w:rPr>
          <w:rFonts w:ascii="Times New Roman" w:hAnsi="Times New Roman"/>
          <w:szCs w:val="24"/>
        </w:rPr>
        <w:t xml:space="preserve"> </w:t>
      </w:r>
      <w:r w:rsidRPr="004B31AA">
        <w:rPr>
          <w:rFonts w:ascii="Times New Roman" w:hAnsi="Times New Roman"/>
          <w:szCs w:val="24"/>
        </w:rPr>
        <w:t xml:space="preserve">„Invegai“ teikia ne vėliau kaip per 15 </w:t>
      </w:r>
      <w:r w:rsidR="00230098" w:rsidRPr="004B31AA">
        <w:rPr>
          <w:rFonts w:ascii="Times New Roman" w:hAnsi="Times New Roman"/>
          <w:szCs w:val="24"/>
        </w:rPr>
        <w:t xml:space="preserve">(penkiolika) kalendorinių </w:t>
      </w:r>
      <w:r w:rsidRPr="004B31AA">
        <w:rPr>
          <w:rFonts w:ascii="Times New Roman" w:hAnsi="Times New Roman"/>
          <w:szCs w:val="24"/>
        </w:rPr>
        <w:t xml:space="preserve">dienų po kiekvieno ataskaitinio kalendorinio ketvirčio pabaigos. </w:t>
      </w:r>
      <w:r w:rsidR="00C51F33" w:rsidRPr="004B31AA">
        <w:rPr>
          <w:rFonts w:ascii="Times New Roman" w:hAnsi="Times New Roman"/>
          <w:szCs w:val="24"/>
        </w:rPr>
        <w:t>PGF</w:t>
      </w:r>
      <w:r w:rsidR="004B31AA" w:rsidRPr="004B31AA">
        <w:rPr>
          <w:rFonts w:ascii="Times New Roman" w:hAnsi="Times New Roman"/>
          <w:szCs w:val="24"/>
        </w:rPr>
        <w:t>2</w:t>
      </w:r>
      <w:r w:rsidRPr="004B31AA">
        <w:rPr>
          <w:rFonts w:ascii="Times New Roman" w:hAnsi="Times New Roman"/>
          <w:szCs w:val="24"/>
        </w:rPr>
        <w:t xml:space="preserve"> priemonės valdytojas</w:t>
      </w:r>
      <w:r w:rsidR="00AE124F" w:rsidRPr="004B31AA">
        <w:rPr>
          <w:rFonts w:ascii="Times New Roman" w:hAnsi="Times New Roman"/>
          <w:szCs w:val="24"/>
        </w:rPr>
        <w:t xml:space="preserve"> </w:t>
      </w:r>
      <w:r w:rsidRPr="004B31AA">
        <w:rPr>
          <w:rFonts w:ascii="Times New Roman" w:hAnsi="Times New Roman"/>
          <w:szCs w:val="24"/>
        </w:rPr>
        <w:t xml:space="preserve">šiuos pranešimus „Invegai“ teikia elektroniniu paštu </w:t>
      </w:r>
      <w:hyperlink r:id="rId15" w:history="1">
        <w:r w:rsidR="00774557" w:rsidRPr="00774557">
          <w:rPr>
            <w:rStyle w:val="Hyperlink"/>
            <w:rFonts w:ascii="Times New Roman" w:hAnsi="Times New Roman"/>
            <w:szCs w:val="24"/>
          </w:rPr>
          <w:t>pgf2@invega.lt</w:t>
        </w:r>
      </w:hyperlink>
      <w:r w:rsidRPr="004B31AA">
        <w:rPr>
          <w:rFonts w:ascii="Times New Roman" w:hAnsi="Times New Roman"/>
          <w:szCs w:val="24"/>
        </w:rPr>
        <w:t xml:space="preserve">, pasirašytus </w:t>
      </w:r>
      <w:r w:rsidR="00083AF0" w:rsidRPr="004B31AA">
        <w:rPr>
          <w:rFonts w:ascii="Times New Roman" w:hAnsi="Times New Roman"/>
          <w:szCs w:val="24"/>
        </w:rPr>
        <w:t>E</w:t>
      </w:r>
      <w:r w:rsidRPr="004B31AA">
        <w:rPr>
          <w:rFonts w:ascii="Times New Roman" w:hAnsi="Times New Roman"/>
          <w:szCs w:val="24"/>
        </w:rPr>
        <w:t xml:space="preserve">lektroniniu parašu. Tais atvejais, kai per ataskaitinį </w:t>
      </w:r>
      <w:r w:rsidR="009F1BBC" w:rsidRPr="004B31AA">
        <w:rPr>
          <w:rFonts w:ascii="Times New Roman" w:hAnsi="Times New Roman"/>
          <w:szCs w:val="24"/>
        </w:rPr>
        <w:t>laikotarpį nėra</w:t>
      </w:r>
      <w:r w:rsidRPr="004B31AA">
        <w:rPr>
          <w:rFonts w:ascii="Times New Roman" w:hAnsi="Times New Roman"/>
          <w:szCs w:val="24"/>
        </w:rPr>
        <w:t xml:space="preserve"> </w:t>
      </w:r>
      <w:r w:rsidR="00013C53" w:rsidRPr="004B31AA">
        <w:rPr>
          <w:rFonts w:ascii="Times New Roman" w:hAnsi="Times New Roman"/>
          <w:szCs w:val="24"/>
        </w:rPr>
        <w:t>Neatitikim</w:t>
      </w:r>
      <w:r w:rsidRPr="004B31AA">
        <w:rPr>
          <w:rFonts w:ascii="Times New Roman" w:hAnsi="Times New Roman"/>
          <w:szCs w:val="24"/>
        </w:rPr>
        <w:t>ų</w:t>
      </w:r>
      <w:r w:rsidR="009F1BBC" w:rsidRPr="004B31AA">
        <w:rPr>
          <w:rFonts w:ascii="Times New Roman" w:hAnsi="Times New Roman"/>
          <w:szCs w:val="24"/>
        </w:rPr>
        <w:t>, apie kuriuos reikėtų pranešti</w:t>
      </w:r>
      <w:r w:rsidR="00230098" w:rsidRPr="004B31AA">
        <w:rPr>
          <w:rFonts w:ascii="Times New Roman" w:hAnsi="Times New Roman"/>
          <w:szCs w:val="24"/>
        </w:rPr>
        <w:t>,</w:t>
      </w:r>
      <w:r w:rsidRPr="004B31AA">
        <w:rPr>
          <w:rFonts w:ascii="Times New Roman" w:hAnsi="Times New Roman"/>
          <w:szCs w:val="24"/>
        </w:rPr>
        <w:t xml:space="preserve"> arba nėra naujos informacijos apie anksčiau praneštus nustatytus </w:t>
      </w:r>
      <w:r w:rsidR="00013C53" w:rsidRPr="004B31AA">
        <w:rPr>
          <w:rFonts w:ascii="Times New Roman" w:hAnsi="Times New Roman"/>
          <w:szCs w:val="24"/>
        </w:rPr>
        <w:t>Neatitikim</w:t>
      </w:r>
      <w:r w:rsidRPr="004B31AA">
        <w:rPr>
          <w:rFonts w:ascii="Times New Roman" w:hAnsi="Times New Roman"/>
          <w:szCs w:val="24"/>
        </w:rPr>
        <w:t xml:space="preserve">us, </w:t>
      </w:r>
      <w:r w:rsidR="00C51F33" w:rsidRPr="004B31AA">
        <w:rPr>
          <w:rFonts w:ascii="Times New Roman" w:hAnsi="Times New Roman"/>
          <w:szCs w:val="24"/>
        </w:rPr>
        <w:t>PGF</w:t>
      </w:r>
      <w:r w:rsidR="004B31AA" w:rsidRPr="004B31AA">
        <w:rPr>
          <w:rFonts w:ascii="Times New Roman" w:hAnsi="Times New Roman"/>
          <w:szCs w:val="24"/>
        </w:rPr>
        <w:t>2</w:t>
      </w:r>
      <w:r w:rsidR="00EE3BE5" w:rsidRPr="004B31AA">
        <w:rPr>
          <w:rFonts w:ascii="Times New Roman" w:hAnsi="Times New Roman"/>
          <w:szCs w:val="24"/>
        </w:rPr>
        <w:t xml:space="preserve"> </w:t>
      </w:r>
      <w:r w:rsidR="008B3C78" w:rsidRPr="004B31AA">
        <w:rPr>
          <w:rFonts w:ascii="Times New Roman" w:hAnsi="Times New Roman"/>
          <w:szCs w:val="24"/>
        </w:rPr>
        <w:t xml:space="preserve">priemonės </w:t>
      </w:r>
      <w:r w:rsidR="00EE3BE5" w:rsidRPr="004B31AA">
        <w:rPr>
          <w:rFonts w:ascii="Times New Roman" w:hAnsi="Times New Roman"/>
          <w:szCs w:val="24"/>
        </w:rPr>
        <w:t>valdytojas</w:t>
      </w:r>
      <w:r w:rsidR="00AE124F" w:rsidRPr="00792240">
        <w:rPr>
          <w:rFonts w:ascii="Times New Roman" w:hAnsi="Times New Roman"/>
          <w:szCs w:val="24"/>
        </w:rPr>
        <w:t xml:space="preserve"> </w:t>
      </w:r>
      <w:r w:rsidR="00EE3BE5" w:rsidRPr="00792240">
        <w:rPr>
          <w:rFonts w:ascii="Times New Roman" w:hAnsi="Times New Roman"/>
          <w:szCs w:val="24"/>
        </w:rPr>
        <w:t>„</w:t>
      </w:r>
      <w:r w:rsidR="00C101BD" w:rsidRPr="00792240">
        <w:rPr>
          <w:rFonts w:ascii="Times New Roman" w:hAnsi="Times New Roman"/>
          <w:szCs w:val="24"/>
        </w:rPr>
        <w:t>I</w:t>
      </w:r>
      <w:r w:rsidR="00EE3BE5" w:rsidRPr="00792240">
        <w:rPr>
          <w:rFonts w:ascii="Times New Roman" w:hAnsi="Times New Roman"/>
          <w:szCs w:val="24"/>
        </w:rPr>
        <w:t xml:space="preserve">nvegai“ pateikia </w:t>
      </w:r>
      <w:r w:rsidR="00C101BD" w:rsidRPr="00792240">
        <w:rPr>
          <w:rFonts w:ascii="Times New Roman" w:hAnsi="Times New Roman"/>
          <w:szCs w:val="24"/>
        </w:rPr>
        <w:t xml:space="preserve">informacinius pranešimus apie tai elektroniniu paštu </w:t>
      </w:r>
      <w:hyperlink r:id="rId16" w:history="1">
        <w:r w:rsidR="00774557" w:rsidRPr="00774557">
          <w:rPr>
            <w:rStyle w:val="Hyperlink"/>
            <w:rFonts w:ascii="Times New Roman" w:hAnsi="Times New Roman"/>
            <w:szCs w:val="24"/>
          </w:rPr>
          <w:t>pgf2</w:t>
        </w:r>
        <w:r w:rsidR="00774557" w:rsidRPr="00CA30E3">
          <w:rPr>
            <w:rStyle w:val="Hyperlink"/>
            <w:rFonts w:ascii="Times New Roman" w:hAnsi="Times New Roman"/>
            <w:szCs w:val="24"/>
          </w:rPr>
          <w:t>@invega.lt</w:t>
        </w:r>
      </w:hyperlink>
      <w:r w:rsidR="00C101BD" w:rsidRPr="00792240">
        <w:rPr>
          <w:rStyle w:val="Hyperlink"/>
          <w:rFonts w:ascii="Times New Roman" w:hAnsi="Times New Roman"/>
          <w:color w:val="auto"/>
          <w:szCs w:val="24"/>
          <w:u w:val="none"/>
        </w:rPr>
        <w:t xml:space="preserve"> </w:t>
      </w:r>
      <w:r w:rsidR="00C101BD" w:rsidRPr="00792240">
        <w:rPr>
          <w:rFonts w:ascii="Times New Roman" w:hAnsi="Times New Roman"/>
          <w:szCs w:val="24"/>
        </w:rPr>
        <w:t xml:space="preserve">per 15 </w:t>
      </w:r>
      <w:r w:rsidR="00230098" w:rsidRPr="00792240">
        <w:rPr>
          <w:rFonts w:ascii="Times New Roman" w:hAnsi="Times New Roman"/>
          <w:szCs w:val="24"/>
        </w:rPr>
        <w:t xml:space="preserve">(penkiolika) kalendorinių </w:t>
      </w:r>
      <w:r w:rsidR="00C101BD" w:rsidRPr="00792240">
        <w:rPr>
          <w:rFonts w:ascii="Times New Roman" w:hAnsi="Times New Roman"/>
          <w:szCs w:val="24"/>
        </w:rPr>
        <w:t>dienų nuo ataskaitinio kalendorinio ketvirčio pabaigos</w:t>
      </w:r>
      <w:r w:rsidRPr="00792240">
        <w:rPr>
          <w:rFonts w:ascii="Times New Roman" w:hAnsi="Times New Roman"/>
          <w:szCs w:val="24"/>
        </w:rPr>
        <w:t>.</w:t>
      </w:r>
    </w:p>
    <w:p w14:paraId="1BAC9E36" w14:textId="6749DB8A" w:rsidR="00856580" w:rsidRPr="00792240" w:rsidRDefault="00270B27" w:rsidP="009B0EE1">
      <w:pPr>
        <w:numPr>
          <w:ilvl w:val="1"/>
          <w:numId w:val="16"/>
        </w:numPr>
        <w:tabs>
          <w:tab w:val="left" w:pos="567"/>
        </w:tabs>
        <w:spacing w:line="276" w:lineRule="auto"/>
        <w:ind w:left="-709" w:firstLine="709"/>
        <w:jc w:val="both"/>
        <w:textAlignment w:val="auto"/>
        <w:rPr>
          <w:rFonts w:ascii="Times New Roman" w:hAnsi="Times New Roman"/>
          <w:caps/>
          <w:szCs w:val="24"/>
        </w:rPr>
      </w:pPr>
      <w:r w:rsidRPr="00792240">
        <w:rPr>
          <w:rFonts w:ascii="Times New Roman" w:hAnsi="Times New Roman"/>
          <w:szCs w:val="24"/>
        </w:rPr>
        <w:t xml:space="preserve">Jei </w:t>
      </w:r>
      <w:r w:rsidR="00C51F33" w:rsidRPr="00792240">
        <w:rPr>
          <w:rFonts w:ascii="Times New Roman" w:hAnsi="Times New Roman"/>
          <w:szCs w:val="24"/>
        </w:rPr>
        <w:t>PGF</w:t>
      </w:r>
      <w:r w:rsidR="004B31AA" w:rsidRPr="00792240">
        <w:rPr>
          <w:rFonts w:ascii="Times New Roman" w:hAnsi="Times New Roman"/>
          <w:szCs w:val="24"/>
        </w:rPr>
        <w:t>2</w:t>
      </w:r>
      <w:r w:rsidRPr="00792240">
        <w:rPr>
          <w:rFonts w:ascii="Times New Roman" w:hAnsi="Times New Roman"/>
          <w:szCs w:val="24"/>
        </w:rPr>
        <w:t xml:space="preserve"> priemonės valdytojas įtaria nusikalstamą</w:t>
      </w:r>
      <w:r w:rsidR="00230098" w:rsidRPr="00792240">
        <w:rPr>
          <w:rFonts w:ascii="Times New Roman" w:hAnsi="Times New Roman"/>
          <w:szCs w:val="24"/>
        </w:rPr>
        <w:t xml:space="preserve"> veiką</w:t>
      </w:r>
      <w:r w:rsidRPr="00792240">
        <w:rPr>
          <w:rFonts w:ascii="Times New Roman" w:hAnsi="Times New Roman"/>
          <w:szCs w:val="24"/>
        </w:rPr>
        <w:t xml:space="preserve"> ir (arba) korupcinio pobūdžio nusikalstamą veik</w:t>
      </w:r>
      <w:r w:rsidR="00FD7A83" w:rsidRPr="00792240">
        <w:rPr>
          <w:rFonts w:ascii="Times New Roman" w:hAnsi="Times New Roman"/>
          <w:szCs w:val="24"/>
        </w:rPr>
        <w:t>ą</w:t>
      </w:r>
      <w:r w:rsidRPr="00792240">
        <w:rPr>
          <w:rFonts w:ascii="Times New Roman" w:hAnsi="Times New Roman"/>
          <w:szCs w:val="24"/>
        </w:rPr>
        <w:t xml:space="preserve">, susijusias su </w:t>
      </w:r>
      <w:r w:rsidR="00C51F33" w:rsidRPr="00792240">
        <w:rPr>
          <w:rFonts w:ascii="Times New Roman" w:hAnsi="Times New Roman"/>
          <w:szCs w:val="24"/>
        </w:rPr>
        <w:t>PGF</w:t>
      </w:r>
      <w:r w:rsidR="00792240" w:rsidRPr="00792240">
        <w:rPr>
          <w:rFonts w:ascii="Times New Roman" w:hAnsi="Times New Roman"/>
          <w:szCs w:val="24"/>
        </w:rPr>
        <w:t>2</w:t>
      </w:r>
      <w:r w:rsidRPr="00792240">
        <w:rPr>
          <w:rFonts w:ascii="Times New Roman" w:hAnsi="Times New Roman"/>
          <w:szCs w:val="24"/>
        </w:rPr>
        <w:t xml:space="preserve"> priemonės lėšų neteisėtu gavimu ir (ar) panaudojimu, </w:t>
      </w:r>
      <w:r w:rsidR="00BB205B" w:rsidRPr="00792240">
        <w:rPr>
          <w:rFonts w:ascii="Times New Roman" w:hAnsi="Times New Roman"/>
          <w:szCs w:val="24"/>
        </w:rPr>
        <w:t>PGF2</w:t>
      </w:r>
      <w:r w:rsidR="00BB205B">
        <w:rPr>
          <w:rFonts w:ascii="Times New Roman" w:hAnsi="Times New Roman"/>
          <w:szCs w:val="24"/>
        </w:rPr>
        <w:t> </w:t>
      </w:r>
      <w:r w:rsidR="00683008" w:rsidRPr="00792240">
        <w:rPr>
          <w:rFonts w:ascii="Times New Roman" w:hAnsi="Times New Roman"/>
          <w:szCs w:val="24"/>
        </w:rPr>
        <w:t>priemonės valdytoj</w:t>
      </w:r>
      <w:r w:rsidR="00792240" w:rsidRPr="00792240">
        <w:rPr>
          <w:rFonts w:ascii="Times New Roman" w:hAnsi="Times New Roman"/>
          <w:szCs w:val="24"/>
        </w:rPr>
        <w:t>as</w:t>
      </w:r>
      <w:r w:rsidR="00AE124F" w:rsidRPr="00792240">
        <w:rPr>
          <w:rFonts w:ascii="Times New Roman" w:hAnsi="Times New Roman"/>
          <w:szCs w:val="24"/>
        </w:rPr>
        <w:t xml:space="preserve"> </w:t>
      </w:r>
      <w:r w:rsidRPr="00792240">
        <w:rPr>
          <w:rFonts w:ascii="Times New Roman" w:hAnsi="Times New Roman"/>
          <w:szCs w:val="24"/>
        </w:rPr>
        <w:t>apie tai nedelsdama</w:t>
      </w:r>
      <w:r w:rsidR="0036797D" w:rsidRPr="00792240">
        <w:rPr>
          <w:rFonts w:ascii="Times New Roman" w:hAnsi="Times New Roman"/>
          <w:szCs w:val="24"/>
        </w:rPr>
        <w:t>s</w:t>
      </w:r>
      <w:r w:rsidRPr="00792240">
        <w:rPr>
          <w:rFonts w:ascii="Times New Roman" w:hAnsi="Times New Roman"/>
          <w:szCs w:val="24"/>
        </w:rPr>
        <w:t xml:space="preserve">, ne vėliau kaip per 7 </w:t>
      </w:r>
      <w:r w:rsidR="00230098" w:rsidRPr="00792240">
        <w:rPr>
          <w:rFonts w:ascii="Times New Roman" w:hAnsi="Times New Roman"/>
          <w:szCs w:val="24"/>
        </w:rPr>
        <w:t xml:space="preserve">(septynias) </w:t>
      </w:r>
      <w:r w:rsidRPr="00792240">
        <w:rPr>
          <w:rFonts w:ascii="Times New Roman" w:hAnsi="Times New Roman"/>
          <w:szCs w:val="24"/>
        </w:rPr>
        <w:t>kalendorines dienas nuo informacijos apie veikas gavimo dienos, prieš tai</w:t>
      </w:r>
      <w:r w:rsidR="00D209AA" w:rsidRPr="00792240">
        <w:rPr>
          <w:rFonts w:ascii="Times New Roman" w:hAnsi="Times New Roman"/>
          <w:szCs w:val="24"/>
        </w:rPr>
        <w:t xml:space="preserve"> informavęs </w:t>
      </w:r>
      <w:r w:rsidRPr="00792240">
        <w:rPr>
          <w:rFonts w:ascii="Times New Roman" w:hAnsi="Times New Roman"/>
          <w:szCs w:val="24"/>
        </w:rPr>
        <w:t>„Inveg</w:t>
      </w:r>
      <w:r w:rsidR="00D209AA" w:rsidRPr="00792240">
        <w:rPr>
          <w:rFonts w:ascii="Times New Roman" w:hAnsi="Times New Roman"/>
          <w:szCs w:val="24"/>
        </w:rPr>
        <w:t>ą</w:t>
      </w:r>
      <w:r w:rsidRPr="00792240">
        <w:rPr>
          <w:rFonts w:ascii="Times New Roman" w:hAnsi="Times New Roman"/>
          <w:szCs w:val="24"/>
        </w:rPr>
        <w:t>“, raštu informuoja atitinkamas institucijas</w:t>
      </w:r>
      <w:r w:rsidR="00C55DEE" w:rsidRPr="00792240">
        <w:rPr>
          <w:rFonts w:ascii="Times New Roman" w:hAnsi="Times New Roman"/>
          <w:szCs w:val="24"/>
        </w:rPr>
        <w:t xml:space="preserve">. </w:t>
      </w:r>
      <w:r w:rsidRPr="00792240">
        <w:rPr>
          <w:rFonts w:ascii="Times New Roman" w:hAnsi="Times New Roman"/>
          <w:szCs w:val="24"/>
        </w:rPr>
        <w:t xml:space="preserve"> </w:t>
      </w:r>
    </w:p>
    <w:p w14:paraId="0DC7DBF6" w14:textId="77777777" w:rsidR="00C55DEE" w:rsidRPr="00892AEA" w:rsidRDefault="00C55DEE" w:rsidP="009B0EE1">
      <w:pPr>
        <w:tabs>
          <w:tab w:val="left" w:pos="567"/>
        </w:tabs>
        <w:spacing w:line="276" w:lineRule="auto"/>
        <w:jc w:val="both"/>
        <w:textAlignment w:val="auto"/>
        <w:rPr>
          <w:rFonts w:ascii="Times New Roman" w:hAnsi="Times New Roman"/>
          <w:caps/>
          <w:szCs w:val="24"/>
        </w:rPr>
      </w:pPr>
    </w:p>
    <w:p w14:paraId="483E3AFC" w14:textId="287BDECA" w:rsidR="003007F9" w:rsidRPr="00BE46D7" w:rsidRDefault="000B3491" w:rsidP="009B0EE1">
      <w:pPr>
        <w:spacing w:line="276" w:lineRule="auto"/>
        <w:ind w:left="-709" w:firstLine="709"/>
        <w:jc w:val="center"/>
        <w:rPr>
          <w:rFonts w:ascii="Times New Roman" w:hAnsi="Times New Roman"/>
          <w:b/>
          <w:caps/>
          <w:szCs w:val="24"/>
        </w:rPr>
      </w:pPr>
      <w:r w:rsidRPr="00BE46D7">
        <w:rPr>
          <w:rFonts w:ascii="Times New Roman" w:hAnsi="Times New Roman"/>
          <w:b/>
          <w:caps/>
          <w:szCs w:val="24"/>
        </w:rPr>
        <w:lastRenderedPageBreak/>
        <w:t>I</w:t>
      </w:r>
      <w:r w:rsidR="00DA62FD" w:rsidRPr="00BE46D7">
        <w:rPr>
          <w:rFonts w:ascii="Times New Roman" w:hAnsi="Times New Roman"/>
          <w:b/>
          <w:caps/>
          <w:szCs w:val="24"/>
        </w:rPr>
        <w:t>X</w:t>
      </w:r>
      <w:r w:rsidR="00D1176D" w:rsidRPr="00BE46D7">
        <w:rPr>
          <w:rFonts w:ascii="Times New Roman" w:hAnsi="Times New Roman"/>
          <w:b/>
          <w:caps/>
          <w:szCs w:val="24"/>
        </w:rPr>
        <w:t xml:space="preserve"> SKYRIUS</w:t>
      </w:r>
      <w:r w:rsidR="004E3B8D" w:rsidRPr="00BE46D7">
        <w:rPr>
          <w:rFonts w:ascii="Times New Roman" w:hAnsi="Times New Roman"/>
          <w:b/>
          <w:caps/>
          <w:szCs w:val="24"/>
        </w:rPr>
        <w:t xml:space="preserve">. </w:t>
      </w:r>
      <w:r w:rsidR="00AA7DA1" w:rsidRPr="00BE46D7">
        <w:rPr>
          <w:rFonts w:ascii="Times New Roman" w:hAnsi="Times New Roman"/>
          <w:b/>
          <w:caps/>
          <w:szCs w:val="24"/>
        </w:rPr>
        <w:t xml:space="preserve">NEREIKŠMINGOS </w:t>
      </w:r>
      <w:r w:rsidR="001D0CAD" w:rsidRPr="00BE46D7">
        <w:rPr>
          <w:rFonts w:ascii="Times New Roman" w:hAnsi="Times New Roman"/>
          <w:b/>
          <w:caps/>
          <w:szCs w:val="24"/>
        </w:rPr>
        <w:t xml:space="preserve">VALSTYBĖS </w:t>
      </w:r>
      <w:r w:rsidR="00AA7DA1" w:rsidRPr="00BE46D7">
        <w:rPr>
          <w:rFonts w:ascii="Times New Roman" w:hAnsi="Times New Roman"/>
          <w:b/>
          <w:caps/>
          <w:szCs w:val="24"/>
        </w:rPr>
        <w:t>PAGALBOS TEIKIMAS</w:t>
      </w:r>
    </w:p>
    <w:p w14:paraId="1669A653" w14:textId="77777777" w:rsidR="00776F9B" w:rsidRPr="00DB356A" w:rsidRDefault="00776F9B" w:rsidP="009B0EE1">
      <w:pPr>
        <w:spacing w:line="276" w:lineRule="auto"/>
        <w:ind w:left="-851" w:firstLine="851"/>
        <w:jc w:val="both"/>
        <w:rPr>
          <w:rFonts w:ascii="Times New Roman" w:hAnsi="Times New Roman"/>
          <w:szCs w:val="24"/>
        </w:rPr>
      </w:pPr>
    </w:p>
    <w:p w14:paraId="6F2C1BBD" w14:textId="467CA8E2" w:rsidR="004E3B8D" w:rsidRPr="00DB356A" w:rsidRDefault="00F21757" w:rsidP="009B0EE1">
      <w:pPr>
        <w:numPr>
          <w:ilvl w:val="1"/>
          <w:numId w:val="10"/>
        </w:numPr>
        <w:tabs>
          <w:tab w:val="left" w:pos="567"/>
        </w:tabs>
        <w:spacing w:line="276" w:lineRule="auto"/>
        <w:ind w:left="-709" w:firstLine="709"/>
        <w:jc w:val="both"/>
        <w:rPr>
          <w:rFonts w:ascii="Times New Roman" w:hAnsi="Times New Roman"/>
          <w:szCs w:val="24"/>
        </w:rPr>
      </w:pPr>
      <w:r w:rsidRPr="00DB356A">
        <w:rPr>
          <w:rFonts w:ascii="Times New Roman" w:hAnsi="Times New Roman"/>
          <w:szCs w:val="24"/>
        </w:rPr>
        <w:t xml:space="preserve">Faktoringo </w:t>
      </w:r>
      <w:r w:rsidR="002E4349" w:rsidRPr="00DB356A">
        <w:rPr>
          <w:rFonts w:ascii="Times New Roman" w:hAnsi="Times New Roman"/>
          <w:szCs w:val="24"/>
        </w:rPr>
        <w:t>gavėjams</w:t>
      </w:r>
      <w:r w:rsidR="00E42B1F" w:rsidRPr="00DB356A">
        <w:rPr>
          <w:rFonts w:ascii="Times New Roman" w:hAnsi="Times New Roman"/>
          <w:szCs w:val="24"/>
        </w:rPr>
        <w:t>, kuriems suteikiam</w:t>
      </w:r>
      <w:r w:rsidR="00590DA4" w:rsidRPr="00DB356A">
        <w:rPr>
          <w:rFonts w:ascii="Times New Roman" w:hAnsi="Times New Roman"/>
          <w:szCs w:val="24"/>
        </w:rPr>
        <w:t>i</w:t>
      </w:r>
      <w:r w:rsidR="00E42B1F" w:rsidRPr="00DB356A">
        <w:rPr>
          <w:rFonts w:ascii="Times New Roman" w:hAnsi="Times New Roman"/>
          <w:szCs w:val="24"/>
        </w:rPr>
        <w:t xml:space="preserve"> į Portfelį įtraukt</w:t>
      </w:r>
      <w:r w:rsidR="00590DA4" w:rsidRPr="00DB356A">
        <w:rPr>
          <w:rFonts w:ascii="Times New Roman" w:hAnsi="Times New Roman"/>
          <w:szCs w:val="24"/>
        </w:rPr>
        <w:t>i</w:t>
      </w:r>
      <w:r w:rsidR="00E42B1F" w:rsidRPr="00DB356A">
        <w:rPr>
          <w:rFonts w:ascii="Times New Roman" w:hAnsi="Times New Roman"/>
          <w:szCs w:val="24"/>
        </w:rPr>
        <w:t xml:space="preserve"> </w:t>
      </w:r>
      <w:r w:rsidRPr="00DB356A">
        <w:rPr>
          <w:rFonts w:ascii="Times New Roman" w:hAnsi="Times New Roman"/>
          <w:szCs w:val="24"/>
        </w:rPr>
        <w:t>Faktoringo sandori</w:t>
      </w:r>
      <w:r w:rsidR="00590DA4" w:rsidRPr="00DB356A">
        <w:rPr>
          <w:rFonts w:ascii="Times New Roman" w:hAnsi="Times New Roman"/>
          <w:szCs w:val="24"/>
        </w:rPr>
        <w:t>ai</w:t>
      </w:r>
      <w:r w:rsidR="00A414D1" w:rsidRPr="00DB356A">
        <w:rPr>
          <w:rFonts w:ascii="Times New Roman" w:hAnsi="Times New Roman"/>
          <w:szCs w:val="24"/>
        </w:rPr>
        <w:t>,</w:t>
      </w:r>
      <w:r w:rsidR="00E42B1F" w:rsidRPr="00DB356A">
        <w:rPr>
          <w:rFonts w:ascii="Times New Roman" w:hAnsi="Times New Roman"/>
          <w:szCs w:val="24"/>
        </w:rPr>
        <w:t xml:space="preserve"> yra skaičiuojama ir teikiama </w:t>
      </w:r>
      <w:r w:rsidR="00E43F28" w:rsidRPr="00DB356A">
        <w:rPr>
          <w:rFonts w:ascii="Times New Roman" w:hAnsi="Times New Roman"/>
          <w:i/>
          <w:szCs w:val="24"/>
        </w:rPr>
        <w:t>de minimis</w:t>
      </w:r>
      <w:r w:rsidR="00E42B1F" w:rsidRPr="00DB356A">
        <w:rPr>
          <w:rFonts w:ascii="Times New Roman" w:hAnsi="Times New Roman"/>
          <w:szCs w:val="24"/>
        </w:rPr>
        <w:t xml:space="preserve"> pagalba </w:t>
      </w:r>
      <w:r w:rsidR="00E43F28" w:rsidRPr="00DB356A">
        <w:rPr>
          <w:rFonts w:ascii="Times New Roman" w:hAnsi="Times New Roman"/>
          <w:szCs w:val="24"/>
        </w:rPr>
        <w:t xml:space="preserve">pagal </w:t>
      </w:r>
      <w:r w:rsidR="004B059B" w:rsidRPr="00DB356A">
        <w:rPr>
          <w:rFonts w:ascii="Times New Roman" w:hAnsi="Times New Roman"/>
          <w:i/>
          <w:szCs w:val="24"/>
        </w:rPr>
        <w:t xml:space="preserve">De minimis </w:t>
      </w:r>
      <w:r w:rsidR="004B059B" w:rsidRPr="00DB356A">
        <w:rPr>
          <w:rFonts w:ascii="Times New Roman" w:hAnsi="Times New Roman"/>
          <w:szCs w:val="24"/>
        </w:rPr>
        <w:t>reglamentą</w:t>
      </w:r>
      <w:r w:rsidR="00E43F28" w:rsidRPr="00DB356A">
        <w:rPr>
          <w:rFonts w:ascii="Times New Roman" w:hAnsi="Times New Roman"/>
          <w:szCs w:val="24"/>
        </w:rPr>
        <w:t xml:space="preserve"> ir </w:t>
      </w:r>
      <w:r w:rsidR="00AB05CE">
        <w:rPr>
          <w:rFonts w:ascii="Times New Roman" w:hAnsi="Times New Roman"/>
          <w:szCs w:val="24"/>
        </w:rPr>
        <w:t>PGF2</w:t>
      </w:r>
      <w:r w:rsidR="00AB05CE" w:rsidRPr="000D2819">
        <w:rPr>
          <w:rFonts w:ascii="Times New Roman" w:hAnsi="Times New Roman"/>
          <w:szCs w:val="24"/>
        </w:rPr>
        <w:t xml:space="preserve"> priemonės schem</w:t>
      </w:r>
      <w:r w:rsidR="00AB05CE">
        <w:rPr>
          <w:rFonts w:ascii="Times New Roman" w:hAnsi="Times New Roman"/>
          <w:szCs w:val="24"/>
        </w:rPr>
        <w:t>ą</w:t>
      </w:r>
      <w:r w:rsidR="00E42B1F" w:rsidRPr="00DB356A">
        <w:rPr>
          <w:rFonts w:ascii="Times New Roman" w:hAnsi="Times New Roman"/>
          <w:szCs w:val="24"/>
        </w:rPr>
        <w:t>.</w:t>
      </w:r>
      <w:r w:rsidR="00E43F28" w:rsidRPr="00DB356A">
        <w:rPr>
          <w:rFonts w:ascii="Times New Roman" w:hAnsi="Times New Roman"/>
          <w:szCs w:val="24"/>
        </w:rPr>
        <w:t xml:space="preserve"> </w:t>
      </w:r>
      <w:r w:rsidR="00C51F33" w:rsidRPr="00DB356A">
        <w:rPr>
          <w:rFonts w:ascii="Times New Roman" w:hAnsi="Times New Roman"/>
          <w:szCs w:val="24"/>
        </w:rPr>
        <w:t>PGF</w:t>
      </w:r>
      <w:r w:rsidR="00BE710F" w:rsidRPr="00EA093A">
        <w:rPr>
          <w:rFonts w:ascii="Times New Roman" w:hAnsi="Times New Roman"/>
          <w:szCs w:val="24"/>
        </w:rPr>
        <w:t>2</w:t>
      </w:r>
      <w:r w:rsidR="00E43F28" w:rsidRPr="00DB356A">
        <w:rPr>
          <w:rFonts w:ascii="Times New Roman" w:hAnsi="Times New Roman"/>
          <w:szCs w:val="24"/>
        </w:rPr>
        <w:t xml:space="preserve"> priemonės valdytojas yra atsakingas užtikrinant, kad į </w:t>
      </w:r>
      <w:r w:rsidR="00DF51A8" w:rsidRPr="00DB356A">
        <w:rPr>
          <w:rFonts w:ascii="Times New Roman" w:hAnsi="Times New Roman"/>
          <w:szCs w:val="24"/>
        </w:rPr>
        <w:t>P</w:t>
      </w:r>
      <w:r w:rsidR="00E43F28" w:rsidRPr="00DB356A">
        <w:rPr>
          <w:rFonts w:ascii="Times New Roman" w:hAnsi="Times New Roman"/>
          <w:szCs w:val="24"/>
        </w:rPr>
        <w:t>ortfelį įtraukiam</w:t>
      </w:r>
      <w:r w:rsidR="00590DA4" w:rsidRPr="00DB356A">
        <w:rPr>
          <w:rFonts w:ascii="Times New Roman" w:hAnsi="Times New Roman"/>
          <w:szCs w:val="24"/>
        </w:rPr>
        <w:t>i</w:t>
      </w:r>
      <w:r w:rsidR="00E43F28" w:rsidRPr="00DB356A">
        <w:rPr>
          <w:rFonts w:ascii="Times New Roman" w:hAnsi="Times New Roman"/>
          <w:szCs w:val="24"/>
        </w:rPr>
        <w:t xml:space="preserve"> </w:t>
      </w:r>
      <w:r w:rsidRPr="00DB356A">
        <w:rPr>
          <w:rFonts w:ascii="Times New Roman" w:hAnsi="Times New Roman"/>
          <w:szCs w:val="24"/>
        </w:rPr>
        <w:t>Faktoringo sandori</w:t>
      </w:r>
      <w:r w:rsidR="00590DA4" w:rsidRPr="00DB356A">
        <w:rPr>
          <w:rFonts w:ascii="Times New Roman" w:hAnsi="Times New Roman"/>
          <w:szCs w:val="24"/>
        </w:rPr>
        <w:t>ai</w:t>
      </w:r>
      <w:r w:rsidR="00E43F28" w:rsidRPr="00DB356A">
        <w:rPr>
          <w:rFonts w:ascii="Times New Roman" w:hAnsi="Times New Roman"/>
          <w:szCs w:val="24"/>
        </w:rPr>
        <w:t xml:space="preserve"> </w:t>
      </w:r>
      <w:r w:rsidR="00590DA4" w:rsidRPr="00DB356A">
        <w:rPr>
          <w:rFonts w:ascii="Times New Roman" w:hAnsi="Times New Roman"/>
          <w:szCs w:val="24"/>
        </w:rPr>
        <w:t>būtų</w:t>
      </w:r>
      <w:r w:rsidR="00E43F28" w:rsidRPr="00DB356A">
        <w:rPr>
          <w:rFonts w:ascii="Times New Roman" w:hAnsi="Times New Roman"/>
          <w:szCs w:val="24"/>
        </w:rPr>
        <w:t xml:space="preserve"> suteikiam</w:t>
      </w:r>
      <w:r w:rsidR="00590DA4" w:rsidRPr="00DB356A">
        <w:rPr>
          <w:rFonts w:ascii="Times New Roman" w:hAnsi="Times New Roman"/>
          <w:szCs w:val="24"/>
        </w:rPr>
        <w:t>i</w:t>
      </w:r>
      <w:r w:rsidR="00E42B1F" w:rsidRPr="00DB356A">
        <w:rPr>
          <w:rFonts w:ascii="Times New Roman" w:hAnsi="Times New Roman"/>
          <w:szCs w:val="24"/>
        </w:rPr>
        <w:t xml:space="preserve"> </w:t>
      </w:r>
      <w:r w:rsidR="00E43F28" w:rsidRPr="00DB356A">
        <w:rPr>
          <w:rFonts w:ascii="Times New Roman" w:hAnsi="Times New Roman"/>
          <w:szCs w:val="24"/>
        </w:rPr>
        <w:t xml:space="preserve">atsižvelgiant į </w:t>
      </w:r>
      <w:r w:rsidR="00E42B1F" w:rsidRPr="00DB356A">
        <w:rPr>
          <w:rFonts w:ascii="Times New Roman" w:hAnsi="Times New Roman"/>
          <w:i/>
          <w:szCs w:val="24"/>
        </w:rPr>
        <w:t>De minimis</w:t>
      </w:r>
      <w:r w:rsidR="00E42B1F" w:rsidRPr="00DB356A">
        <w:rPr>
          <w:rFonts w:ascii="Times New Roman" w:hAnsi="Times New Roman"/>
          <w:szCs w:val="24"/>
        </w:rPr>
        <w:t xml:space="preserve"> reglamentą ir </w:t>
      </w:r>
      <w:r w:rsidR="00AB05CE">
        <w:rPr>
          <w:rFonts w:ascii="Times New Roman" w:hAnsi="Times New Roman"/>
          <w:szCs w:val="24"/>
        </w:rPr>
        <w:t>PGF2</w:t>
      </w:r>
      <w:r w:rsidR="00AB05CE" w:rsidRPr="000D2819">
        <w:rPr>
          <w:rFonts w:ascii="Times New Roman" w:hAnsi="Times New Roman"/>
          <w:szCs w:val="24"/>
        </w:rPr>
        <w:t xml:space="preserve"> priemonės schem</w:t>
      </w:r>
      <w:r w:rsidR="00AB05CE">
        <w:rPr>
          <w:rFonts w:ascii="Times New Roman" w:hAnsi="Times New Roman"/>
          <w:szCs w:val="24"/>
        </w:rPr>
        <w:t>ą</w:t>
      </w:r>
      <w:r w:rsidR="00657F46" w:rsidRPr="00DB356A">
        <w:rPr>
          <w:rFonts w:ascii="Times New Roman" w:hAnsi="Times New Roman"/>
          <w:szCs w:val="24"/>
        </w:rPr>
        <w:t>.</w:t>
      </w:r>
    </w:p>
    <w:p w14:paraId="0F82BA4A" w14:textId="465C6570" w:rsidR="004E3B8D" w:rsidRPr="00547226" w:rsidRDefault="00C51F33" w:rsidP="009B0EE1">
      <w:pPr>
        <w:numPr>
          <w:ilvl w:val="1"/>
          <w:numId w:val="10"/>
        </w:numPr>
        <w:tabs>
          <w:tab w:val="left" w:pos="567"/>
        </w:tabs>
        <w:spacing w:line="276" w:lineRule="auto"/>
        <w:ind w:left="-709" w:firstLine="709"/>
        <w:jc w:val="both"/>
        <w:rPr>
          <w:rFonts w:ascii="Times New Roman" w:hAnsi="Times New Roman"/>
          <w:szCs w:val="24"/>
        </w:rPr>
      </w:pPr>
      <w:r w:rsidRPr="00DB356A">
        <w:rPr>
          <w:rFonts w:ascii="Times New Roman" w:hAnsi="Times New Roman"/>
          <w:szCs w:val="24"/>
        </w:rPr>
        <w:t>PGF</w:t>
      </w:r>
      <w:r w:rsidR="00BE710F">
        <w:rPr>
          <w:rFonts w:ascii="Times New Roman" w:hAnsi="Times New Roman"/>
          <w:szCs w:val="24"/>
        </w:rPr>
        <w:t>2</w:t>
      </w:r>
      <w:r w:rsidR="00E43F28" w:rsidRPr="00DB356A">
        <w:rPr>
          <w:rFonts w:ascii="Times New Roman" w:hAnsi="Times New Roman"/>
          <w:szCs w:val="24"/>
        </w:rPr>
        <w:t xml:space="preserve"> priemonės valdytojas yra atsakingas už </w:t>
      </w:r>
      <w:r w:rsidR="00E43F28" w:rsidRPr="00DB356A">
        <w:rPr>
          <w:rFonts w:ascii="Times New Roman" w:hAnsi="Times New Roman"/>
          <w:i/>
          <w:szCs w:val="24"/>
        </w:rPr>
        <w:t>de minimis</w:t>
      </w:r>
      <w:r w:rsidR="00E43F28" w:rsidRPr="00DB356A">
        <w:rPr>
          <w:rFonts w:ascii="Times New Roman" w:hAnsi="Times New Roman"/>
          <w:szCs w:val="24"/>
        </w:rPr>
        <w:t xml:space="preserve"> pagalbos </w:t>
      </w:r>
      <w:r w:rsidR="00F21757" w:rsidRPr="00DB356A">
        <w:rPr>
          <w:rFonts w:ascii="Times New Roman" w:hAnsi="Times New Roman"/>
          <w:szCs w:val="24"/>
        </w:rPr>
        <w:t xml:space="preserve">Faktoringo </w:t>
      </w:r>
      <w:r w:rsidR="002E4349" w:rsidRPr="00DB356A">
        <w:rPr>
          <w:rFonts w:ascii="Times New Roman" w:hAnsi="Times New Roman"/>
          <w:szCs w:val="24"/>
        </w:rPr>
        <w:t>gavėjui</w:t>
      </w:r>
      <w:r w:rsidR="00E43F28" w:rsidRPr="00DB356A">
        <w:rPr>
          <w:rFonts w:ascii="Times New Roman" w:hAnsi="Times New Roman"/>
          <w:szCs w:val="24"/>
        </w:rPr>
        <w:t xml:space="preserve"> skaičiavimą ir registravimą</w:t>
      </w:r>
      <w:r w:rsidR="00C040BC" w:rsidRPr="00DB356A">
        <w:rPr>
          <w:rFonts w:ascii="Times New Roman" w:hAnsi="Times New Roman"/>
          <w:szCs w:val="24"/>
        </w:rPr>
        <w:t xml:space="preserve"> Suteiktos valstybės pagalbos </w:t>
      </w:r>
      <w:r w:rsidR="00C040BC" w:rsidRPr="00547226">
        <w:rPr>
          <w:rFonts w:ascii="Times New Roman" w:hAnsi="Times New Roman"/>
          <w:szCs w:val="24"/>
        </w:rPr>
        <w:t>registre</w:t>
      </w:r>
      <w:r w:rsidR="00B60320" w:rsidRPr="00547226">
        <w:rPr>
          <w:rFonts w:ascii="Times New Roman" w:hAnsi="Times New Roman"/>
          <w:szCs w:val="24"/>
        </w:rPr>
        <w:t>.</w:t>
      </w:r>
    </w:p>
    <w:p w14:paraId="76A80EA7" w14:textId="02C3A1C9" w:rsidR="004E3B8D" w:rsidRPr="00465DD0" w:rsidRDefault="00C51F33" w:rsidP="009B0EE1">
      <w:pPr>
        <w:numPr>
          <w:ilvl w:val="1"/>
          <w:numId w:val="10"/>
        </w:numPr>
        <w:tabs>
          <w:tab w:val="left" w:pos="567"/>
        </w:tabs>
        <w:spacing w:line="276" w:lineRule="auto"/>
        <w:ind w:left="-709" w:firstLine="709"/>
        <w:jc w:val="both"/>
        <w:rPr>
          <w:rFonts w:ascii="Times New Roman" w:hAnsi="Times New Roman"/>
          <w:szCs w:val="24"/>
        </w:rPr>
      </w:pPr>
      <w:r w:rsidRPr="00B74645">
        <w:rPr>
          <w:rFonts w:ascii="Times New Roman" w:hAnsi="Times New Roman"/>
          <w:szCs w:val="24"/>
        </w:rPr>
        <w:t>PGF</w:t>
      </w:r>
      <w:r w:rsidR="00547226" w:rsidRPr="00B74645">
        <w:rPr>
          <w:rFonts w:ascii="Times New Roman" w:hAnsi="Times New Roman"/>
          <w:szCs w:val="24"/>
        </w:rPr>
        <w:t>2</w:t>
      </w:r>
      <w:r w:rsidR="00D956B7" w:rsidRPr="00B74645">
        <w:rPr>
          <w:rFonts w:ascii="Times New Roman" w:hAnsi="Times New Roman"/>
          <w:szCs w:val="24"/>
        </w:rPr>
        <w:t xml:space="preserve"> priemonės valdytojas</w:t>
      </w:r>
      <w:r w:rsidR="002E4349" w:rsidRPr="00B74645">
        <w:rPr>
          <w:rFonts w:ascii="Times New Roman" w:hAnsi="Times New Roman"/>
          <w:szCs w:val="24"/>
        </w:rPr>
        <w:t xml:space="preserve"> iki pirmo</w:t>
      </w:r>
      <w:r w:rsidR="003268F3" w:rsidRPr="00B74645">
        <w:rPr>
          <w:rFonts w:ascii="Times New Roman" w:hAnsi="Times New Roman"/>
          <w:szCs w:val="24"/>
        </w:rPr>
        <w:t>s</w:t>
      </w:r>
      <w:r w:rsidR="002E4349" w:rsidRPr="00B74645">
        <w:rPr>
          <w:rFonts w:ascii="Times New Roman" w:hAnsi="Times New Roman"/>
          <w:szCs w:val="24"/>
        </w:rPr>
        <w:t xml:space="preserve"> </w:t>
      </w:r>
      <w:r w:rsidR="00F21757" w:rsidRPr="00B74645">
        <w:rPr>
          <w:rFonts w:ascii="Times New Roman" w:hAnsi="Times New Roman"/>
          <w:szCs w:val="24"/>
        </w:rPr>
        <w:t xml:space="preserve">Faktoringo </w:t>
      </w:r>
      <w:r w:rsidR="002E4349" w:rsidRPr="00B74645">
        <w:rPr>
          <w:rFonts w:ascii="Times New Roman" w:hAnsi="Times New Roman"/>
          <w:szCs w:val="24"/>
        </w:rPr>
        <w:t>sutarties</w:t>
      </w:r>
      <w:r w:rsidR="00AE124F" w:rsidRPr="00B74645">
        <w:rPr>
          <w:rFonts w:ascii="Times New Roman" w:hAnsi="Times New Roman"/>
          <w:szCs w:val="24"/>
        </w:rPr>
        <w:t xml:space="preserve"> </w:t>
      </w:r>
      <w:r w:rsidR="002E4349" w:rsidRPr="00B74645">
        <w:rPr>
          <w:rFonts w:ascii="Times New Roman" w:hAnsi="Times New Roman"/>
          <w:szCs w:val="24"/>
        </w:rPr>
        <w:t>pasirašymo dienos</w:t>
      </w:r>
      <w:r w:rsidR="00D956B7" w:rsidRPr="00B74645">
        <w:rPr>
          <w:rFonts w:ascii="Times New Roman" w:hAnsi="Times New Roman"/>
          <w:szCs w:val="24"/>
        </w:rPr>
        <w:t xml:space="preserve"> turi su Lietuvos Respublikos </w:t>
      </w:r>
      <w:r w:rsidR="00D956B7" w:rsidRPr="00465DD0">
        <w:rPr>
          <w:rFonts w:ascii="Times New Roman" w:hAnsi="Times New Roman"/>
          <w:szCs w:val="24"/>
        </w:rPr>
        <w:t>konkurencijos taryba pasirašyti Duomenų teikimo sutartį ir tapti Suteiktos valstybės pagalbos registro pagalbos teikėju bei pateikti Duomenų teikimo sutarties kopiją „Invegai“.</w:t>
      </w:r>
    </w:p>
    <w:p w14:paraId="65F4A301" w14:textId="5429AF86" w:rsidR="004E3B8D" w:rsidRPr="00A72E21" w:rsidRDefault="00C51F33" w:rsidP="009B0EE1">
      <w:pPr>
        <w:numPr>
          <w:ilvl w:val="1"/>
          <w:numId w:val="10"/>
        </w:numPr>
        <w:tabs>
          <w:tab w:val="left" w:pos="567"/>
        </w:tabs>
        <w:spacing w:line="276" w:lineRule="auto"/>
        <w:ind w:left="-709" w:firstLine="709"/>
        <w:jc w:val="both"/>
        <w:rPr>
          <w:rFonts w:ascii="Times New Roman" w:hAnsi="Times New Roman"/>
          <w:szCs w:val="24"/>
        </w:rPr>
      </w:pPr>
      <w:r w:rsidRPr="00465DD0">
        <w:rPr>
          <w:rFonts w:ascii="Times New Roman" w:hAnsi="Times New Roman"/>
          <w:szCs w:val="24"/>
        </w:rPr>
        <w:t>PGF</w:t>
      </w:r>
      <w:r w:rsidR="00B74645" w:rsidRPr="00465DD0">
        <w:rPr>
          <w:rFonts w:ascii="Times New Roman" w:hAnsi="Times New Roman"/>
          <w:szCs w:val="24"/>
        </w:rPr>
        <w:t>2</w:t>
      </w:r>
      <w:r w:rsidR="00D956B7" w:rsidRPr="00465DD0">
        <w:rPr>
          <w:rFonts w:ascii="Times New Roman" w:hAnsi="Times New Roman"/>
          <w:szCs w:val="24"/>
        </w:rPr>
        <w:t xml:space="preserve"> priemonės valdytojas </w:t>
      </w:r>
      <w:r w:rsidR="002E4349" w:rsidRPr="00465DD0">
        <w:rPr>
          <w:rFonts w:ascii="Times New Roman" w:hAnsi="Times New Roman"/>
          <w:szCs w:val="24"/>
        </w:rPr>
        <w:t>iki pirmo</w:t>
      </w:r>
      <w:r w:rsidR="003268F3" w:rsidRPr="00465DD0">
        <w:rPr>
          <w:rFonts w:ascii="Times New Roman" w:hAnsi="Times New Roman"/>
          <w:szCs w:val="24"/>
        </w:rPr>
        <w:t>s</w:t>
      </w:r>
      <w:r w:rsidR="002E4349" w:rsidRPr="00465DD0">
        <w:rPr>
          <w:rFonts w:ascii="Times New Roman" w:hAnsi="Times New Roman"/>
          <w:szCs w:val="24"/>
        </w:rPr>
        <w:t xml:space="preserve"> </w:t>
      </w:r>
      <w:r w:rsidR="00F21757" w:rsidRPr="00465DD0">
        <w:rPr>
          <w:rFonts w:ascii="Times New Roman" w:hAnsi="Times New Roman"/>
          <w:szCs w:val="24"/>
        </w:rPr>
        <w:t xml:space="preserve">Faktoringo </w:t>
      </w:r>
      <w:r w:rsidR="003268F3" w:rsidRPr="00465DD0">
        <w:rPr>
          <w:rFonts w:ascii="Times New Roman" w:hAnsi="Times New Roman"/>
          <w:szCs w:val="24"/>
        </w:rPr>
        <w:t xml:space="preserve">sutarties </w:t>
      </w:r>
      <w:r w:rsidR="002E4349" w:rsidRPr="00465DD0">
        <w:rPr>
          <w:rFonts w:ascii="Times New Roman" w:hAnsi="Times New Roman"/>
          <w:szCs w:val="24"/>
        </w:rPr>
        <w:t>pasirašymo</w:t>
      </w:r>
      <w:r w:rsidR="00AE124F" w:rsidRPr="00465DD0">
        <w:rPr>
          <w:rFonts w:ascii="Times New Roman" w:hAnsi="Times New Roman"/>
          <w:szCs w:val="24"/>
        </w:rPr>
        <w:t xml:space="preserve"> </w:t>
      </w:r>
      <w:r w:rsidR="002E4349" w:rsidRPr="00465DD0">
        <w:rPr>
          <w:rFonts w:ascii="Times New Roman" w:hAnsi="Times New Roman"/>
          <w:szCs w:val="24"/>
        </w:rPr>
        <w:t xml:space="preserve">dienos </w:t>
      </w:r>
      <w:r w:rsidR="00D956B7" w:rsidRPr="00465DD0">
        <w:rPr>
          <w:rFonts w:ascii="Times New Roman" w:hAnsi="Times New Roman"/>
          <w:szCs w:val="24"/>
        </w:rPr>
        <w:t xml:space="preserve">turi pasirengti ir pasitvirtinti </w:t>
      </w:r>
      <w:r w:rsidR="00D956B7" w:rsidRPr="00A72E21">
        <w:rPr>
          <w:rFonts w:ascii="Times New Roman" w:hAnsi="Times New Roman"/>
          <w:i/>
          <w:szCs w:val="24"/>
        </w:rPr>
        <w:t>de minimis</w:t>
      </w:r>
      <w:r w:rsidR="00D956B7" w:rsidRPr="00A72E21">
        <w:rPr>
          <w:rFonts w:ascii="Times New Roman" w:hAnsi="Times New Roman"/>
          <w:szCs w:val="24"/>
        </w:rPr>
        <w:t xml:space="preserve"> pagalbos apskaičiavimo, suteikimo ir registravimo Suteiktos valstybės pagalbos registre tvarkos aprašą ir jo kopiją pateikti „Invegai“.</w:t>
      </w:r>
    </w:p>
    <w:p w14:paraId="39FF0CD1" w14:textId="6B3036F2" w:rsidR="004E3B8D" w:rsidRPr="00A72E21" w:rsidRDefault="00C51F33" w:rsidP="009B0EE1">
      <w:pPr>
        <w:numPr>
          <w:ilvl w:val="1"/>
          <w:numId w:val="10"/>
        </w:numPr>
        <w:tabs>
          <w:tab w:val="left" w:pos="567"/>
        </w:tabs>
        <w:spacing w:line="276" w:lineRule="auto"/>
        <w:ind w:left="-709" w:firstLine="709"/>
        <w:jc w:val="both"/>
        <w:rPr>
          <w:rFonts w:ascii="Times New Roman" w:hAnsi="Times New Roman"/>
          <w:szCs w:val="24"/>
        </w:rPr>
      </w:pPr>
      <w:r w:rsidRPr="00A72E21">
        <w:rPr>
          <w:rFonts w:ascii="Times New Roman" w:hAnsi="Times New Roman"/>
          <w:szCs w:val="24"/>
        </w:rPr>
        <w:t>PGF</w:t>
      </w:r>
      <w:r w:rsidR="00A72E21" w:rsidRPr="00A72E21">
        <w:rPr>
          <w:rFonts w:ascii="Times New Roman" w:hAnsi="Times New Roman"/>
          <w:szCs w:val="24"/>
        </w:rPr>
        <w:t>2</w:t>
      </w:r>
      <w:r w:rsidR="00D956B7" w:rsidRPr="00A72E21">
        <w:rPr>
          <w:rFonts w:ascii="Times New Roman" w:hAnsi="Times New Roman"/>
          <w:szCs w:val="24"/>
        </w:rPr>
        <w:t xml:space="preserve"> priemonės valdytojo su </w:t>
      </w:r>
      <w:r w:rsidR="00F21757" w:rsidRPr="00A72E21">
        <w:rPr>
          <w:rFonts w:ascii="Times New Roman" w:hAnsi="Times New Roman"/>
          <w:szCs w:val="24"/>
        </w:rPr>
        <w:t xml:space="preserve">Faktoringo </w:t>
      </w:r>
      <w:r w:rsidR="00D956B7" w:rsidRPr="00A72E21">
        <w:rPr>
          <w:rFonts w:ascii="Times New Roman" w:hAnsi="Times New Roman"/>
          <w:szCs w:val="24"/>
        </w:rPr>
        <w:t>gavėju sudaromo</w:t>
      </w:r>
      <w:r w:rsidR="00C36503" w:rsidRPr="00A72E21">
        <w:rPr>
          <w:rFonts w:ascii="Times New Roman" w:hAnsi="Times New Roman"/>
          <w:szCs w:val="24"/>
        </w:rPr>
        <w:t>j</w:t>
      </w:r>
      <w:r w:rsidR="00D956B7" w:rsidRPr="00A72E21">
        <w:rPr>
          <w:rFonts w:ascii="Times New Roman" w:hAnsi="Times New Roman"/>
          <w:szCs w:val="24"/>
        </w:rPr>
        <w:t xml:space="preserve">e </w:t>
      </w:r>
      <w:r w:rsidR="00DB48CB" w:rsidRPr="00A72E21">
        <w:rPr>
          <w:rFonts w:ascii="Times New Roman" w:hAnsi="Times New Roman"/>
          <w:szCs w:val="24"/>
        </w:rPr>
        <w:t>Faktoringo</w:t>
      </w:r>
      <w:r w:rsidR="00D956B7" w:rsidRPr="00A72E21">
        <w:rPr>
          <w:rFonts w:ascii="Times New Roman" w:hAnsi="Times New Roman"/>
          <w:szCs w:val="24"/>
        </w:rPr>
        <w:t xml:space="preserve"> sutarty</w:t>
      </w:r>
      <w:r w:rsidR="00C36503" w:rsidRPr="00A72E21">
        <w:rPr>
          <w:rFonts w:ascii="Times New Roman" w:hAnsi="Times New Roman"/>
          <w:szCs w:val="24"/>
        </w:rPr>
        <w:t>je</w:t>
      </w:r>
      <w:r w:rsidR="00D956B7" w:rsidRPr="00A72E21">
        <w:rPr>
          <w:rFonts w:ascii="Times New Roman" w:hAnsi="Times New Roman"/>
          <w:szCs w:val="24"/>
        </w:rPr>
        <w:t xml:space="preserve"> turi būti nuostata, informuojanti </w:t>
      </w:r>
      <w:r w:rsidR="00F21757" w:rsidRPr="00A72E21">
        <w:rPr>
          <w:rFonts w:ascii="Times New Roman" w:hAnsi="Times New Roman"/>
          <w:szCs w:val="24"/>
        </w:rPr>
        <w:t>Faktoringo</w:t>
      </w:r>
      <w:r w:rsidR="00D956B7" w:rsidRPr="00A72E21">
        <w:rPr>
          <w:rFonts w:ascii="Times New Roman" w:hAnsi="Times New Roman"/>
          <w:szCs w:val="24"/>
        </w:rPr>
        <w:t xml:space="preserve"> gavėją, kad </w:t>
      </w:r>
      <w:r w:rsidR="00BE1664" w:rsidRPr="00A72E21">
        <w:rPr>
          <w:rFonts w:ascii="Times New Roman" w:hAnsi="Times New Roman"/>
          <w:szCs w:val="24"/>
        </w:rPr>
        <w:t>Faktoringo sandoris</w:t>
      </w:r>
      <w:r w:rsidR="00D956B7" w:rsidRPr="00A72E21">
        <w:rPr>
          <w:rFonts w:ascii="Times New Roman" w:hAnsi="Times New Roman"/>
          <w:szCs w:val="24"/>
        </w:rPr>
        <w:t xml:space="preserve"> yra suteikiama</w:t>
      </w:r>
      <w:r w:rsidR="00C04962" w:rsidRPr="00A72E21">
        <w:rPr>
          <w:rFonts w:ascii="Times New Roman" w:hAnsi="Times New Roman"/>
          <w:szCs w:val="24"/>
        </w:rPr>
        <w:t>s</w:t>
      </w:r>
      <w:r w:rsidR="00D956B7" w:rsidRPr="00A72E21">
        <w:rPr>
          <w:rFonts w:ascii="Times New Roman" w:hAnsi="Times New Roman"/>
          <w:szCs w:val="24"/>
        </w:rPr>
        <w:t xml:space="preserve"> su </w:t>
      </w:r>
      <w:r w:rsidR="00D956B7" w:rsidRPr="00A72E21">
        <w:rPr>
          <w:rFonts w:ascii="Times New Roman" w:hAnsi="Times New Roman"/>
          <w:i/>
          <w:szCs w:val="24"/>
        </w:rPr>
        <w:t>de minimis</w:t>
      </w:r>
      <w:r w:rsidR="00D956B7" w:rsidRPr="00A72E21">
        <w:rPr>
          <w:rFonts w:ascii="Times New Roman" w:hAnsi="Times New Roman"/>
          <w:szCs w:val="24"/>
        </w:rPr>
        <w:t xml:space="preserve"> pagalba.</w:t>
      </w:r>
    </w:p>
    <w:p w14:paraId="2A0E1D0E" w14:textId="6337276F" w:rsidR="00D956B7" w:rsidRPr="00A72E21" w:rsidRDefault="00D956B7" w:rsidP="009B0EE1">
      <w:pPr>
        <w:numPr>
          <w:ilvl w:val="1"/>
          <w:numId w:val="10"/>
        </w:numPr>
        <w:tabs>
          <w:tab w:val="left" w:pos="567"/>
        </w:tabs>
        <w:spacing w:line="276" w:lineRule="auto"/>
        <w:ind w:left="-709" w:firstLine="709"/>
        <w:jc w:val="both"/>
        <w:rPr>
          <w:rFonts w:ascii="Times New Roman" w:hAnsi="Times New Roman"/>
          <w:szCs w:val="24"/>
        </w:rPr>
      </w:pPr>
      <w:r w:rsidRPr="00A72E21">
        <w:rPr>
          <w:rFonts w:ascii="Times New Roman" w:hAnsi="Times New Roman"/>
          <w:szCs w:val="24"/>
        </w:rPr>
        <w:t xml:space="preserve">Teikiant </w:t>
      </w:r>
      <w:r w:rsidRPr="00A72E21">
        <w:rPr>
          <w:rFonts w:ascii="Times New Roman" w:hAnsi="Times New Roman"/>
          <w:i/>
          <w:szCs w:val="24"/>
        </w:rPr>
        <w:t>de minimis</w:t>
      </w:r>
      <w:r w:rsidRPr="00A72E21">
        <w:rPr>
          <w:rFonts w:ascii="Times New Roman" w:hAnsi="Times New Roman"/>
          <w:szCs w:val="24"/>
        </w:rPr>
        <w:t xml:space="preserve"> pagalbą turi būti įsitikinama, ar </w:t>
      </w:r>
      <w:r w:rsidR="00601B90" w:rsidRPr="00A72E21">
        <w:rPr>
          <w:rFonts w:ascii="Times New Roman" w:hAnsi="Times New Roman"/>
          <w:szCs w:val="24"/>
        </w:rPr>
        <w:t>MVĮ</w:t>
      </w:r>
      <w:r w:rsidRPr="00A72E21">
        <w:rPr>
          <w:rFonts w:ascii="Times New Roman" w:hAnsi="Times New Roman"/>
          <w:szCs w:val="24"/>
        </w:rPr>
        <w:t xml:space="preserve"> netaikoma kolektyvinė nemokumo procedūra ir</w:t>
      </w:r>
      <w:r w:rsidR="00C36503" w:rsidRPr="00A72E21">
        <w:rPr>
          <w:rFonts w:ascii="Times New Roman" w:hAnsi="Times New Roman"/>
          <w:szCs w:val="24"/>
        </w:rPr>
        <w:t xml:space="preserve"> ar </w:t>
      </w:r>
      <w:r w:rsidRPr="00A72E21">
        <w:rPr>
          <w:rFonts w:ascii="Times New Roman" w:hAnsi="Times New Roman"/>
          <w:szCs w:val="24"/>
        </w:rPr>
        <w:t xml:space="preserve">jis neatitinka nacionalinės teisės kriterijų, pagal kuriuos kreditorių prašymu jam būtų taikoma kolektyvinė nemokumo procedūra, kaip nustatyta </w:t>
      </w:r>
      <w:r w:rsidRPr="00A72E21">
        <w:rPr>
          <w:rFonts w:ascii="Times New Roman" w:hAnsi="Times New Roman"/>
          <w:i/>
          <w:szCs w:val="24"/>
        </w:rPr>
        <w:t xml:space="preserve">De minimis </w:t>
      </w:r>
      <w:r w:rsidRPr="00A72E21">
        <w:rPr>
          <w:rFonts w:ascii="Times New Roman" w:hAnsi="Times New Roman"/>
          <w:szCs w:val="24"/>
        </w:rPr>
        <w:t>reglamento 4</w:t>
      </w:r>
      <w:r w:rsidR="00C04962" w:rsidRPr="00A72E21">
        <w:rPr>
          <w:rFonts w:ascii="Times New Roman" w:hAnsi="Times New Roman"/>
          <w:szCs w:val="24"/>
        </w:rPr>
        <w:t> </w:t>
      </w:r>
      <w:r w:rsidRPr="00A72E21">
        <w:rPr>
          <w:rFonts w:ascii="Times New Roman" w:hAnsi="Times New Roman"/>
          <w:szCs w:val="24"/>
        </w:rPr>
        <w:t xml:space="preserve"> straipsnio 6 dalies a punkte.</w:t>
      </w:r>
    </w:p>
    <w:p w14:paraId="51EDD440" w14:textId="77777777" w:rsidR="00AE69B8" w:rsidRPr="00B2687D" w:rsidRDefault="00AE69B8" w:rsidP="009B0EE1">
      <w:pPr>
        <w:spacing w:line="276" w:lineRule="auto"/>
        <w:ind w:left="-709" w:firstLine="709"/>
        <w:jc w:val="both"/>
        <w:rPr>
          <w:rFonts w:ascii="Times New Roman" w:hAnsi="Times New Roman"/>
          <w:caps/>
          <w:szCs w:val="24"/>
        </w:rPr>
      </w:pPr>
    </w:p>
    <w:p w14:paraId="68143A34" w14:textId="60ADA162" w:rsidR="00B03B2B" w:rsidRPr="00195BB1" w:rsidRDefault="00B03B2B" w:rsidP="009B0EE1">
      <w:pPr>
        <w:spacing w:line="276" w:lineRule="auto"/>
        <w:ind w:left="-709" w:firstLine="709"/>
        <w:jc w:val="center"/>
        <w:rPr>
          <w:rFonts w:ascii="Times New Roman" w:hAnsi="Times New Roman"/>
          <w:b/>
          <w:caps/>
          <w:szCs w:val="24"/>
        </w:rPr>
      </w:pPr>
      <w:r w:rsidRPr="00195BB1">
        <w:rPr>
          <w:rFonts w:ascii="Times New Roman" w:hAnsi="Times New Roman"/>
          <w:b/>
          <w:caps/>
          <w:szCs w:val="24"/>
        </w:rPr>
        <w:t>X SKYRIUS. SUTARTIES ĮSIGALIOJIMAS IR NUTRAUKIMAS</w:t>
      </w:r>
    </w:p>
    <w:p w14:paraId="6B09CFC1" w14:textId="77777777" w:rsidR="00B03B2B" w:rsidRPr="00630D22" w:rsidRDefault="00B03B2B" w:rsidP="009B0EE1">
      <w:pPr>
        <w:spacing w:line="276" w:lineRule="auto"/>
        <w:ind w:left="-709" w:firstLine="709"/>
        <w:jc w:val="both"/>
        <w:rPr>
          <w:rFonts w:ascii="Times New Roman" w:hAnsi="Times New Roman"/>
          <w:caps/>
          <w:szCs w:val="24"/>
        </w:rPr>
      </w:pPr>
    </w:p>
    <w:p w14:paraId="7E5DE518" w14:textId="64BD0AFF" w:rsidR="004E3B8D" w:rsidRPr="00630D22" w:rsidRDefault="00B03B2B" w:rsidP="009B0EE1">
      <w:pPr>
        <w:pStyle w:val="ListParagraph"/>
        <w:numPr>
          <w:ilvl w:val="1"/>
          <w:numId w:val="11"/>
        </w:numPr>
        <w:tabs>
          <w:tab w:val="left" w:pos="567"/>
        </w:tabs>
        <w:spacing w:after="0"/>
        <w:ind w:left="-709" w:firstLine="709"/>
        <w:jc w:val="both"/>
        <w:rPr>
          <w:sz w:val="24"/>
          <w:szCs w:val="24"/>
          <w:lang w:val="lt-LT"/>
        </w:rPr>
      </w:pPr>
      <w:r w:rsidRPr="00630D22">
        <w:rPr>
          <w:sz w:val="24"/>
          <w:szCs w:val="24"/>
          <w:lang w:val="lt-LT"/>
        </w:rPr>
        <w:t xml:space="preserve">Sutartis įsigalioja nuo Sutarties pasirašymo </w:t>
      </w:r>
      <w:r w:rsidR="003E3128" w:rsidRPr="00630D22">
        <w:rPr>
          <w:sz w:val="24"/>
          <w:szCs w:val="24"/>
          <w:lang w:val="lt-LT"/>
        </w:rPr>
        <w:t xml:space="preserve">momento </w:t>
      </w:r>
      <w:r w:rsidRPr="00630D22">
        <w:rPr>
          <w:sz w:val="24"/>
          <w:szCs w:val="24"/>
          <w:lang w:val="lt-LT"/>
        </w:rPr>
        <w:t xml:space="preserve">ir galioja iki </w:t>
      </w:r>
      <w:r w:rsidR="003921CE" w:rsidRPr="00630D22">
        <w:rPr>
          <w:sz w:val="24"/>
          <w:szCs w:val="24"/>
          <w:lang w:val="lt-LT"/>
        </w:rPr>
        <w:t>Sutarties pasibaigimo datos, išskyrus atvejus, kai</w:t>
      </w:r>
      <w:r w:rsidR="00BF693D" w:rsidRPr="00630D22">
        <w:rPr>
          <w:sz w:val="24"/>
          <w:szCs w:val="24"/>
          <w:lang w:val="lt-LT"/>
        </w:rPr>
        <w:t xml:space="preserve"> Sutartis </w:t>
      </w:r>
      <w:r w:rsidR="003E3128" w:rsidRPr="00630D22">
        <w:rPr>
          <w:sz w:val="24"/>
          <w:szCs w:val="24"/>
          <w:lang w:val="lt-LT"/>
        </w:rPr>
        <w:t>yra nutraukiama</w:t>
      </w:r>
      <w:r w:rsidR="00BF693D" w:rsidRPr="00630D22">
        <w:rPr>
          <w:sz w:val="24"/>
          <w:szCs w:val="24"/>
          <w:lang w:val="lt-LT"/>
        </w:rPr>
        <w:t xml:space="preserve"> anksčiau laiko arba Sutartis yra pratęsiama</w:t>
      </w:r>
      <w:r w:rsidR="00F178B8">
        <w:rPr>
          <w:sz w:val="24"/>
          <w:szCs w:val="24"/>
          <w:lang w:val="lt-LT"/>
        </w:rPr>
        <w:t>.</w:t>
      </w:r>
    </w:p>
    <w:p w14:paraId="3EA08CAB" w14:textId="478719D6" w:rsidR="004E3B8D" w:rsidRPr="00627BF9" w:rsidRDefault="006D0054" w:rsidP="009B0EE1">
      <w:pPr>
        <w:pStyle w:val="ListParagraph"/>
        <w:numPr>
          <w:ilvl w:val="1"/>
          <w:numId w:val="11"/>
        </w:numPr>
        <w:tabs>
          <w:tab w:val="left" w:pos="567"/>
        </w:tabs>
        <w:spacing w:after="0"/>
        <w:ind w:left="-709" w:firstLine="709"/>
        <w:jc w:val="both"/>
        <w:rPr>
          <w:sz w:val="24"/>
          <w:szCs w:val="24"/>
          <w:lang w:val="lt-LT"/>
        </w:rPr>
      </w:pPr>
      <w:r w:rsidRPr="002D7006">
        <w:rPr>
          <w:sz w:val="24"/>
          <w:szCs w:val="24"/>
          <w:lang w:val="lt-LT"/>
        </w:rPr>
        <w:t>Šalys</w:t>
      </w:r>
      <w:r w:rsidR="002D0433" w:rsidRPr="002D7006">
        <w:rPr>
          <w:sz w:val="24"/>
          <w:szCs w:val="24"/>
          <w:lang w:val="lt-LT"/>
        </w:rPr>
        <w:t xml:space="preserve"> </w:t>
      </w:r>
      <w:r w:rsidR="009035B0" w:rsidRPr="002D7006">
        <w:rPr>
          <w:sz w:val="24"/>
          <w:szCs w:val="24"/>
          <w:lang w:val="lt-LT"/>
        </w:rPr>
        <w:t xml:space="preserve">atsako už Sutartyje nustatytų įsipareigojimų nevykdymą ar netinkamą vykdymą. </w:t>
      </w:r>
      <w:r w:rsidRPr="002D7006">
        <w:rPr>
          <w:sz w:val="24"/>
          <w:szCs w:val="24"/>
          <w:lang w:val="lt-LT"/>
        </w:rPr>
        <w:t xml:space="preserve">Vienai </w:t>
      </w:r>
      <w:r w:rsidRPr="00627BF9">
        <w:rPr>
          <w:sz w:val="24"/>
          <w:szCs w:val="24"/>
          <w:lang w:val="lt-LT"/>
        </w:rPr>
        <w:t>Šaliai nevykdant arba netinkamai vykdant įsipareigojimus, nustatytus Sutarties III</w:t>
      </w:r>
      <w:r w:rsidR="003E3128" w:rsidRPr="00627BF9">
        <w:rPr>
          <w:sz w:val="24"/>
          <w:szCs w:val="24"/>
          <w:lang w:val="lt-LT"/>
        </w:rPr>
        <w:t xml:space="preserve"> </w:t>
      </w:r>
      <w:r w:rsidRPr="00627BF9">
        <w:rPr>
          <w:sz w:val="24"/>
          <w:szCs w:val="24"/>
          <w:lang w:val="lt-LT"/>
        </w:rPr>
        <w:t>skyriuje, kita Šalis Sutartyje nustatyta tvarka gali inicijuoti Sutarties nutraukimą.</w:t>
      </w:r>
    </w:p>
    <w:p w14:paraId="598FF75D" w14:textId="304140AF" w:rsidR="00CA6054" w:rsidRPr="00A40A3D" w:rsidRDefault="00CA6054" w:rsidP="009B0EE1">
      <w:pPr>
        <w:pStyle w:val="ListParagraph"/>
        <w:numPr>
          <w:ilvl w:val="1"/>
          <w:numId w:val="11"/>
        </w:numPr>
        <w:tabs>
          <w:tab w:val="left" w:pos="567"/>
        </w:tabs>
        <w:spacing w:after="0"/>
        <w:ind w:left="-709" w:firstLine="709"/>
        <w:jc w:val="both"/>
        <w:rPr>
          <w:sz w:val="24"/>
          <w:szCs w:val="24"/>
          <w:lang w:val="lt-LT"/>
        </w:rPr>
      </w:pPr>
      <w:r w:rsidRPr="00A40A3D">
        <w:rPr>
          <w:sz w:val="24"/>
          <w:szCs w:val="24"/>
          <w:lang w:val="lt-LT"/>
        </w:rPr>
        <w:t>Sutartis anksčiau laiko gali būti nutraukiama:</w:t>
      </w:r>
    </w:p>
    <w:p w14:paraId="306FE707" w14:textId="68ECD8A9" w:rsidR="00CA6054" w:rsidRPr="00BD610C" w:rsidRDefault="00CA6054" w:rsidP="009B0EE1">
      <w:pPr>
        <w:pStyle w:val="ListParagraph"/>
        <w:numPr>
          <w:ilvl w:val="2"/>
          <w:numId w:val="11"/>
        </w:numPr>
        <w:tabs>
          <w:tab w:val="left" w:pos="851"/>
        </w:tabs>
        <w:spacing w:after="0"/>
        <w:ind w:left="-709" w:firstLine="709"/>
        <w:jc w:val="both"/>
        <w:rPr>
          <w:sz w:val="24"/>
          <w:szCs w:val="24"/>
          <w:lang w:val="lt-LT"/>
        </w:rPr>
      </w:pPr>
      <w:r w:rsidRPr="00A40A3D">
        <w:rPr>
          <w:sz w:val="24"/>
          <w:szCs w:val="24"/>
          <w:lang w:val="lt-LT"/>
        </w:rPr>
        <w:t xml:space="preserve">dėl esminio pažeidimo </w:t>
      </w:r>
      <w:r w:rsidR="00C51F33" w:rsidRPr="00A40A3D">
        <w:rPr>
          <w:sz w:val="24"/>
          <w:szCs w:val="24"/>
          <w:lang w:val="lt-LT"/>
        </w:rPr>
        <w:t>PGF</w:t>
      </w:r>
      <w:r w:rsidR="00A40A3D" w:rsidRPr="00A40A3D">
        <w:rPr>
          <w:sz w:val="24"/>
          <w:szCs w:val="24"/>
          <w:lang w:val="lt-LT"/>
        </w:rPr>
        <w:t>2</w:t>
      </w:r>
      <w:r w:rsidR="008F4396" w:rsidRPr="00A40A3D">
        <w:rPr>
          <w:sz w:val="24"/>
          <w:szCs w:val="24"/>
          <w:lang w:val="lt-LT"/>
        </w:rPr>
        <w:t xml:space="preserve"> priemonės valdytojui ar „Invegai“ nevykdant ar</w:t>
      </w:r>
      <w:r w:rsidR="006A79F3" w:rsidRPr="00A40A3D">
        <w:rPr>
          <w:sz w:val="24"/>
          <w:szCs w:val="24"/>
          <w:lang w:val="lt-LT"/>
        </w:rPr>
        <w:t>ba</w:t>
      </w:r>
      <w:r w:rsidR="008F4396" w:rsidRPr="00A40A3D">
        <w:rPr>
          <w:sz w:val="24"/>
          <w:szCs w:val="24"/>
          <w:lang w:val="lt-LT"/>
        </w:rPr>
        <w:t xml:space="preserve"> netinkamai vykdant </w:t>
      </w:r>
      <w:r w:rsidR="006A79F3" w:rsidRPr="00A40A3D">
        <w:rPr>
          <w:sz w:val="24"/>
          <w:szCs w:val="24"/>
          <w:lang w:val="lt-LT"/>
        </w:rPr>
        <w:t>Sutartyje nustatytus įsipareigojimus</w:t>
      </w:r>
      <w:r w:rsidR="008F4396" w:rsidRPr="00A40A3D">
        <w:rPr>
          <w:sz w:val="24"/>
          <w:szCs w:val="24"/>
          <w:lang w:val="lt-LT"/>
        </w:rPr>
        <w:t>.</w:t>
      </w:r>
      <w:r w:rsidR="008F4396" w:rsidRPr="00A40A3D">
        <w:rPr>
          <w:lang w:val="lt-LT"/>
        </w:rPr>
        <w:t xml:space="preserve"> </w:t>
      </w:r>
      <w:r w:rsidR="008F4396" w:rsidRPr="00A40A3D">
        <w:rPr>
          <w:sz w:val="24"/>
          <w:szCs w:val="24"/>
          <w:lang w:val="lt-LT"/>
        </w:rPr>
        <w:t>Nustatant, ar Šalies padarytas pažeidimas yra esminis, turi būti vadovaujamasi Civilinio kodekso 6.217 straipsnio 2 dalies nuostatomis</w:t>
      </w:r>
      <w:r w:rsidR="00546EB1" w:rsidRPr="00A40A3D">
        <w:rPr>
          <w:sz w:val="24"/>
          <w:szCs w:val="24"/>
          <w:lang w:val="lt-LT"/>
        </w:rPr>
        <w:t>.</w:t>
      </w:r>
      <w:r w:rsidR="008F4396" w:rsidRPr="00A40A3D">
        <w:rPr>
          <w:sz w:val="24"/>
          <w:szCs w:val="24"/>
          <w:lang w:val="lt-LT"/>
        </w:rPr>
        <w:t xml:space="preserve"> </w:t>
      </w:r>
      <w:r w:rsidR="00546EB1" w:rsidRPr="00A40A3D">
        <w:rPr>
          <w:sz w:val="24"/>
          <w:szCs w:val="24"/>
          <w:lang w:val="lt-LT"/>
        </w:rPr>
        <w:t xml:space="preserve">Jeigu </w:t>
      </w:r>
      <w:r w:rsidR="00546EB1" w:rsidRPr="00BD610C">
        <w:rPr>
          <w:sz w:val="24"/>
          <w:szCs w:val="24"/>
          <w:lang w:val="lt-LT"/>
        </w:rPr>
        <w:t>Sutartis nutraukiama dėl esminio pažeidimo, visas su jos nutraukimu susijusias tiesiogines išlaidas padengia esminį pažeidimą padariusi Šalis</w:t>
      </w:r>
      <w:r w:rsidR="00C04962" w:rsidRPr="00BD610C">
        <w:rPr>
          <w:sz w:val="24"/>
          <w:szCs w:val="24"/>
          <w:lang w:val="lt-LT"/>
        </w:rPr>
        <w:t>;</w:t>
      </w:r>
    </w:p>
    <w:p w14:paraId="6D40CE94" w14:textId="728340BC" w:rsidR="004E3B8D" w:rsidRPr="00BD610C" w:rsidRDefault="00CA6054" w:rsidP="009B0EE1">
      <w:pPr>
        <w:pStyle w:val="ListParagraph"/>
        <w:numPr>
          <w:ilvl w:val="2"/>
          <w:numId w:val="11"/>
        </w:numPr>
        <w:tabs>
          <w:tab w:val="left" w:pos="851"/>
        </w:tabs>
        <w:spacing w:after="0"/>
        <w:ind w:left="-709" w:firstLine="709"/>
        <w:jc w:val="both"/>
        <w:rPr>
          <w:sz w:val="24"/>
          <w:szCs w:val="24"/>
          <w:lang w:val="lt-LT"/>
        </w:rPr>
      </w:pPr>
      <w:r w:rsidRPr="00BD610C">
        <w:rPr>
          <w:sz w:val="24"/>
          <w:szCs w:val="24"/>
          <w:lang w:val="lt-LT"/>
        </w:rPr>
        <w:t xml:space="preserve">tuo atveju, jei yra panaikinamas įnašas į </w:t>
      </w:r>
      <w:r w:rsidR="000D3355" w:rsidRPr="00BD610C">
        <w:rPr>
          <w:sz w:val="24"/>
          <w:szCs w:val="24"/>
          <w:lang w:val="lt-LT"/>
        </w:rPr>
        <w:t>INVEGOS</w:t>
      </w:r>
      <w:r w:rsidRPr="00BD610C">
        <w:rPr>
          <w:sz w:val="24"/>
          <w:szCs w:val="24"/>
          <w:lang w:val="lt-LT"/>
        </w:rPr>
        <w:t xml:space="preserve"> fondą</w:t>
      </w:r>
      <w:r w:rsidR="00305522" w:rsidRPr="00BD610C">
        <w:rPr>
          <w:sz w:val="24"/>
          <w:szCs w:val="24"/>
          <w:lang w:val="lt-LT"/>
        </w:rPr>
        <w:t xml:space="preserve">, sumažinama </w:t>
      </w:r>
      <w:r w:rsidR="00774BD3" w:rsidRPr="00BD610C">
        <w:rPr>
          <w:sz w:val="24"/>
          <w:szCs w:val="24"/>
          <w:lang w:val="lt-LT"/>
        </w:rPr>
        <w:t>PGF2</w:t>
      </w:r>
      <w:r w:rsidR="00774BD3">
        <w:rPr>
          <w:sz w:val="24"/>
          <w:szCs w:val="24"/>
          <w:lang w:val="lt-LT"/>
        </w:rPr>
        <w:t> </w:t>
      </w:r>
      <w:r w:rsidR="00305522" w:rsidRPr="00BD610C">
        <w:rPr>
          <w:sz w:val="24"/>
          <w:szCs w:val="24"/>
          <w:lang w:val="lt-LT"/>
        </w:rPr>
        <w:t>priemonei skirta INVEGOS fondo</w:t>
      </w:r>
      <w:r w:rsidR="00343378" w:rsidRPr="00BD610C">
        <w:rPr>
          <w:sz w:val="24"/>
          <w:szCs w:val="24"/>
          <w:lang w:val="lt-LT"/>
        </w:rPr>
        <w:t xml:space="preserve"> grįžusių ir (ar) grįšiančių</w:t>
      </w:r>
      <w:r w:rsidR="00305522" w:rsidRPr="00BD610C">
        <w:rPr>
          <w:sz w:val="24"/>
          <w:szCs w:val="24"/>
          <w:lang w:val="lt-LT"/>
        </w:rPr>
        <w:t xml:space="preserve"> lėšų suma</w:t>
      </w:r>
      <w:r w:rsidRPr="00BD610C">
        <w:rPr>
          <w:sz w:val="24"/>
          <w:szCs w:val="24"/>
          <w:lang w:val="lt-LT"/>
        </w:rPr>
        <w:t>;</w:t>
      </w:r>
    </w:p>
    <w:p w14:paraId="2300AC96" w14:textId="75DBAFDA" w:rsidR="004E3B8D" w:rsidRPr="00BD610C" w:rsidRDefault="00CA6054" w:rsidP="009B0EE1">
      <w:pPr>
        <w:pStyle w:val="ListParagraph"/>
        <w:numPr>
          <w:ilvl w:val="2"/>
          <w:numId w:val="11"/>
        </w:numPr>
        <w:tabs>
          <w:tab w:val="left" w:pos="851"/>
        </w:tabs>
        <w:spacing w:after="0"/>
        <w:ind w:left="-709" w:firstLine="709"/>
        <w:jc w:val="both"/>
        <w:rPr>
          <w:sz w:val="24"/>
          <w:szCs w:val="24"/>
          <w:lang w:val="lt-LT"/>
        </w:rPr>
      </w:pPr>
      <w:r w:rsidRPr="00BD610C">
        <w:rPr>
          <w:sz w:val="24"/>
          <w:szCs w:val="24"/>
          <w:lang w:val="lt-LT"/>
        </w:rPr>
        <w:t>dėl nenugalimos jėgos aplinkybių, kaip numatyta Sutarties 10.</w:t>
      </w:r>
      <w:r w:rsidR="00BD610C" w:rsidRPr="00BD610C">
        <w:rPr>
          <w:sz w:val="24"/>
          <w:szCs w:val="24"/>
          <w:lang w:val="lt-LT"/>
        </w:rPr>
        <w:t>8</w:t>
      </w:r>
      <w:r w:rsidRPr="00BD610C">
        <w:rPr>
          <w:sz w:val="24"/>
          <w:szCs w:val="24"/>
          <w:lang w:val="lt-LT"/>
        </w:rPr>
        <w:t>–10.</w:t>
      </w:r>
      <w:r w:rsidR="00BD610C" w:rsidRPr="00BD610C">
        <w:rPr>
          <w:sz w:val="24"/>
          <w:szCs w:val="24"/>
          <w:lang w:val="lt-LT"/>
        </w:rPr>
        <w:t>9</w:t>
      </w:r>
      <w:r w:rsidRPr="00BD610C">
        <w:rPr>
          <w:sz w:val="24"/>
          <w:szCs w:val="24"/>
          <w:lang w:val="lt-LT"/>
        </w:rPr>
        <w:t xml:space="preserve"> </w:t>
      </w:r>
      <w:r w:rsidR="005C4717" w:rsidRPr="00BD610C">
        <w:rPr>
          <w:sz w:val="24"/>
          <w:szCs w:val="24"/>
          <w:lang w:val="lt-LT"/>
        </w:rPr>
        <w:t>punktuose</w:t>
      </w:r>
      <w:r w:rsidRPr="00BD610C">
        <w:rPr>
          <w:sz w:val="24"/>
          <w:szCs w:val="24"/>
          <w:lang w:val="lt-LT"/>
        </w:rPr>
        <w:t>;</w:t>
      </w:r>
    </w:p>
    <w:p w14:paraId="490155C9" w14:textId="6EC82E55" w:rsidR="00CA6054" w:rsidRPr="00343F44" w:rsidRDefault="00412EEF" w:rsidP="009B0EE1">
      <w:pPr>
        <w:pStyle w:val="ListParagraph"/>
        <w:numPr>
          <w:ilvl w:val="2"/>
          <w:numId w:val="11"/>
        </w:numPr>
        <w:tabs>
          <w:tab w:val="left" w:pos="851"/>
        </w:tabs>
        <w:spacing w:after="0"/>
        <w:ind w:left="-709" w:firstLine="709"/>
        <w:jc w:val="both"/>
        <w:rPr>
          <w:sz w:val="24"/>
          <w:szCs w:val="24"/>
          <w:lang w:val="lt-LT"/>
        </w:rPr>
      </w:pPr>
      <w:r w:rsidRPr="00343F44">
        <w:rPr>
          <w:sz w:val="24"/>
          <w:szCs w:val="24"/>
          <w:lang w:val="lt-LT"/>
        </w:rPr>
        <w:t xml:space="preserve">kitais atvejais </w:t>
      </w:r>
      <w:r w:rsidR="00CA6054" w:rsidRPr="00343F44">
        <w:rPr>
          <w:sz w:val="24"/>
          <w:szCs w:val="24"/>
          <w:lang w:val="lt-LT"/>
        </w:rPr>
        <w:t>raštišku Šalių susitarimu.</w:t>
      </w:r>
    </w:p>
    <w:p w14:paraId="7FD01F53" w14:textId="734947B8" w:rsidR="00C313D2" w:rsidRPr="004E2AA4" w:rsidRDefault="005F2D88" w:rsidP="009B0EE1">
      <w:pPr>
        <w:pStyle w:val="ListParagraph"/>
        <w:numPr>
          <w:ilvl w:val="1"/>
          <w:numId w:val="11"/>
        </w:numPr>
        <w:tabs>
          <w:tab w:val="left" w:pos="567"/>
        </w:tabs>
        <w:spacing w:after="0"/>
        <w:ind w:left="-709" w:firstLine="709"/>
        <w:jc w:val="both"/>
        <w:rPr>
          <w:sz w:val="24"/>
          <w:szCs w:val="24"/>
          <w:lang w:val="lt-LT"/>
        </w:rPr>
      </w:pPr>
      <w:r w:rsidRPr="00343F44">
        <w:rPr>
          <w:sz w:val="24"/>
          <w:szCs w:val="24"/>
          <w:lang w:val="lt-LT"/>
        </w:rPr>
        <w:t>Remiantis Sutarties 10.</w:t>
      </w:r>
      <w:r w:rsidR="003D019E" w:rsidRPr="00343F44">
        <w:rPr>
          <w:sz w:val="24"/>
          <w:szCs w:val="24"/>
          <w:lang w:val="lt-LT"/>
        </w:rPr>
        <w:t>3</w:t>
      </w:r>
      <w:r w:rsidRPr="00343F44">
        <w:rPr>
          <w:sz w:val="24"/>
          <w:szCs w:val="24"/>
          <w:lang w:val="lt-LT"/>
        </w:rPr>
        <w:t>.1 papunkčiu</w:t>
      </w:r>
      <w:r w:rsidR="00C04962" w:rsidRPr="00343F44">
        <w:rPr>
          <w:sz w:val="24"/>
          <w:szCs w:val="24"/>
          <w:lang w:val="lt-LT"/>
        </w:rPr>
        <w:t>,</w:t>
      </w:r>
      <w:r w:rsidRPr="00343F44">
        <w:rPr>
          <w:sz w:val="24"/>
          <w:szCs w:val="24"/>
          <w:lang w:val="lt-LT"/>
        </w:rPr>
        <w:t xml:space="preserve"> Sutartis gali būti nutraukiama tik atsižvelgiant į esminio pažeidimo pobūdį ir apimtis bei tik tuo atveju, kai esminių įsipareigojimų pagal Sutartį nevykdančiai Šaliai kita Šalis išsiunčia įspėjimą</w:t>
      </w:r>
      <w:r w:rsidR="00CB6183" w:rsidRPr="00343F44">
        <w:rPr>
          <w:sz w:val="24"/>
          <w:szCs w:val="24"/>
          <w:lang w:val="lt-LT"/>
        </w:rPr>
        <w:t xml:space="preserve"> </w:t>
      </w:r>
      <w:r w:rsidR="004A38EF" w:rsidRPr="00343F44">
        <w:rPr>
          <w:sz w:val="24"/>
          <w:szCs w:val="24"/>
          <w:lang w:val="lt-LT"/>
        </w:rPr>
        <w:t xml:space="preserve">ne vėliau kaip </w:t>
      </w:r>
      <w:r w:rsidR="00CB6183" w:rsidRPr="00343F44">
        <w:rPr>
          <w:sz w:val="24"/>
          <w:szCs w:val="24"/>
          <w:lang w:val="lt-LT"/>
        </w:rPr>
        <w:t>prieš 60 (šešiasdešimt) kalendorinių dienų</w:t>
      </w:r>
      <w:r w:rsidRPr="00343F44">
        <w:rPr>
          <w:sz w:val="24"/>
          <w:szCs w:val="24"/>
          <w:lang w:val="lt-LT"/>
        </w:rPr>
        <w:t>, kuriame nurodomos galimo Sutarties nutraukimo dėl esminio pažeidimo priežastys ir</w:t>
      </w:r>
      <w:r w:rsidR="004A38EF" w:rsidRPr="00343F44">
        <w:rPr>
          <w:sz w:val="24"/>
          <w:szCs w:val="24"/>
          <w:lang w:val="lt-LT"/>
        </w:rPr>
        <w:t xml:space="preserve"> </w:t>
      </w:r>
      <w:r w:rsidR="00CB6183" w:rsidRPr="004E2AA4">
        <w:rPr>
          <w:sz w:val="24"/>
          <w:szCs w:val="24"/>
          <w:lang w:val="lt-LT"/>
        </w:rPr>
        <w:t>terminas pažeidimui</w:t>
      </w:r>
      <w:r w:rsidRPr="004E2AA4">
        <w:rPr>
          <w:sz w:val="24"/>
          <w:szCs w:val="24"/>
          <w:lang w:val="lt-LT"/>
        </w:rPr>
        <w:t xml:space="preserve"> ištaisyti. </w:t>
      </w:r>
    </w:p>
    <w:p w14:paraId="6531A268" w14:textId="693E7031" w:rsidR="005F2D88" w:rsidRPr="00602B72" w:rsidRDefault="005F2D88" w:rsidP="009B0EE1">
      <w:pPr>
        <w:pStyle w:val="ListParagraph"/>
        <w:numPr>
          <w:ilvl w:val="1"/>
          <w:numId w:val="11"/>
        </w:numPr>
        <w:tabs>
          <w:tab w:val="left" w:pos="567"/>
        </w:tabs>
        <w:spacing w:after="0"/>
        <w:ind w:left="-709" w:firstLine="709"/>
        <w:jc w:val="both"/>
        <w:rPr>
          <w:sz w:val="24"/>
          <w:szCs w:val="24"/>
          <w:lang w:val="lt-LT"/>
        </w:rPr>
      </w:pPr>
      <w:r w:rsidRPr="004E2AA4">
        <w:rPr>
          <w:sz w:val="24"/>
          <w:szCs w:val="24"/>
          <w:lang w:val="lt-LT"/>
        </w:rPr>
        <w:t xml:space="preserve">Nutraukus Sutartį anksčiau termino, </w:t>
      </w:r>
      <w:r w:rsidR="006911EB" w:rsidRPr="004E2AA4">
        <w:rPr>
          <w:sz w:val="24"/>
          <w:szCs w:val="24"/>
          <w:lang w:val="lt-LT"/>
        </w:rPr>
        <w:t xml:space="preserve">kai Šalys susitarime dėl Sutarties nutraukimo nurodo, kad bus kreipiamasi dėl Garantijos išmokų pagal </w:t>
      </w:r>
      <w:r w:rsidR="00746374" w:rsidRPr="004E2AA4">
        <w:rPr>
          <w:sz w:val="24"/>
          <w:szCs w:val="24"/>
          <w:lang w:val="lt-LT"/>
        </w:rPr>
        <w:t>Probleminius</w:t>
      </w:r>
      <w:r w:rsidR="006911EB" w:rsidRPr="004E2AA4">
        <w:rPr>
          <w:sz w:val="24"/>
          <w:szCs w:val="24"/>
          <w:lang w:val="lt-LT"/>
        </w:rPr>
        <w:t xml:space="preserve"> </w:t>
      </w:r>
      <w:r w:rsidR="00BE1664" w:rsidRPr="004E2AA4">
        <w:rPr>
          <w:sz w:val="24"/>
          <w:szCs w:val="24"/>
          <w:lang w:val="lt-LT"/>
        </w:rPr>
        <w:t>Faktoringo sandori</w:t>
      </w:r>
      <w:r w:rsidR="00BF693D" w:rsidRPr="004E2AA4">
        <w:rPr>
          <w:sz w:val="24"/>
          <w:szCs w:val="24"/>
          <w:lang w:val="lt-LT"/>
        </w:rPr>
        <w:t>u</w:t>
      </w:r>
      <w:r w:rsidR="006911EB" w:rsidRPr="004E2AA4">
        <w:rPr>
          <w:sz w:val="24"/>
          <w:szCs w:val="24"/>
          <w:lang w:val="lt-LT"/>
        </w:rPr>
        <w:t xml:space="preserve">s po Sutarties </w:t>
      </w:r>
      <w:r w:rsidR="006911EB" w:rsidRPr="00BF7887">
        <w:rPr>
          <w:sz w:val="24"/>
          <w:szCs w:val="24"/>
          <w:lang w:val="lt-LT"/>
        </w:rPr>
        <w:lastRenderedPageBreak/>
        <w:t xml:space="preserve">nutraukimo, </w:t>
      </w:r>
      <w:r w:rsidR="00C51F33" w:rsidRPr="00BF7887">
        <w:rPr>
          <w:sz w:val="24"/>
          <w:szCs w:val="24"/>
          <w:lang w:val="lt-LT"/>
        </w:rPr>
        <w:t>PGF</w:t>
      </w:r>
      <w:r w:rsidR="004E2AA4" w:rsidRPr="00BF7887">
        <w:rPr>
          <w:sz w:val="24"/>
          <w:szCs w:val="24"/>
          <w:lang w:val="lt-LT"/>
        </w:rPr>
        <w:t>2</w:t>
      </w:r>
      <w:r w:rsidRPr="00BF7887">
        <w:rPr>
          <w:sz w:val="24"/>
          <w:szCs w:val="24"/>
          <w:lang w:val="lt-LT"/>
        </w:rPr>
        <w:t xml:space="preserve"> priemonės valdytojas, privalo vykdyti Sutarties 3.3.2</w:t>
      </w:r>
      <w:r w:rsidR="00C04962" w:rsidRPr="00BF7887">
        <w:rPr>
          <w:sz w:val="24"/>
          <w:szCs w:val="24"/>
          <w:lang w:val="lt-LT"/>
        </w:rPr>
        <w:t>4</w:t>
      </w:r>
      <w:r w:rsidRPr="00BF7887">
        <w:rPr>
          <w:sz w:val="24"/>
          <w:szCs w:val="24"/>
          <w:lang w:val="lt-LT"/>
        </w:rPr>
        <w:t xml:space="preserve"> papunktyje nurodytus</w:t>
      </w:r>
      <w:r w:rsidRPr="004E2AA4">
        <w:rPr>
          <w:sz w:val="24"/>
          <w:szCs w:val="24"/>
          <w:lang w:val="lt-LT"/>
        </w:rPr>
        <w:t xml:space="preserve"> įsipareigojimus</w:t>
      </w:r>
      <w:r w:rsidR="006911EB" w:rsidRPr="004E2AA4">
        <w:rPr>
          <w:sz w:val="24"/>
          <w:szCs w:val="24"/>
          <w:lang w:val="lt-LT"/>
        </w:rPr>
        <w:t xml:space="preserve">, o „Invega“ </w:t>
      </w:r>
      <w:r w:rsidR="00651EDC" w:rsidRPr="004E2AA4">
        <w:rPr>
          <w:sz w:val="24"/>
          <w:szCs w:val="24"/>
          <w:lang w:val="lt-LT"/>
        </w:rPr>
        <w:t xml:space="preserve">tokiu atveju </w:t>
      </w:r>
      <w:r w:rsidR="006911EB" w:rsidRPr="004E2AA4">
        <w:rPr>
          <w:sz w:val="24"/>
          <w:szCs w:val="24"/>
          <w:lang w:val="lt-LT"/>
        </w:rPr>
        <w:t xml:space="preserve">turi pareigą, </w:t>
      </w:r>
      <w:r w:rsidR="00C51F33" w:rsidRPr="004E2AA4">
        <w:rPr>
          <w:sz w:val="24"/>
          <w:szCs w:val="24"/>
          <w:lang w:val="lt-LT"/>
        </w:rPr>
        <w:t>PGF</w:t>
      </w:r>
      <w:r w:rsidR="004E2AA4" w:rsidRPr="004E2AA4">
        <w:rPr>
          <w:sz w:val="24"/>
          <w:szCs w:val="24"/>
          <w:lang w:val="lt-LT"/>
        </w:rPr>
        <w:t>2</w:t>
      </w:r>
      <w:r w:rsidR="006911EB" w:rsidRPr="004E2AA4">
        <w:rPr>
          <w:sz w:val="24"/>
          <w:szCs w:val="24"/>
          <w:lang w:val="lt-LT"/>
        </w:rPr>
        <w:t xml:space="preserve"> priemonės valdytojui kreipiantis dėl Garantijos išmok</w:t>
      </w:r>
      <w:r w:rsidR="00185E29" w:rsidRPr="004E2AA4">
        <w:rPr>
          <w:sz w:val="24"/>
          <w:szCs w:val="24"/>
          <w:lang w:val="lt-LT"/>
        </w:rPr>
        <w:t>ų</w:t>
      </w:r>
      <w:r w:rsidR="006911EB" w:rsidRPr="004E2AA4">
        <w:rPr>
          <w:sz w:val="24"/>
          <w:szCs w:val="24"/>
          <w:lang w:val="lt-LT"/>
        </w:rPr>
        <w:t xml:space="preserve"> pagal </w:t>
      </w:r>
      <w:r w:rsidR="00746374" w:rsidRPr="004E2AA4">
        <w:rPr>
          <w:sz w:val="24"/>
          <w:szCs w:val="24"/>
          <w:lang w:val="lt-LT"/>
        </w:rPr>
        <w:t>Probleminius</w:t>
      </w:r>
      <w:r w:rsidR="006911EB" w:rsidRPr="004E2AA4">
        <w:rPr>
          <w:sz w:val="24"/>
          <w:szCs w:val="24"/>
          <w:lang w:val="lt-LT"/>
        </w:rPr>
        <w:t xml:space="preserve"> </w:t>
      </w:r>
      <w:r w:rsidR="00BE1664" w:rsidRPr="004E2AA4">
        <w:rPr>
          <w:sz w:val="24"/>
          <w:szCs w:val="24"/>
          <w:lang w:val="lt-LT"/>
        </w:rPr>
        <w:t>Faktoringo sandori</w:t>
      </w:r>
      <w:r w:rsidR="00BF693D" w:rsidRPr="004E2AA4">
        <w:rPr>
          <w:sz w:val="24"/>
          <w:szCs w:val="24"/>
          <w:lang w:val="lt-LT"/>
        </w:rPr>
        <w:t>u</w:t>
      </w:r>
      <w:r w:rsidR="00651EDC" w:rsidRPr="004E2AA4">
        <w:rPr>
          <w:sz w:val="24"/>
          <w:szCs w:val="24"/>
          <w:lang w:val="lt-LT"/>
        </w:rPr>
        <w:t>s</w:t>
      </w:r>
      <w:r w:rsidR="006911EB" w:rsidRPr="004E2AA4">
        <w:rPr>
          <w:sz w:val="24"/>
          <w:szCs w:val="24"/>
          <w:lang w:val="lt-LT"/>
        </w:rPr>
        <w:t>, kuri</w:t>
      </w:r>
      <w:r w:rsidR="00BF693D" w:rsidRPr="004E2AA4">
        <w:rPr>
          <w:sz w:val="24"/>
          <w:szCs w:val="24"/>
          <w:lang w:val="lt-LT"/>
        </w:rPr>
        <w:t>e</w:t>
      </w:r>
      <w:r w:rsidR="006911EB" w:rsidRPr="004E2AA4">
        <w:rPr>
          <w:sz w:val="24"/>
          <w:szCs w:val="24"/>
          <w:lang w:val="lt-LT"/>
        </w:rPr>
        <w:t xml:space="preserve"> buvo įtraukt</w:t>
      </w:r>
      <w:r w:rsidR="00BF693D" w:rsidRPr="004E2AA4">
        <w:rPr>
          <w:sz w:val="24"/>
          <w:szCs w:val="24"/>
          <w:lang w:val="lt-LT"/>
        </w:rPr>
        <w:t>i</w:t>
      </w:r>
      <w:r w:rsidR="006911EB" w:rsidRPr="004E2AA4">
        <w:rPr>
          <w:sz w:val="24"/>
          <w:szCs w:val="24"/>
          <w:lang w:val="lt-LT"/>
        </w:rPr>
        <w:t xml:space="preserve"> į Portfelį iki Sutarties nutraukimo ir atitinka visas Sutarties sąlygas, mokėti Garantijos išmokas iki Didžiausios išmokų sumos</w:t>
      </w:r>
      <w:r w:rsidRPr="00602B72">
        <w:rPr>
          <w:sz w:val="24"/>
          <w:szCs w:val="24"/>
          <w:lang w:val="lt-LT"/>
        </w:rPr>
        <w:t>.</w:t>
      </w:r>
      <w:r w:rsidR="00B75589" w:rsidRPr="00602B72">
        <w:rPr>
          <w:sz w:val="24"/>
          <w:szCs w:val="24"/>
          <w:lang w:val="lt-LT"/>
        </w:rPr>
        <w:t xml:space="preserve"> Šalių teisės ir atsakomybės bei kitos bendradarbiavimo sąlygos tokiu atveju detalizuojamos susitarime dėl Sutarties nutraukimo.</w:t>
      </w:r>
    </w:p>
    <w:p w14:paraId="13716016" w14:textId="777C18C0" w:rsidR="004E3B8D" w:rsidRPr="00602B72" w:rsidRDefault="005C4717" w:rsidP="009B0EE1">
      <w:pPr>
        <w:pStyle w:val="ListParagraph"/>
        <w:numPr>
          <w:ilvl w:val="1"/>
          <w:numId w:val="11"/>
        </w:numPr>
        <w:tabs>
          <w:tab w:val="left" w:pos="567"/>
        </w:tabs>
        <w:spacing w:after="0"/>
        <w:ind w:left="-709" w:firstLine="709"/>
        <w:jc w:val="both"/>
        <w:rPr>
          <w:sz w:val="24"/>
          <w:szCs w:val="24"/>
          <w:lang w:val="lt-LT"/>
        </w:rPr>
      </w:pPr>
      <w:r w:rsidRPr="00602B72">
        <w:rPr>
          <w:sz w:val="24"/>
          <w:szCs w:val="24"/>
          <w:lang w:val="lt-LT"/>
        </w:rPr>
        <w:t xml:space="preserve">Visais atvejais po Sutarties nutraukimo negali būti didinama į Portfelį įtrauktų </w:t>
      </w:r>
      <w:r w:rsidR="0058580E" w:rsidRPr="00602B72">
        <w:rPr>
          <w:sz w:val="24"/>
          <w:szCs w:val="24"/>
          <w:lang w:val="lt-LT"/>
        </w:rPr>
        <w:t>Faktoringo sandorių</w:t>
      </w:r>
      <w:r w:rsidRPr="00602B72">
        <w:rPr>
          <w:sz w:val="24"/>
          <w:szCs w:val="24"/>
          <w:lang w:val="lt-LT"/>
        </w:rPr>
        <w:t xml:space="preserve"> </w:t>
      </w:r>
      <w:r w:rsidR="00F10F71" w:rsidRPr="00602B72">
        <w:rPr>
          <w:sz w:val="24"/>
          <w:szCs w:val="24"/>
          <w:lang w:val="lt-LT"/>
        </w:rPr>
        <w:t xml:space="preserve">limitų </w:t>
      </w:r>
      <w:r w:rsidRPr="00602B72">
        <w:rPr>
          <w:sz w:val="24"/>
          <w:szCs w:val="24"/>
          <w:lang w:val="lt-LT"/>
        </w:rPr>
        <w:t>suma ir (ar) pratęsiam</w:t>
      </w:r>
      <w:r w:rsidR="00F10F71" w:rsidRPr="00602B72">
        <w:rPr>
          <w:sz w:val="24"/>
          <w:szCs w:val="24"/>
          <w:lang w:val="lt-LT"/>
        </w:rPr>
        <w:t>i</w:t>
      </w:r>
      <w:r w:rsidRPr="00602B72">
        <w:rPr>
          <w:sz w:val="24"/>
          <w:szCs w:val="24"/>
          <w:lang w:val="lt-LT"/>
        </w:rPr>
        <w:t xml:space="preserve"> </w:t>
      </w:r>
      <w:r w:rsidR="00F10F71" w:rsidRPr="00602B72">
        <w:rPr>
          <w:sz w:val="24"/>
          <w:szCs w:val="24"/>
          <w:lang w:val="lt-LT"/>
        </w:rPr>
        <w:t xml:space="preserve">Maksimalūs mokėjimo atidėjimo pirkėjams terminai bei </w:t>
      </w:r>
      <w:r w:rsidR="0058580E" w:rsidRPr="00602B72">
        <w:rPr>
          <w:sz w:val="24"/>
          <w:szCs w:val="24"/>
          <w:lang w:val="lt-LT"/>
        </w:rPr>
        <w:t>Faktoringo sandorių</w:t>
      </w:r>
      <w:r w:rsidRPr="00602B72">
        <w:rPr>
          <w:sz w:val="24"/>
          <w:szCs w:val="24"/>
          <w:lang w:val="lt-LT"/>
        </w:rPr>
        <w:t xml:space="preserve"> </w:t>
      </w:r>
      <w:r w:rsidR="00F4009D" w:rsidRPr="00602B72">
        <w:rPr>
          <w:sz w:val="24"/>
          <w:szCs w:val="24"/>
          <w:lang w:val="lt-LT"/>
        </w:rPr>
        <w:t xml:space="preserve">finansavimo laikotarpių </w:t>
      </w:r>
      <w:r w:rsidRPr="00602B72">
        <w:rPr>
          <w:sz w:val="24"/>
          <w:szCs w:val="24"/>
          <w:lang w:val="lt-LT"/>
        </w:rPr>
        <w:t>trukmė</w:t>
      </w:r>
      <w:r w:rsidR="00C431A5" w:rsidRPr="00602B72">
        <w:rPr>
          <w:sz w:val="24"/>
          <w:szCs w:val="24"/>
          <w:lang w:val="lt-LT"/>
        </w:rPr>
        <w:t>.</w:t>
      </w:r>
      <w:r w:rsidRPr="00602B72">
        <w:rPr>
          <w:sz w:val="24"/>
          <w:szCs w:val="24"/>
          <w:lang w:val="lt-LT"/>
        </w:rPr>
        <w:t xml:space="preserve"> </w:t>
      </w:r>
    </w:p>
    <w:p w14:paraId="5E82C465" w14:textId="6278F076" w:rsidR="00D63F92" w:rsidRPr="00602B72" w:rsidRDefault="00D63F92" w:rsidP="009B0EE1">
      <w:pPr>
        <w:pStyle w:val="ListParagraph"/>
        <w:numPr>
          <w:ilvl w:val="1"/>
          <w:numId w:val="11"/>
        </w:numPr>
        <w:tabs>
          <w:tab w:val="left" w:pos="709"/>
          <w:tab w:val="left" w:pos="851"/>
          <w:tab w:val="left" w:pos="1134"/>
        </w:tabs>
        <w:ind w:left="-709" w:firstLine="851"/>
        <w:jc w:val="both"/>
        <w:rPr>
          <w:sz w:val="24"/>
          <w:szCs w:val="24"/>
          <w:lang w:val="lt-LT"/>
        </w:rPr>
      </w:pPr>
      <w:r w:rsidRPr="00602B72">
        <w:rPr>
          <w:sz w:val="24"/>
          <w:szCs w:val="24"/>
          <w:lang w:val="lt-LT"/>
        </w:rPr>
        <w:t xml:space="preserve">Jei Sutartis būtų nutraukiama </w:t>
      </w:r>
      <w:r w:rsidR="00C51F33" w:rsidRPr="00602B72">
        <w:rPr>
          <w:sz w:val="24"/>
          <w:szCs w:val="24"/>
          <w:lang w:val="lt-LT"/>
        </w:rPr>
        <w:t>PGF</w:t>
      </w:r>
      <w:r w:rsidR="00602B72" w:rsidRPr="00602B72">
        <w:rPr>
          <w:sz w:val="24"/>
          <w:szCs w:val="24"/>
          <w:lang w:val="lt-LT"/>
        </w:rPr>
        <w:t>2</w:t>
      </w:r>
      <w:r w:rsidRPr="00602B72">
        <w:rPr>
          <w:sz w:val="24"/>
          <w:szCs w:val="24"/>
          <w:lang w:val="lt-LT"/>
        </w:rPr>
        <w:t xml:space="preserve"> priemonės valdytojui atsisakant Garantijos išmokų pagal </w:t>
      </w:r>
      <w:r w:rsidR="0058580E" w:rsidRPr="00602B72">
        <w:rPr>
          <w:sz w:val="24"/>
          <w:szCs w:val="24"/>
          <w:lang w:val="lt-LT"/>
        </w:rPr>
        <w:t>Faktoringo sandori</w:t>
      </w:r>
      <w:r w:rsidR="00FA46E7" w:rsidRPr="00602B72">
        <w:rPr>
          <w:sz w:val="24"/>
          <w:szCs w:val="24"/>
          <w:lang w:val="lt-LT"/>
        </w:rPr>
        <w:t>us</w:t>
      </w:r>
      <w:r w:rsidR="00B575AB" w:rsidRPr="00602B72">
        <w:rPr>
          <w:sz w:val="24"/>
          <w:szCs w:val="24"/>
          <w:lang w:val="lt-LT"/>
        </w:rPr>
        <w:t>:</w:t>
      </w:r>
    </w:p>
    <w:p w14:paraId="21294E3C" w14:textId="62E4155B" w:rsidR="00D63F92" w:rsidRPr="00602B72" w:rsidRDefault="00D63F92" w:rsidP="009B0EE1">
      <w:pPr>
        <w:pStyle w:val="ListParagraph"/>
        <w:numPr>
          <w:ilvl w:val="2"/>
          <w:numId w:val="11"/>
        </w:numPr>
        <w:tabs>
          <w:tab w:val="left" w:pos="709"/>
          <w:tab w:val="left" w:pos="851"/>
          <w:tab w:val="left" w:pos="1134"/>
          <w:tab w:val="left" w:pos="1560"/>
        </w:tabs>
        <w:ind w:left="-709" w:firstLine="851"/>
        <w:jc w:val="both"/>
        <w:rPr>
          <w:sz w:val="24"/>
          <w:szCs w:val="24"/>
          <w:lang w:val="lt-LT"/>
        </w:rPr>
      </w:pPr>
      <w:r w:rsidRPr="00602B72">
        <w:rPr>
          <w:sz w:val="24"/>
          <w:szCs w:val="24"/>
          <w:lang w:val="x-none"/>
        </w:rPr>
        <w:t xml:space="preserve">teikiama galutinė </w:t>
      </w:r>
      <w:r w:rsidR="00C51F33" w:rsidRPr="00602B72">
        <w:rPr>
          <w:sz w:val="24"/>
          <w:szCs w:val="24"/>
          <w:lang w:val="lt-LT"/>
        </w:rPr>
        <w:t>PGF</w:t>
      </w:r>
      <w:r w:rsidR="00602B72" w:rsidRPr="00602B72">
        <w:rPr>
          <w:sz w:val="24"/>
          <w:szCs w:val="24"/>
          <w:lang w:val="lt-LT"/>
        </w:rPr>
        <w:t>2</w:t>
      </w:r>
      <w:r w:rsidRPr="00602B72">
        <w:rPr>
          <w:sz w:val="24"/>
          <w:szCs w:val="24"/>
          <w:lang w:val="lt-LT"/>
        </w:rPr>
        <w:t xml:space="preserve"> priemonės valdytojo ketvirtinė </w:t>
      </w:r>
      <w:r w:rsidRPr="00602B72">
        <w:rPr>
          <w:sz w:val="24"/>
          <w:szCs w:val="24"/>
          <w:lang w:val="x-none"/>
        </w:rPr>
        <w:t>ataskaita;</w:t>
      </w:r>
    </w:p>
    <w:p w14:paraId="5760739B" w14:textId="77777777" w:rsidR="00FD7838" w:rsidRPr="00602B72" w:rsidRDefault="00D63F92" w:rsidP="009B0EE1">
      <w:pPr>
        <w:pStyle w:val="ListParagraph"/>
        <w:numPr>
          <w:ilvl w:val="2"/>
          <w:numId w:val="11"/>
        </w:numPr>
        <w:tabs>
          <w:tab w:val="left" w:pos="709"/>
          <w:tab w:val="left" w:pos="851"/>
          <w:tab w:val="left" w:pos="1134"/>
          <w:tab w:val="left" w:pos="1560"/>
        </w:tabs>
        <w:ind w:left="-709" w:firstLine="851"/>
        <w:jc w:val="both"/>
        <w:rPr>
          <w:sz w:val="24"/>
          <w:szCs w:val="24"/>
          <w:lang w:val="lt-LT"/>
        </w:rPr>
      </w:pPr>
      <w:r w:rsidRPr="00602B72">
        <w:rPr>
          <w:sz w:val="24"/>
          <w:szCs w:val="24"/>
          <w:lang w:val="x-none"/>
        </w:rPr>
        <w:t>fiksuojamas Portfelio dydis</w:t>
      </w:r>
      <w:r w:rsidRPr="00602B72">
        <w:rPr>
          <w:sz w:val="24"/>
          <w:szCs w:val="24"/>
          <w:lang w:val="lt-LT"/>
        </w:rPr>
        <w:t xml:space="preserve"> Sutarties nutraukimo metu;</w:t>
      </w:r>
    </w:p>
    <w:p w14:paraId="3CFD470A" w14:textId="073219E0" w:rsidR="00D63F92" w:rsidRPr="00C42720" w:rsidRDefault="00D63F92" w:rsidP="009B0EE1">
      <w:pPr>
        <w:pStyle w:val="ListParagraph"/>
        <w:numPr>
          <w:ilvl w:val="2"/>
          <w:numId w:val="11"/>
        </w:numPr>
        <w:tabs>
          <w:tab w:val="left" w:pos="709"/>
          <w:tab w:val="left" w:pos="851"/>
          <w:tab w:val="left" w:pos="1134"/>
          <w:tab w:val="left" w:pos="1560"/>
        </w:tabs>
        <w:ind w:left="-709" w:firstLine="851"/>
        <w:jc w:val="both"/>
        <w:rPr>
          <w:sz w:val="24"/>
          <w:szCs w:val="24"/>
          <w:lang w:val="lt-LT"/>
        </w:rPr>
      </w:pPr>
      <w:r w:rsidRPr="00602B72">
        <w:rPr>
          <w:sz w:val="24"/>
          <w:szCs w:val="24"/>
          <w:lang w:val="x-none"/>
        </w:rPr>
        <w:t>pasirašomas susitarimas dėl</w:t>
      </w:r>
      <w:r w:rsidRPr="00602B72">
        <w:rPr>
          <w:sz w:val="24"/>
          <w:szCs w:val="24"/>
          <w:lang w:val="lt-LT"/>
        </w:rPr>
        <w:t xml:space="preserve"> Sutarties</w:t>
      </w:r>
      <w:r w:rsidRPr="00602B72">
        <w:rPr>
          <w:sz w:val="24"/>
          <w:szCs w:val="24"/>
          <w:lang w:val="x-none"/>
        </w:rPr>
        <w:t xml:space="preserve"> nutraukimo, kuriame numatoma išieškotų sumų pagal P</w:t>
      </w:r>
      <w:r w:rsidR="00D84D97" w:rsidRPr="00602B72">
        <w:rPr>
          <w:sz w:val="24"/>
          <w:szCs w:val="24"/>
          <w:lang w:val="lt-LT"/>
        </w:rPr>
        <w:t>roblemin</w:t>
      </w:r>
      <w:r w:rsidR="00746374" w:rsidRPr="00602B72">
        <w:rPr>
          <w:sz w:val="24"/>
          <w:szCs w:val="24"/>
          <w:lang w:val="lt-LT"/>
        </w:rPr>
        <w:t>ius</w:t>
      </w:r>
      <w:r w:rsidR="00D84D97" w:rsidRPr="00602B72">
        <w:rPr>
          <w:sz w:val="24"/>
          <w:szCs w:val="24"/>
          <w:lang w:val="lt-LT"/>
        </w:rPr>
        <w:t xml:space="preserve"> </w:t>
      </w:r>
      <w:r w:rsidR="00BE1664" w:rsidRPr="00602B72">
        <w:rPr>
          <w:sz w:val="24"/>
          <w:szCs w:val="24"/>
          <w:lang w:val="lt-LT"/>
        </w:rPr>
        <w:t>Faktoringo sandori</w:t>
      </w:r>
      <w:r w:rsidR="007B1178" w:rsidRPr="00602B72">
        <w:rPr>
          <w:sz w:val="24"/>
          <w:szCs w:val="24"/>
          <w:lang w:val="lt-LT"/>
        </w:rPr>
        <w:t>u</w:t>
      </w:r>
      <w:r w:rsidRPr="00602B72">
        <w:rPr>
          <w:sz w:val="24"/>
          <w:szCs w:val="24"/>
          <w:lang w:val="x-none"/>
        </w:rPr>
        <w:t>s</w:t>
      </w:r>
      <w:r w:rsidR="00185E29" w:rsidRPr="00602B72">
        <w:rPr>
          <w:sz w:val="24"/>
          <w:szCs w:val="24"/>
          <w:lang w:val="lt-LT"/>
        </w:rPr>
        <w:t>,</w:t>
      </w:r>
      <w:r w:rsidRPr="00602B72">
        <w:rPr>
          <w:sz w:val="24"/>
          <w:szCs w:val="24"/>
          <w:lang w:val="x-none"/>
        </w:rPr>
        <w:t xml:space="preserve"> už kuri</w:t>
      </w:r>
      <w:r w:rsidR="00C11558" w:rsidRPr="00602B72">
        <w:rPr>
          <w:sz w:val="24"/>
          <w:szCs w:val="24"/>
          <w:lang w:val="lt-LT"/>
        </w:rPr>
        <w:t>uos</w:t>
      </w:r>
      <w:r w:rsidRPr="00602B72">
        <w:rPr>
          <w:sz w:val="24"/>
          <w:szCs w:val="24"/>
          <w:lang w:val="x-none"/>
        </w:rPr>
        <w:t xml:space="preserve"> sumokėta Garantijos išmoka</w:t>
      </w:r>
      <w:r w:rsidR="00185E29" w:rsidRPr="00602B72">
        <w:rPr>
          <w:sz w:val="24"/>
          <w:szCs w:val="24"/>
          <w:lang w:val="lt-LT"/>
        </w:rPr>
        <w:t>,</w:t>
      </w:r>
      <w:r w:rsidRPr="00602B72">
        <w:rPr>
          <w:sz w:val="24"/>
          <w:szCs w:val="24"/>
          <w:lang w:val="x-none"/>
        </w:rPr>
        <w:t xml:space="preserve"> </w:t>
      </w:r>
      <w:r w:rsidRPr="00602B72">
        <w:rPr>
          <w:sz w:val="24"/>
          <w:szCs w:val="24"/>
          <w:lang w:val="lt-LT"/>
        </w:rPr>
        <w:t>grąžinimo</w:t>
      </w:r>
      <w:r w:rsidRPr="00602B72">
        <w:rPr>
          <w:sz w:val="24"/>
          <w:szCs w:val="24"/>
          <w:lang w:val="x-none"/>
        </w:rPr>
        <w:t xml:space="preserve"> ir ataskaitų apie išieškotas sumas pagal </w:t>
      </w:r>
      <w:r w:rsidR="00746374" w:rsidRPr="00602B72">
        <w:rPr>
          <w:sz w:val="24"/>
          <w:szCs w:val="24"/>
          <w:lang w:val="lt-LT"/>
        </w:rPr>
        <w:t>Probleminius</w:t>
      </w:r>
      <w:r w:rsidR="00555F74" w:rsidRPr="00602B72">
        <w:rPr>
          <w:sz w:val="24"/>
          <w:szCs w:val="24"/>
          <w:lang w:val="lt-LT"/>
        </w:rPr>
        <w:t xml:space="preserve"> </w:t>
      </w:r>
      <w:r w:rsidR="00BE1664" w:rsidRPr="00602B72">
        <w:rPr>
          <w:sz w:val="24"/>
          <w:szCs w:val="24"/>
          <w:lang w:val="lt-LT"/>
        </w:rPr>
        <w:t>Faktoringo sandori</w:t>
      </w:r>
      <w:r w:rsidR="007B1178" w:rsidRPr="00602B72">
        <w:rPr>
          <w:sz w:val="24"/>
          <w:szCs w:val="24"/>
          <w:lang w:val="lt-LT"/>
        </w:rPr>
        <w:t>u</w:t>
      </w:r>
      <w:r w:rsidR="00555F74" w:rsidRPr="00602B72">
        <w:rPr>
          <w:sz w:val="24"/>
          <w:szCs w:val="24"/>
          <w:lang w:val="lt-LT"/>
        </w:rPr>
        <w:t>s</w:t>
      </w:r>
      <w:r w:rsidR="00185E29" w:rsidRPr="00602B72">
        <w:rPr>
          <w:sz w:val="24"/>
          <w:szCs w:val="24"/>
          <w:lang w:val="lt-LT"/>
        </w:rPr>
        <w:t>,</w:t>
      </w:r>
      <w:r w:rsidRPr="00602B72">
        <w:rPr>
          <w:sz w:val="24"/>
          <w:szCs w:val="24"/>
          <w:lang w:val="x-none"/>
        </w:rPr>
        <w:t xml:space="preserve"> už kuri</w:t>
      </w:r>
      <w:r w:rsidR="007B1178" w:rsidRPr="00602B72">
        <w:rPr>
          <w:sz w:val="24"/>
          <w:szCs w:val="24"/>
          <w:lang w:val="lt-LT"/>
        </w:rPr>
        <w:t>uo</w:t>
      </w:r>
      <w:r w:rsidR="00DD565D" w:rsidRPr="00602B72">
        <w:rPr>
          <w:sz w:val="24"/>
          <w:szCs w:val="24"/>
          <w:lang w:val="lt-LT"/>
        </w:rPr>
        <w:t>s</w:t>
      </w:r>
      <w:r w:rsidRPr="00602B72">
        <w:rPr>
          <w:sz w:val="24"/>
          <w:szCs w:val="24"/>
          <w:lang w:val="x-none"/>
        </w:rPr>
        <w:t xml:space="preserve"> sumokėta Garantijos išmoka</w:t>
      </w:r>
      <w:r w:rsidR="00185E29" w:rsidRPr="00602B72">
        <w:rPr>
          <w:sz w:val="24"/>
          <w:szCs w:val="24"/>
          <w:lang w:val="lt-LT"/>
        </w:rPr>
        <w:t>,</w:t>
      </w:r>
      <w:r w:rsidRPr="00602B72">
        <w:rPr>
          <w:sz w:val="24"/>
          <w:szCs w:val="24"/>
          <w:lang w:val="x-none"/>
        </w:rPr>
        <w:t xml:space="preserve"> teikimo tvarka, dokument</w:t>
      </w:r>
      <w:r w:rsidRPr="00602B72">
        <w:rPr>
          <w:sz w:val="24"/>
          <w:szCs w:val="24"/>
          <w:lang w:val="lt-LT"/>
        </w:rPr>
        <w:t>ų</w:t>
      </w:r>
      <w:r w:rsidRPr="00602B72">
        <w:rPr>
          <w:sz w:val="24"/>
          <w:szCs w:val="24"/>
          <w:lang w:val="x-none"/>
        </w:rPr>
        <w:t xml:space="preserve"> saugo</w:t>
      </w:r>
      <w:r w:rsidRPr="00602B72">
        <w:rPr>
          <w:sz w:val="24"/>
          <w:szCs w:val="24"/>
          <w:lang w:val="lt-LT"/>
        </w:rPr>
        <w:t>jimo ir</w:t>
      </w:r>
      <w:r w:rsidRPr="00602B72">
        <w:rPr>
          <w:sz w:val="24"/>
          <w:szCs w:val="24"/>
          <w:lang w:val="x-none"/>
        </w:rPr>
        <w:t xml:space="preserve"> teikim</w:t>
      </w:r>
      <w:r w:rsidRPr="00602B72">
        <w:rPr>
          <w:sz w:val="24"/>
          <w:szCs w:val="24"/>
          <w:lang w:val="lt-LT"/>
        </w:rPr>
        <w:t>o</w:t>
      </w:r>
      <w:r w:rsidRPr="00602B72">
        <w:rPr>
          <w:sz w:val="24"/>
          <w:szCs w:val="24"/>
          <w:lang w:val="x-none"/>
        </w:rPr>
        <w:t xml:space="preserve"> patikroms</w:t>
      </w:r>
      <w:r w:rsidRPr="00602B72">
        <w:rPr>
          <w:sz w:val="24"/>
          <w:szCs w:val="24"/>
          <w:lang w:val="lt-LT"/>
        </w:rPr>
        <w:t xml:space="preserve">, </w:t>
      </w:r>
      <w:r w:rsidR="00013C53" w:rsidRPr="00602B72">
        <w:rPr>
          <w:sz w:val="24"/>
          <w:szCs w:val="24"/>
          <w:lang w:val="lt-LT"/>
        </w:rPr>
        <w:t>Neatitikim</w:t>
      </w:r>
      <w:r w:rsidRPr="00602B72">
        <w:rPr>
          <w:sz w:val="24"/>
          <w:szCs w:val="24"/>
          <w:lang w:val="lt-LT"/>
        </w:rPr>
        <w:t>ų tyrimo</w:t>
      </w:r>
      <w:r w:rsidRPr="00602B72">
        <w:rPr>
          <w:sz w:val="24"/>
          <w:szCs w:val="24"/>
          <w:lang w:val="x-none"/>
        </w:rPr>
        <w:t xml:space="preserve"> </w:t>
      </w:r>
      <w:r w:rsidRPr="00602B72">
        <w:rPr>
          <w:sz w:val="24"/>
          <w:szCs w:val="24"/>
          <w:lang w:val="lt-LT"/>
        </w:rPr>
        <w:t xml:space="preserve">pagal </w:t>
      </w:r>
      <w:r w:rsidRPr="00C42720">
        <w:rPr>
          <w:sz w:val="24"/>
          <w:szCs w:val="24"/>
          <w:lang w:val="lt-LT"/>
        </w:rPr>
        <w:t>vis</w:t>
      </w:r>
      <w:r w:rsidR="006530CC" w:rsidRPr="00C42720">
        <w:rPr>
          <w:sz w:val="24"/>
          <w:szCs w:val="24"/>
          <w:lang w:val="lt-LT"/>
        </w:rPr>
        <w:t>u</w:t>
      </w:r>
      <w:r w:rsidR="00555F74" w:rsidRPr="00C42720">
        <w:rPr>
          <w:sz w:val="24"/>
          <w:szCs w:val="24"/>
          <w:lang w:val="lt-LT"/>
        </w:rPr>
        <w:t xml:space="preserve">s </w:t>
      </w:r>
      <w:r w:rsidR="00F21757" w:rsidRPr="00C42720">
        <w:rPr>
          <w:sz w:val="24"/>
          <w:szCs w:val="24"/>
          <w:lang w:val="lt-LT"/>
        </w:rPr>
        <w:t xml:space="preserve">Faktoringo </w:t>
      </w:r>
      <w:r w:rsidR="006530CC" w:rsidRPr="00C42720">
        <w:rPr>
          <w:sz w:val="24"/>
          <w:szCs w:val="24"/>
          <w:lang w:val="lt-LT"/>
        </w:rPr>
        <w:t>sandorius</w:t>
      </w:r>
      <w:r w:rsidRPr="00C42720">
        <w:rPr>
          <w:sz w:val="24"/>
          <w:szCs w:val="24"/>
          <w:lang w:val="lt-LT"/>
        </w:rPr>
        <w:t xml:space="preserve">, </w:t>
      </w:r>
      <w:r w:rsidRPr="00C42720">
        <w:rPr>
          <w:sz w:val="24"/>
          <w:szCs w:val="24"/>
          <w:lang w:val="x-none"/>
        </w:rPr>
        <w:t>kuri</w:t>
      </w:r>
      <w:r w:rsidR="006530CC" w:rsidRPr="00C42720">
        <w:rPr>
          <w:sz w:val="24"/>
          <w:szCs w:val="24"/>
          <w:lang w:val="lt-LT"/>
        </w:rPr>
        <w:t>e</w:t>
      </w:r>
      <w:r w:rsidRPr="00C42720">
        <w:rPr>
          <w:sz w:val="24"/>
          <w:szCs w:val="24"/>
          <w:lang w:val="x-none"/>
        </w:rPr>
        <w:t xml:space="preserve"> buvo</w:t>
      </w:r>
      <w:r w:rsidRPr="00C42720">
        <w:rPr>
          <w:sz w:val="24"/>
          <w:szCs w:val="24"/>
          <w:lang w:val="lt-LT"/>
        </w:rPr>
        <w:t xml:space="preserve"> ar </w:t>
      </w:r>
      <w:r w:rsidRPr="00C42720">
        <w:rPr>
          <w:sz w:val="24"/>
          <w:szCs w:val="24"/>
          <w:lang w:val="x-none"/>
        </w:rPr>
        <w:t>yra įtraukt</w:t>
      </w:r>
      <w:r w:rsidR="006530CC" w:rsidRPr="00C42720">
        <w:rPr>
          <w:sz w:val="24"/>
          <w:szCs w:val="24"/>
          <w:lang w:val="lt-LT"/>
        </w:rPr>
        <w:t>i</w:t>
      </w:r>
      <w:r w:rsidRPr="00C42720">
        <w:rPr>
          <w:sz w:val="24"/>
          <w:szCs w:val="24"/>
          <w:lang w:val="x-none"/>
        </w:rPr>
        <w:t xml:space="preserve"> į Portfelį</w:t>
      </w:r>
      <w:r w:rsidR="00D84D97" w:rsidRPr="00C42720">
        <w:rPr>
          <w:sz w:val="24"/>
          <w:szCs w:val="24"/>
          <w:lang w:val="lt-LT"/>
        </w:rPr>
        <w:t xml:space="preserve"> iki Sutarties nutraukimo</w:t>
      </w:r>
      <w:r w:rsidRPr="00C42720">
        <w:rPr>
          <w:sz w:val="24"/>
          <w:szCs w:val="24"/>
          <w:lang w:val="lt-LT"/>
        </w:rPr>
        <w:t>, tvarka bei detalizuojamos kitos po Sutarties nutraukimo aktualios nuostatos</w:t>
      </w:r>
      <w:r w:rsidRPr="00C42720">
        <w:rPr>
          <w:sz w:val="24"/>
          <w:szCs w:val="24"/>
          <w:lang w:val="x-none"/>
        </w:rPr>
        <w:t>.</w:t>
      </w:r>
    </w:p>
    <w:p w14:paraId="36885ED0" w14:textId="431FF5C0" w:rsidR="004E3B8D" w:rsidRPr="00C42720" w:rsidRDefault="00CA6054" w:rsidP="009B0EE1">
      <w:pPr>
        <w:pStyle w:val="ListParagraph"/>
        <w:numPr>
          <w:ilvl w:val="1"/>
          <w:numId w:val="11"/>
        </w:numPr>
        <w:tabs>
          <w:tab w:val="left" w:pos="567"/>
        </w:tabs>
        <w:spacing w:after="0"/>
        <w:ind w:left="-709" w:firstLine="709"/>
        <w:jc w:val="both"/>
        <w:rPr>
          <w:sz w:val="24"/>
          <w:szCs w:val="24"/>
          <w:lang w:val="lt-LT"/>
        </w:rPr>
      </w:pPr>
      <w:r w:rsidRPr="00C42720">
        <w:rPr>
          <w:sz w:val="24"/>
          <w:szCs w:val="24"/>
          <w:lang w:val="lt-LT"/>
        </w:rPr>
        <w:t xml:space="preserve">Jei susiklosto nuo Šalies nepriklausanti nenugalimos jėgos aplinkybė (išskyrus darbo ginčus, streikus ar finansinius sunkumus ir pan.), įskaitant </w:t>
      </w:r>
      <w:r w:rsidR="00BF693D" w:rsidRPr="00C42720">
        <w:rPr>
          <w:sz w:val="24"/>
          <w:szCs w:val="24"/>
          <w:lang w:val="lt-LT"/>
        </w:rPr>
        <w:t>INVEGOS</w:t>
      </w:r>
      <w:r w:rsidRPr="00C42720">
        <w:rPr>
          <w:sz w:val="24"/>
          <w:szCs w:val="24"/>
          <w:lang w:val="lt-LT"/>
        </w:rPr>
        <w:t xml:space="preserve"> fondo panaikinimą arba laikiną sustabdymą remiantis ES teisės aktu ar kitu būdu, arba LR Seimas, LR Vyriausybė ar kita valdžios institucija priima, pakeičia ar panaikina susijusius teisės aktus ir dėl tokios padėties ar aplinkybės, kurios padarinių neįmanoma likviduoti nepaisant visų dedamų pastangų, bet kuri Šalis, negalinti vykdyti savo įsipareigojimų pagal Sutartį, nedelsdama</w:t>
      </w:r>
      <w:r w:rsidR="007C0384" w:rsidRPr="00C42720">
        <w:rPr>
          <w:sz w:val="24"/>
          <w:szCs w:val="24"/>
          <w:lang w:val="lt-LT"/>
        </w:rPr>
        <w:t>,</w:t>
      </w:r>
      <w:r w:rsidRPr="00C42720">
        <w:rPr>
          <w:sz w:val="24"/>
          <w:szCs w:val="24"/>
          <w:lang w:val="lt-LT"/>
        </w:rPr>
        <w:t xml:space="preserve"> </w:t>
      </w:r>
      <w:r w:rsidR="007C0384" w:rsidRPr="00C42720">
        <w:rPr>
          <w:sz w:val="24"/>
          <w:szCs w:val="24"/>
          <w:lang w:val="lt-LT"/>
        </w:rPr>
        <w:t>bet ne vėliau nei per 15</w:t>
      </w:r>
      <w:r w:rsidR="00CA6251" w:rsidRPr="00C42720">
        <w:rPr>
          <w:sz w:val="24"/>
          <w:szCs w:val="24"/>
          <w:lang w:val="lt-LT"/>
        </w:rPr>
        <w:t xml:space="preserve"> (penkiolika)</w:t>
      </w:r>
      <w:r w:rsidR="007C0384" w:rsidRPr="00C42720">
        <w:rPr>
          <w:sz w:val="24"/>
          <w:szCs w:val="24"/>
          <w:lang w:val="lt-LT"/>
        </w:rPr>
        <w:t xml:space="preserve"> kalendorinių dienų, </w:t>
      </w:r>
      <w:r w:rsidRPr="00C42720">
        <w:rPr>
          <w:sz w:val="24"/>
          <w:szCs w:val="24"/>
          <w:lang w:val="lt-LT"/>
        </w:rPr>
        <w:t>praneša apie tai kitai Šaliai rašytiniu pranešimu apie nenugalimos jėgos aplinkybes, kuriame nurodomas nenugalimos jėgos aplinkybės pobūdis, galima trukmė ir numato</w:t>
      </w:r>
      <w:r w:rsidR="004E3B8D" w:rsidRPr="00C42720">
        <w:rPr>
          <w:sz w:val="24"/>
          <w:szCs w:val="24"/>
          <w:lang w:val="lt-LT"/>
        </w:rPr>
        <w:t>mas poveikis.</w:t>
      </w:r>
    </w:p>
    <w:p w14:paraId="0703D5DB" w14:textId="4ACC4D10" w:rsidR="004E3B8D" w:rsidRPr="00C9767B" w:rsidRDefault="00CA6054" w:rsidP="00254ADB">
      <w:pPr>
        <w:pStyle w:val="ListParagraph"/>
        <w:numPr>
          <w:ilvl w:val="1"/>
          <w:numId w:val="11"/>
        </w:numPr>
        <w:tabs>
          <w:tab w:val="left" w:pos="567"/>
          <w:tab w:val="left" w:pos="709"/>
        </w:tabs>
        <w:spacing w:after="0"/>
        <w:ind w:left="-709" w:firstLine="709"/>
        <w:jc w:val="both"/>
        <w:rPr>
          <w:sz w:val="24"/>
          <w:szCs w:val="24"/>
          <w:lang w:val="lt-LT"/>
        </w:rPr>
      </w:pPr>
      <w:r w:rsidRPr="00C42720">
        <w:rPr>
          <w:sz w:val="24"/>
          <w:szCs w:val="24"/>
          <w:lang w:val="lt-LT"/>
        </w:rPr>
        <w:t xml:space="preserve">Gavusios pranešimą apie nenugalimos jėgos aplinkybes, Šalys nedelsdamos pradeda konsultuotis ir deda visas pastangas, kad būtų kuo labiau sumažinta žala dėl nenugalimos jėgos </w:t>
      </w:r>
      <w:r w:rsidRPr="00C9767B">
        <w:rPr>
          <w:sz w:val="24"/>
          <w:szCs w:val="24"/>
          <w:lang w:val="lt-LT"/>
        </w:rPr>
        <w:t xml:space="preserve">aplinkybių atsiradimo, nes nėra laikoma, kad kuri nors Šalis nevykdo savo Sutartimi prisiimtų įsipareigojimų, jei ji negali jų vykdyti dėl nenugalimos jėgos aplinkybių. Jei, veikdamos sąžiningai, Šalys įsitikina, kad tolesnis </w:t>
      </w:r>
      <w:r w:rsidR="00C51F33" w:rsidRPr="00C9767B">
        <w:rPr>
          <w:sz w:val="24"/>
          <w:szCs w:val="24"/>
          <w:lang w:val="lt-LT"/>
        </w:rPr>
        <w:t>PGF</w:t>
      </w:r>
      <w:r w:rsidR="00C42720" w:rsidRPr="00C9767B">
        <w:rPr>
          <w:sz w:val="24"/>
          <w:szCs w:val="24"/>
          <w:lang w:val="lt-LT"/>
        </w:rPr>
        <w:t>2</w:t>
      </w:r>
      <w:r w:rsidRPr="00C9767B">
        <w:rPr>
          <w:sz w:val="24"/>
          <w:szCs w:val="24"/>
          <w:lang w:val="lt-LT"/>
        </w:rPr>
        <w:t xml:space="preserve"> priemonės įgyvendinimas yra neįmanomas arba daug sunkesnis dėl nenugalimos jėgos aplinkybių, Sutartis nutraukiama.</w:t>
      </w:r>
    </w:p>
    <w:p w14:paraId="4A4015C5" w14:textId="2ADEEEF6" w:rsidR="00CA6054" w:rsidRPr="00C9767B" w:rsidRDefault="00EF15EC" w:rsidP="009B0EE1">
      <w:pPr>
        <w:pStyle w:val="ListParagraph"/>
        <w:numPr>
          <w:ilvl w:val="1"/>
          <w:numId w:val="11"/>
        </w:numPr>
        <w:tabs>
          <w:tab w:val="left" w:pos="851"/>
        </w:tabs>
        <w:spacing w:after="0"/>
        <w:ind w:left="-709" w:firstLine="709"/>
        <w:jc w:val="both"/>
        <w:rPr>
          <w:sz w:val="24"/>
          <w:szCs w:val="24"/>
          <w:lang w:val="lt-LT"/>
        </w:rPr>
      </w:pPr>
      <w:r w:rsidRPr="00C9767B">
        <w:rPr>
          <w:sz w:val="24"/>
          <w:szCs w:val="24"/>
          <w:lang w:val="lt-LT"/>
        </w:rPr>
        <w:t xml:space="preserve">Suėjus Sutarties pasibaigimo </w:t>
      </w:r>
      <w:r w:rsidR="00412EEF" w:rsidRPr="00C9767B">
        <w:rPr>
          <w:sz w:val="24"/>
          <w:szCs w:val="24"/>
          <w:lang w:val="lt-LT"/>
        </w:rPr>
        <w:t>datai</w:t>
      </w:r>
      <w:r w:rsidRPr="00C9767B">
        <w:rPr>
          <w:sz w:val="24"/>
          <w:szCs w:val="24"/>
          <w:lang w:val="lt-LT"/>
        </w:rPr>
        <w:t xml:space="preserve"> arba n</w:t>
      </w:r>
      <w:r w:rsidR="00CA6054" w:rsidRPr="00C9767B">
        <w:rPr>
          <w:sz w:val="24"/>
          <w:szCs w:val="24"/>
          <w:lang w:val="lt-LT"/>
        </w:rPr>
        <w:t>utraukus Sutartį anksčiau laiko</w:t>
      </w:r>
      <w:r w:rsidR="006530CC" w:rsidRPr="00C9767B">
        <w:rPr>
          <w:sz w:val="24"/>
          <w:szCs w:val="24"/>
          <w:lang w:val="lt-LT"/>
        </w:rPr>
        <w:t>,</w:t>
      </w:r>
      <w:r w:rsidR="00CA6054" w:rsidRPr="00C9767B">
        <w:rPr>
          <w:sz w:val="24"/>
          <w:szCs w:val="24"/>
          <w:lang w:val="lt-LT"/>
        </w:rPr>
        <w:t xml:space="preserve"> </w:t>
      </w:r>
      <w:r w:rsidR="00C63E3A" w:rsidRPr="00C9767B">
        <w:rPr>
          <w:sz w:val="24"/>
          <w:szCs w:val="24"/>
          <w:lang w:val="lt-LT"/>
        </w:rPr>
        <w:t>Šalys</w:t>
      </w:r>
      <w:r w:rsidR="00CA6054" w:rsidRPr="00C9767B">
        <w:rPr>
          <w:sz w:val="24"/>
          <w:szCs w:val="24"/>
          <w:lang w:val="lt-LT"/>
        </w:rPr>
        <w:t xml:space="preserve"> toliau vykdo įsipareigojimus, kilusius iš Sutarties vykdymo iki jos nutraukimo</w:t>
      </w:r>
      <w:r w:rsidR="00923D40" w:rsidRPr="00C9767B">
        <w:rPr>
          <w:sz w:val="24"/>
          <w:szCs w:val="24"/>
          <w:lang w:val="lt-LT"/>
        </w:rPr>
        <w:t>,</w:t>
      </w:r>
      <w:r w:rsidR="00CA6054" w:rsidRPr="00C9767B">
        <w:rPr>
          <w:sz w:val="24"/>
          <w:szCs w:val="24"/>
          <w:lang w:val="lt-LT"/>
        </w:rPr>
        <w:t xml:space="preserve"> bei įsipareigojimus nurodytus </w:t>
      </w:r>
      <w:r w:rsidR="00C51F33" w:rsidRPr="00C9767B">
        <w:rPr>
          <w:sz w:val="24"/>
          <w:szCs w:val="24"/>
          <w:lang w:val="lt-LT"/>
        </w:rPr>
        <w:t>PGF</w:t>
      </w:r>
      <w:r w:rsidR="00C9767B" w:rsidRPr="00C9767B">
        <w:rPr>
          <w:sz w:val="24"/>
          <w:szCs w:val="24"/>
          <w:lang w:val="lt-LT"/>
        </w:rPr>
        <w:t>2</w:t>
      </w:r>
      <w:r w:rsidR="00CA6054" w:rsidRPr="00C9767B">
        <w:rPr>
          <w:sz w:val="24"/>
          <w:szCs w:val="24"/>
          <w:lang w:val="lt-LT"/>
        </w:rPr>
        <w:t xml:space="preserve"> priemonės įgyvendinimui taikytinuose teisės aktuose.</w:t>
      </w:r>
    </w:p>
    <w:p w14:paraId="6592A479" w14:textId="77777777" w:rsidR="004B059B" w:rsidRPr="00B2687D" w:rsidRDefault="004B059B" w:rsidP="009B0EE1">
      <w:pPr>
        <w:spacing w:line="276" w:lineRule="auto"/>
        <w:ind w:left="-851" w:firstLine="851"/>
        <w:jc w:val="both"/>
        <w:rPr>
          <w:rFonts w:ascii="Times New Roman" w:hAnsi="Times New Roman"/>
          <w:caps/>
          <w:szCs w:val="24"/>
        </w:rPr>
      </w:pPr>
    </w:p>
    <w:p w14:paraId="7A3F43EC" w14:textId="61E18A1C" w:rsidR="00856580" w:rsidRPr="00B2687D" w:rsidRDefault="00FB3705" w:rsidP="009B0EE1">
      <w:pPr>
        <w:spacing w:line="276" w:lineRule="auto"/>
        <w:ind w:left="-851" w:firstLine="851"/>
        <w:jc w:val="center"/>
        <w:rPr>
          <w:rFonts w:ascii="Times New Roman" w:hAnsi="Times New Roman"/>
          <w:b/>
          <w:caps/>
          <w:szCs w:val="24"/>
        </w:rPr>
      </w:pPr>
      <w:r w:rsidRPr="00B2687D">
        <w:rPr>
          <w:rFonts w:ascii="Times New Roman" w:hAnsi="Times New Roman"/>
          <w:b/>
          <w:caps/>
          <w:szCs w:val="24"/>
        </w:rPr>
        <w:t xml:space="preserve">XI SKYRIUS. </w:t>
      </w:r>
      <w:r w:rsidR="00856580" w:rsidRPr="00B2687D">
        <w:rPr>
          <w:rFonts w:ascii="Times New Roman" w:hAnsi="Times New Roman"/>
          <w:b/>
          <w:caps/>
          <w:szCs w:val="24"/>
        </w:rPr>
        <w:t>BAigiamosios nuostatos</w:t>
      </w:r>
    </w:p>
    <w:p w14:paraId="681DBD7A" w14:textId="77777777" w:rsidR="00856580" w:rsidRPr="00B2687D" w:rsidRDefault="00856580" w:rsidP="009B0EE1">
      <w:pPr>
        <w:spacing w:line="276" w:lineRule="auto"/>
        <w:ind w:left="-851" w:firstLine="851"/>
        <w:jc w:val="both"/>
        <w:rPr>
          <w:rFonts w:ascii="Times New Roman" w:hAnsi="Times New Roman"/>
          <w:caps/>
          <w:szCs w:val="24"/>
        </w:rPr>
      </w:pPr>
    </w:p>
    <w:p w14:paraId="6346AEFD" w14:textId="179DD03F" w:rsidR="00EF6F2C" w:rsidRPr="00B2687D" w:rsidRDefault="00856580" w:rsidP="009B0EE1">
      <w:pPr>
        <w:numPr>
          <w:ilvl w:val="1"/>
          <w:numId w:val="12"/>
        </w:numPr>
        <w:tabs>
          <w:tab w:val="left" w:pos="567"/>
        </w:tabs>
        <w:spacing w:line="276" w:lineRule="auto"/>
        <w:ind w:left="-851" w:firstLine="851"/>
        <w:jc w:val="both"/>
        <w:rPr>
          <w:rFonts w:ascii="Times New Roman" w:hAnsi="Times New Roman"/>
          <w:szCs w:val="24"/>
        </w:rPr>
      </w:pPr>
      <w:r w:rsidRPr="00B2687D">
        <w:rPr>
          <w:rFonts w:ascii="Times New Roman" w:hAnsi="Times New Roman"/>
          <w:szCs w:val="24"/>
        </w:rPr>
        <w:t xml:space="preserve">Sutartis sudaryta </w:t>
      </w:r>
      <w:r w:rsidR="00DD565D" w:rsidRPr="00B2687D">
        <w:rPr>
          <w:rFonts w:ascii="Times New Roman" w:hAnsi="Times New Roman"/>
          <w:szCs w:val="24"/>
        </w:rPr>
        <w:t xml:space="preserve">lietuvių kalba </w:t>
      </w:r>
      <w:r w:rsidRPr="00B2687D">
        <w:rPr>
          <w:rFonts w:ascii="Times New Roman" w:hAnsi="Times New Roman"/>
          <w:szCs w:val="24"/>
        </w:rPr>
        <w:t xml:space="preserve">vadovaujantis </w:t>
      </w:r>
      <w:r w:rsidR="00EF6F2C" w:rsidRPr="00B2687D">
        <w:rPr>
          <w:rFonts w:ascii="Times New Roman" w:hAnsi="Times New Roman"/>
          <w:szCs w:val="24"/>
        </w:rPr>
        <w:t>Lietuvos Respublikos įstatymais.</w:t>
      </w:r>
    </w:p>
    <w:p w14:paraId="3155C6AA" w14:textId="1937D367" w:rsidR="00EF6F2C" w:rsidRPr="00823CF2" w:rsidRDefault="00856580" w:rsidP="009B0EE1">
      <w:pPr>
        <w:numPr>
          <w:ilvl w:val="1"/>
          <w:numId w:val="12"/>
        </w:numPr>
        <w:tabs>
          <w:tab w:val="left" w:pos="567"/>
        </w:tabs>
        <w:spacing w:line="276" w:lineRule="auto"/>
        <w:ind w:left="-851" w:firstLine="851"/>
        <w:jc w:val="both"/>
        <w:rPr>
          <w:rFonts w:ascii="Times New Roman" w:hAnsi="Times New Roman"/>
          <w:szCs w:val="24"/>
        </w:rPr>
      </w:pPr>
      <w:r w:rsidRPr="00B2687D">
        <w:rPr>
          <w:rFonts w:ascii="Times New Roman" w:hAnsi="Times New Roman"/>
          <w:szCs w:val="24"/>
        </w:rPr>
        <w:t xml:space="preserve">Sutartis </w:t>
      </w:r>
      <w:r w:rsidRPr="00823CF2">
        <w:rPr>
          <w:rFonts w:ascii="Times New Roman" w:hAnsi="Times New Roman"/>
          <w:szCs w:val="24"/>
        </w:rPr>
        <w:t>sudaryta 2 egzemplioriais, tu</w:t>
      </w:r>
      <w:r w:rsidR="00EF6F2C" w:rsidRPr="00823CF2">
        <w:rPr>
          <w:rFonts w:ascii="Times New Roman" w:hAnsi="Times New Roman"/>
          <w:szCs w:val="24"/>
        </w:rPr>
        <w:t>rinčiais vienodą juridinę galią</w:t>
      </w:r>
      <w:r w:rsidR="00391F1B">
        <w:rPr>
          <w:rFonts w:ascii="Times New Roman" w:hAnsi="Times New Roman"/>
          <w:szCs w:val="24"/>
        </w:rPr>
        <w:t>, išskyrus atvejus, kai Sutartis pasirašoma elektroniniu parašu</w:t>
      </w:r>
      <w:r w:rsidR="00EF6F2C" w:rsidRPr="00823CF2">
        <w:rPr>
          <w:rFonts w:ascii="Times New Roman" w:hAnsi="Times New Roman"/>
          <w:szCs w:val="24"/>
        </w:rPr>
        <w:t>.</w:t>
      </w:r>
    </w:p>
    <w:p w14:paraId="789BCA41" w14:textId="48057B7B" w:rsidR="00EF6F2C" w:rsidRPr="00823CF2" w:rsidRDefault="00856580" w:rsidP="009B0EE1">
      <w:pPr>
        <w:numPr>
          <w:ilvl w:val="1"/>
          <w:numId w:val="12"/>
        </w:numPr>
        <w:tabs>
          <w:tab w:val="left" w:pos="567"/>
        </w:tabs>
        <w:spacing w:line="276" w:lineRule="auto"/>
        <w:ind w:left="-851" w:firstLine="851"/>
        <w:jc w:val="both"/>
        <w:rPr>
          <w:rFonts w:ascii="Times New Roman" w:hAnsi="Times New Roman"/>
          <w:szCs w:val="24"/>
        </w:rPr>
      </w:pPr>
      <w:r w:rsidRPr="00823CF2">
        <w:rPr>
          <w:rFonts w:ascii="Times New Roman" w:hAnsi="Times New Roman"/>
          <w:szCs w:val="24"/>
        </w:rPr>
        <w:t xml:space="preserve">Vykdant Sutartį </w:t>
      </w:r>
      <w:r w:rsidR="00EF6F2C" w:rsidRPr="00823CF2">
        <w:rPr>
          <w:rFonts w:ascii="Times New Roman" w:hAnsi="Times New Roman"/>
          <w:szCs w:val="24"/>
        </w:rPr>
        <w:t>Š</w:t>
      </w:r>
      <w:r w:rsidRPr="00823CF2">
        <w:rPr>
          <w:rFonts w:ascii="Times New Roman" w:hAnsi="Times New Roman"/>
          <w:szCs w:val="24"/>
        </w:rPr>
        <w:t>alys įsipareigoja veikti geranoriškai, vykdyti prisiimtus įsipareigojimus ir nepiktnaudžiauti suteikiamomis teisėmis.</w:t>
      </w:r>
    </w:p>
    <w:p w14:paraId="50A43E17" w14:textId="783DEAD4" w:rsidR="00EF6F2C" w:rsidRPr="0092103B" w:rsidRDefault="00856580" w:rsidP="009B0EE1">
      <w:pPr>
        <w:numPr>
          <w:ilvl w:val="1"/>
          <w:numId w:val="12"/>
        </w:numPr>
        <w:tabs>
          <w:tab w:val="left" w:pos="567"/>
        </w:tabs>
        <w:spacing w:line="276" w:lineRule="auto"/>
        <w:ind w:left="-851" w:firstLine="851"/>
        <w:jc w:val="both"/>
        <w:rPr>
          <w:rFonts w:ascii="Times New Roman" w:hAnsi="Times New Roman"/>
          <w:szCs w:val="24"/>
        </w:rPr>
      </w:pPr>
      <w:r w:rsidRPr="00823CF2">
        <w:rPr>
          <w:rFonts w:ascii="Times New Roman" w:hAnsi="Times New Roman"/>
          <w:szCs w:val="24"/>
        </w:rPr>
        <w:t>Jeigu po Sutarties pasirašymo dienos kurios nors Sutarties nuostatos teisiškai taptų negaliojančio</w:t>
      </w:r>
      <w:r w:rsidR="00EF6F2C" w:rsidRPr="00823CF2">
        <w:rPr>
          <w:rFonts w:ascii="Times New Roman" w:hAnsi="Times New Roman"/>
          <w:szCs w:val="24"/>
        </w:rPr>
        <w:t>mi</w:t>
      </w:r>
      <w:r w:rsidRPr="00823CF2">
        <w:rPr>
          <w:rFonts w:ascii="Times New Roman" w:hAnsi="Times New Roman"/>
          <w:szCs w:val="24"/>
        </w:rPr>
        <w:t xml:space="preserve">s, toks negaliojimas neturėtų turėti įtakos likusių nuostatų galiojimui. Bet koks </w:t>
      </w:r>
      <w:r w:rsidRPr="00823CF2">
        <w:rPr>
          <w:rFonts w:ascii="Times New Roman" w:hAnsi="Times New Roman"/>
          <w:szCs w:val="24"/>
        </w:rPr>
        <w:lastRenderedPageBreak/>
        <w:t xml:space="preserve">nuoseklumo trūkumas dėl minimo teisiško netinkamumo turi būti užpildytas nuostata, kuri atitiktų Sutarties esmę ir </w:t>
      </w:r>
      <w:r w:rsidRPr="0092103B">
        <w:rPr>
          <w:rFonts w:ascii="Times New Roman" w:hAnsi="Times New Roman"/>
          <w:szCs w:val="24"/>
        </w:rPr>
        <w:t>tikslą.</w:t>
      </w:r>
    </w:p>
    <w:p w14:paraId="52108832" w14:textId="6979931B" w:rsidR="004F7851" w:rsidRPr="0045269A" w:rsidRDefault="009E6C0D" w:rsidP="009B0EE1">
      <w:pPr>
        <w:numPr>
          <w:ilvl w:val="1"/>
          <w:numId w:val="12"/>
        </w:numPr>
        <w:tabs>
          <w:tab w:val="left" w:pos="567"/>
        </w:tabs>
        <w:spacing w:line="276" w:lineRule="auto"/>
        <w:ind w:left="-851" w:firstLine="851"/>
        <w:jc w:val="both"/>
        <w:rPr>
          <w:rFonts w:ascii="Times New Roman" w:hAnsi="Times New Roman"/>
          <w:szCs w:val="24"/>
        </w:rPr>
      </w:pPr>
      <w:r w:rsidRPr="0045269A">
        <w:rPr>
          <w:rFonts w:ascii="Times New Roman" w:hAnsi="Times New Roman"/>
          <w:szCs w:val="24"/>
        </w:rPr>
        <w:t xml:space="preserve">Šalys susitaria, kad </w:t>
      </w:r>
      <w:r w:rsidR="00AF04A4" w:rsidRPr="0045269A">
        <w:rPr>
          <w:rFonts w:ascii="Times New Roman" w:hAnsi="Times New Roman"/>
          <w:szCs w:val="24"/>
        </w:rPr>
        <w:t>Sutarties sąlygos</w:t>
      </w:r>
      <w:r w:rsidR="00EF1661" w:rsidRPr="0045269A">
        <w:rPr>
          <w:rFonts w:ascii="Times New Roman" w:hAnsi="Times New Roman"/>
          <w:szCs w:val="24"/>
        </w:rPr>
        <w:t xml:space="preserve"> </w:t>
      </w:r>
      <w:r w:rsidRPr="0045269A">
        <w:rPr>
          <w:rFonts w:ascii="Times New Roman" w:hAnsi="Times New Roman"/>
          <w:szCs w:val="24"/>
        </w:rPr>
        <w:t>bus</w:t>
      </w:r>
      <w:r w:rsidR="00EF1661" w:rsidRPr="0045269A">
        <w:rPr>
          <w:rFonts w:ascii="Times New Roman" w:hAnsi="Times New Roman"/>
          <w:szCs w:val="24"/>
        </w:rPr>
        <w:t xml:space="preserve"> keičiamos </w:t>
      </w:r>
      <w:r w:rsidR="00AF04A4" w:rsidRPr="0045269A">
        <w:rPr>
          <w:rFonts w:ascii="Times New Roman" w:hAnsi="Times New Roman"/>
          <w:szCs w:val="24"/>
        </w:rPr>
        <w:t>esant šioms aplinkybėms</w:t>
      </w:r>
      <w:r w:rsidR="00AD33BD" w:rsidRPr="0045269A">
        <w:rPr>
          <w:rFonts w:ascii="Times New Roman" w:hAnsi="Times New Roman"/>
          <w:szCs w:val="24"/>
        </w:rPr>
        <w:t xml:space="preserve">, </w:t>
      </w:r>
      <w:r w:rsidR="00EF6F2C" w:rsidRPr="0045269A">
        <w:rPr>
          <w:rFonts w:ascii="Times New Roman" w:hAnsi="Times New Roman"/>
          <w:szCs w:val="24"/>
        </w:rPr>
        <w:t>t</w:t>
      </w:r>
      <w:r w:rsidR="00FE0891" w:rsidRPr="0045269A">
        <w:rPr>
          <w:rFonts w:ascii="Times New Roman" w:hAnsi="Times New Roman"/>
          <w:szCs w:val="24"/>
        </w:rPr>
        <w:t>.</w:t>
      </w:r>
      <w:r w:rsidR="00FE0891">
        <w:rPr>
          <w:rFonts w:ascii="Times New Roman" w:hAnsi="Times New Roman"/>
          <w:szCs w:val="24"/>
        </w:rPr>
        <w:t> </w:t>
      </w:r>
      <w:r w:rsidR="00EF6F2C" w:rsidRPr="0045269A">
        <w:rPr>
          <w:rFonts w:ascii="Times New Roman" w:hAnsi="Times New Roman"/>
          <w:szCs w:val="24"/>
        </w:rPr>
        <w:t>y.</w:t>
      </w:r>
      <w:r w:rsidR="006530CC" w:rsidRPr="0045269A">
        <w:rPr>
          <w:rFonts w:ascii="Times New Roman" w:hAnsi="Times New Roman"/>
          <w:szCs w:val="24"/>
        </w:rPr>
        <w:t>,</w:t>
      </w:r>
      <w:r w:rsidR="00EF6F2C" w:rsidRPr="0045269A">
        <w:rPr>
          <w:rFonts w:ascii="Times New Roman" w:hAnsi="Times New Roman"/>
          <w:szCs w:val="24"/>
        </w:rPr>
        <w:t xml:space="preserve"> </w:t>
      </w:r>
      <w:r w:rsidR="00AD33BD" w:rsidRPr="0045269A">
        <w:rPr>
          <w:rFonts w:ascii="Times New Roman" w:hAnsi="Times New Roman"/>
          <w:szCs w:val="24"/>
        </w:rPr>
        <w:t>kai</w:t>
      </w:r>
      <w:r w:rsidR="00EB63B7" w:rsidRPr="0045269A">
        <w:rPr>
          <w:rFonts w:ascii="Times New Roman" w:hAnsi="Times New Roman"/>
          <w:szCs w:val="24"/>
        </w:rPr>
        <w:t>:</w:t>
      </w:r>
    </w:p>
    <w:p w14:paraId="5E26C8DE" w14:textId="0A476242" w:rsidR="00EF6F2C" w:rsidRPr="002F0522" w:rsidRDefault="00AD33BD" w:rsidP="00BF7887">
      <w:pPr>
        <w:numPr>
          <w:ilvl w:val="2"/>
          <w:numId w:val="12"/>
        </w:numPr>
        <w:tabs>
          <w:tab w:val="left" w:pos="0"/>
          <w:tab w:val="left" w:pos="851"/>
        </w:tabs>
        <w:spacing w:line="276" w:lineRule="auto"/>
        <w:ind w:left="-709" w:firstLine="709"/>
        <w:jc w:val="both"/>
        <w:rPr>
          <w:rFonts w:ascii="Times New Roman" w:hAnsi="Times New Roman"/>
          <w:szCs w:val="24"/>
        </w:rPr>
      </w:pPr>
      <w:r w:rsidRPr="002F0522">
        <w:rPr>
          <w:rFonts w:ascii="Times New Roman" w:hAnsi="Times New Roman"/>
          <w:szCs w:val="24"/>
        </w:rPr>
        <w:t xml:space="preserve">keičiamos </w:t>
      </w:r>
      <w:r w:rsidR="00644FD6" w:rsidRPr="002F0522">
        <w:rPr>
          <w:rFonts w:ascii="Times New Roman" w:hAnsi="Times New Roman"/>
          <w:szCs w:val="24"/>
        </w:rPr>
        <w:t>Aprašo</w:t>
      </w:r>
      <w:r w:rsidRPr="002F0522">
        <w:rPr>
          <w:rFonts w:ascii="Times New Roman" w:hAnsi="Times New Roman"/>
          <w:szCs w:val="24"/>
        </w:rPr>
        <w:t xml:space="preserve"> sąlygos, tiesiogiai susijusios su konkrečių nacionalinių ar ES teisės aktų bei jų išaiškinimų, reglamentuojančių </w:t>
      </w:r>
      <w:r w:rsidR="00C51F33" w:rsidRPr="002F0522">
        <w:rPr>
          <w:rFonts w:ascii="Times New Roman" w:hAnsi="Times New Roman"/>
          <w:szCs w:val="24"/>
        </w:rPr>
        <w:t>PGF</w:t>
      </w:r>
      <w:r w:rsidR="0045269A" w:rsidRPr="002F0522">
        <w:rPr>
          <w:rFonts w:ascii="Times New Roman" w:hAnsi="Times New Roman"/>
          <w:szCs w:val="24"/>
        </w:rPr>
        <w:t>2</w:t>
      </w:r>
      <w:r w:rsidRPr="002F0522">
        <w:rPr>
          <w:rFonts w:ascii="Times New Roman" w:hAnsi="Times New Roman"/>
          <w:szCs w:val="24"/>
        </w:rPr>
        <w:t xml:space="preserve"> priemonės įgyvendinimą, pakeitimais, </w:t>
      </w:r>
      <w:r w:rsidR="004B6E1B" w:rsidRPr="002F0522">
        <w:rPr>
          <w:rFonts w:ascii="Times New Roman" w:hAnsi="Times New Roman"/>
          <w:szCs w:val="24"/>
        </w:rPr>
        <w:t>A</w:t>
      </w:r>
      <w:r w:rsidRPr="002F0522">
        <w:rPr>
          <w:rFonts w:ascii="Times New Roman" w:hAnsi="Times New Roman"/>
          <w:szCs w:val="24"/>
        </w:rPr>
        <w:t>udito institucijų rekomendacijomis;</w:t>
      </w:r>
    </w:p>
    <w:p w14:paraId="3421BF7D" w14:textId="6F912310" w:rsidR="00EF6F2C" w:rsidRPr="002F0522" w:rsidRDefault="00AD33BD" w:rsidP="00BF7887">
      <w:pPr>
        <w:numPr>
          <w:ilvl w:val="2"/>
          <w:numId w:val="12"/>
        </w:numPr>
        <w:tabs>
          <w:tab w:val="left" w:pos="0"/>
          <w:tab w:val="left" w:pos="851"/>
        </w:tabs>
        <w:spacing w:line="276" w:lineRule="auto"/>
        <w:ind w:left="-709" w:firstLine="709"/>
        <w:jc w:val="both"/>
        <w:rPr>
          <w:rFonts w:ascii="Times New Roman" w:hAnsi="Times New Roman"/>
          <w:szCs w:val="24"/>
        </w:rPr>
      </w:pPr>
      <w:r w:rsidRPr="002F0522">
        <w:rPr>
          <w:rFonts w:ascii="Times New Roman" w:hAnsi="Times New Roman"/>
          <w:szCs w:val="24"/>
        </w:rPr>
        <w:t>keičiam</w:t>
      </w:r>
      <w:r w:rsidR="004D4C99" w:rsidRPr="002F0522">
        <w:rPr>
          <w:rFonts w:ascii="Times New Roman" w:hAnsi="Times New Roman"/>
          <w:szCs w:val="24"/>
        </w:rPr>
        <w:t xml:space="preserve">i Garantijos mokesčio ir išieškotų skolų INVEGOS fondui mokėjimo terminai, </w:t>
      </w:r>
      <w:r w:rsidRPr="002F0522">
        <w:rPr>
          <w:rFonts w:ascii="Times New Roman" w:hAnsi="Times New Roman"/>
          <w:szCs w:val="24"/>
        </w:rPr>
        <w:t xml:space="preserve">Tinkamumo laikotarpis ir (ar) </w:t>
      </w:r>
      <w:r w:rsidR="00BD0F0C" w:rsidRPr="002F0522">
        <w:rPr>
          <w:rFonts w:ascii="Times New Roman" w:hAnsi="Times New Roman"/>
          <w:szCs w:val="24"/>
        </w:rPr>
        <w:t xml:space="preserve">Faktoringo sandorių </w:t>
      </w:r>
      <w:r w:rsidR="00073B9F" w:rsidRPr="002F0522">
        <w:rPr>
          <w:rFonts w:eastAsia="Calibri"/>
        </w:rPr>
        <w:t xml:space="preserve">Faktoringo avansų </w:t>
      </w:r>
      <w:r w:rsidR="00073B9F" w:rsidRPr="002F0522">
        <w:rPr>
          <w:rFonts w:ascii="Times New Roman" w:hAnsi="Times New Roman"/>
          <w:szCs w:val="24"/>
        </w:rPr>
        <w:t>i</w:t>
      </w:r>
      <w:r w:rsidRPr="002F0522">
        <w:rPr>
          <w:rFonts w:ascii="Times New Roman" w:hAnsi="Times New Roman"/>
          <w:szCs w:val="24"/>
        </w:rPr>
        <w:t>šmokė</w:t>
      </w:r>
      <w:r w:rsidR="00EF6F2C" w:rsidRPr="002F0522">
        <w:rPr>
          <w:rFonts w:ascii="Times New Roman" w:hAnsi="Times New Roman"/>
          <w:szCs w:val="24"/>
        </w:rPr>
        <w:t>jimo laikotarpis;</w:t>
      </w:r>
    </w:p>
    <w:p w14:paraId="4E2F1AA2" w14:textId="5F783F8C" w:rsidR="00EF6F2C" w:rsidRPr="002F0522" w:rsidRDefault="00AD33BD" w:rsidP="00BF7887">
      <w:pPr>
        <w:numPr>
          <w:ilvl w:val="2"/>
          <w:numId w:val="12"/>
        </w:numPr>
        <w:tabs>
          <w:tab w:val="left" w:pos="0"/>
          <w:tab w:val="left" w:pos="851"/>
        </w:tabs>
        <w:spacing w:line="276" w:lineRule="auto"/>
        <w:ind w:left="-709" w:firstLine="709"/>
        <w:jc w:val="both"/>
        <w:rPr>
          <w:rFonts w:ascii="Times New Roman" w:hAnsi="Times New Roman"/>
          <w:szCs w:val="24"/>
        </w:rPr>
      </w:pPr>
      <w:r w:rsidRPr="002F0522">
        <w:rPr>
          <w:rFonts w:ascii="Times New Roman" w:hAnsi="Times New Roman"/>
          <w:szCs w:val="24"/>
        </w:rPr>
        <w:t>keičiamos</w:t>
      </w:r>
      <w:r w:rsidR="00EF1661" w:rsidRPr="002F0522">
        <w:rPr>
          <w:rFonts w:ascii="Times New Roman" w:hAnsi="Times New Roman"/>
          <w:szCs w:val="24"/>
        </w:rPr>
        <w:t xml:space="preserve"> </w:t>
      </w:r>
      <w:r w:rsidR="00C86798" w:rsidRPr="002F0522">
        <w:rPr>
          <w:rFonts w:ascii="Times New Roman" w:hAnsi="Times New Roman"/>
          <w:szCs w:val="24"/>
        </w:rPr>
        <w:t xml:space="preserve">Sutarties </w:t>
      </w:r>
      <w:r w:rsidR="00AD0530" w:rsidRPr="002F0522">
        <w:rPr>
          <w:rFonts w:ascii="Times New Roman" w:hAnsi="Times New Roman"/>
          <w:szCs w:val="24"/>
        </w:rPr>
        <w:t xml:space="preserve">VIII </w:t>
      </w:r>
      <w:r w:rsidR="00C86798" w:rsidRPr="002F0522">
        <w:rPr>
          <w:rFonts w:ascii="Times New Roman" w:hAnsi="Times New Roman"/>
          <w:szCs w:val="24"/>
        </w:rPr>
        <w:t>skyriuje nustatyt</w:t>
      </w:r>
      <w:r w:rsidRPr="002F0522">
        <w:rPr>
          <w:rFonts w:ascii="Times New Roman" w:hAnsi="Times New Roman"/>
          <w:szCs w:val="24"/>
        </w:rPr>
        <w:t>os</w:t>
      </w:r>
      <w:r w:rsidR="00C86798" w:rsidRPr="002F0522">
        <w:rPr>
          <w:rFonts w:ascii="Times New Roman" w:hAnsi="Times New Roman"/>
          <w:szCs w:val="24"/>
        </w:rPr>
        <w:t xml:space="preserve"> </w:t>
      </w:r>
      <w:r w:rsidRPr="002F0522">
        <w:rPr>
          <w:rFonts w:ascii="Times New Roman" w:hAnsi="Times New Roman"/>
          <w:szCs w:val="24"/>
        </w:rPr>
        <w:t>ataskaitų formo</w:t>
      </w:r>
      <w:r w:rsidR="00C86798" w:rsidRPr="002F0522">
        <w:rPr>
          <w:rFonts w:ascii="Times New Roman" w:hAnsi="Times New Roman"/>
          <w:szCs w:val="24"/>
        </w:rPr>
        <w:t>s ir jų pateikimo tvark</w:t>
      </w:r>
      <w:r w:rsidRPr="002F0522">
        <w:rPr>
          <w:rFonts w:ascii="Times New Roman" w:hAnsi="Times New Roman"/>
          <w:szCs w:val="24"/>
        </w:rPr>
        <w:t>a</w:t>
      </w:r>
      <w:r w:rsidR="00C86798" w:rsidRPr="002F0522">
        <w:rPr>
          <w:rFonts w:ascii="Times New Roman" w:hAnsi="Times New Roman"/>
          <w:szCs w:val="24"/>
        </w:rPr>
        <w:t>;</w:t>
      </w:r>
    </w:p>
    <w:p w14:paraId="5A38347E" w14:textId="632037FD" w:rsidR="00EF6F2C" w:rsidRPr="008246EA" w:rsidRDefault="00AD33BD" w:rsidP="00BF7887">
      <w:pPr>
        <w:numPr>
          <w:ilvl w:val="2"/>
          <w:numId w:val="12"/>
        </w:numPr>
        <w:tabs>
          <w:tab w:val="left" w:pos="0"/>
          <w:tab w:val="left" w:pos="851"/>
        </w:tabs>
        <w:spacing w:line="276" w:lineRule="auto"/>
        <w:ind w:left="-709" w:firstLine="709"/>
        <w:jc w:val="both"/>
        <w:rPr>
          <w:rFonts w:ascii="Times New Roman" w:hAnsi="Times New Roman"/>
          <w:szCs w:val="24"/>
        </w:rPr>
      </w:pPr>
      <w:r w:rsidRPr="002F0522">
        <w:rPr>
          <w:rFonts w:ascii="Times New Roman" w:hAnsi="Times New Roman"/>
          <w:szCs w:val="24"/>
        </w:rPr>
        <w:t xml:space="preserve">keičiama </w:t>
      </w:r>
      <w:r w:rsidR="00110805" w:rsidRPr="002F0522">
        <w:rPr>
          <w:rFonts w:ascii="Times New Roman" w:hAnsi="Times New Roman"/>
          <w:szCs w:val="24"/>
        </w:rPr>
        <w:t xml:space="preserve">Sutarto </w:t>
      </w:r>
      <w:r w:rsidR="00C662A4" w:rsidRPr="002F0522">
        <w:rPr>
          <w:rFonts w:ascii="Times New Roman" w:hAnsi="Times New Roman"/>
          <w:szCs w:val="24"/>
        </w:rPr>
        <w:t>p</w:t>
      </w:r>
      <w:r w:rsidRPr="002F0522">
        <w:rPr>
          <w:rFonts w:ascii="Times New Roman" w:hAnsi="Times New Roman"/>
          <w:szCs w:val="24"/>
        </w:rPr>
        <w:t xml:space="preserve">ortfelio </w:t>
      </w:r>
      <w:r w:rsidR="00110805" w:rsidRPr="002F0522">
        <w:rPr>
          <w:rFonts w:ascii="Times New Roman" w:hAnsi="Times New Roman"/>
          <w:szCs w:val="24"/>
        </w:rPr>
        <w:t xml:space="preserve">dydžio </w:t>
      </w:r>
      <w:r w:rsidRPr="002F0522">
        <w:rPr>
          <w:rFonts w:ascii="Times New Roman" w:hAnsi="Times New Roman"/>
          <w:szCs w:val="24"/>
        </w:rPr>
        <w:t xml:space="preserve">suma, padidinus </w:t>
      </w:r>
      <w:r w:rsidR="00110805" w:rsidRPr="002F0522">
        <w:rPr>
          <w:rFonts w:ascii="Times New Roman" w:hAnsi="Times New Roman"/>
          <w:szCs w:val="24"/>
        </w:rPr>
        <w:t xml:space="preserve">arba sumažinus </w:t>
      </w:r>
      <w:r w:rsidR="00C51F33" w:rsidRPr="002F0522">
        <w:rPr>
          <w:rFonts w:ascii="Times New Roman" w:hAnsi="Times New Roman"/>
          <w:szCs w:val="24"/>
        </w:rPr>
        <w:t>PGF</w:t>
      </w:r>
      <w:r w:rsidR="0045269A" w:rsidRPr="002F0522">
        <w:rPr>
          <w:rFonts w:ascii="Times New Roman" w:hAnsi="Times New Roman"/>
          <w:szCs w:val="24"/>
        </w:rPr>
        <w:t>2</w:t>
      </w:r>
      <w:r w:rsidRPr="002F0522">
        <w:rPr>
          <w:rFonts w:ascii="Times New Roman" w:hAnsi="Times New Roman"/>
          <w:szCs w:val="24"/>
        </w:rPr>
        <w:t xml:space="preserve"> priemonės valdytojui </w:t>
      </w:r>
      <w:r w:rsidR="0045269A" w:rsidRPr="002F0522">
        <w:rPr>
          <w:rFonts w:ascii="Times New Roman" w:hAnsi="Times New Roman"/>
          <w:szCs w:val="24"/>
        </w:rPr>
        <w:t>s</w:t>
      </w:r>
      <w:r w:rsidRPr="002F0522">
        <w:rPr>
          <w:rFonts w:ascii="Times New Roman" w:hAnsi="Times New Roman"/>
          <w:szCs w:val="24"/>
        </w:rPr>
        <w:t xml:space="preserve">kirtą </w:t>
      </w:r>
      <w:r w:rsidR="00C51F33" w:rsidRPr="002F0522">
        <w:rPr>
          <w:rFonts w:ascii="Times New Roman" w:hAnsi="Times New Roman"/>
          <w:szCs w:val="24"/>
        </w:rPr>
        <w:t>PGF</w:t>
      </w:r>
      <w:r w:rsidR="0045269A" w:rsidRPr="002F0522">
        <w:rPr>
          <w:rFonts w:ascii="Times New Roman" w:hAnsi="Times New Roman"/>
          <w:szCs w:val="24"/>
        </w:rPr>
        <w:t>2</w:t>
      </w:r>
      <w:r w:rsidRPr="008246EA">
        <w:rPr>
          <w:rFonts w:ascii="Times New Roman" w:hAnsi="Times New Roman"/>
          <w:szCs w:val="24"/>
        </w:rPr>
        <w:t xml:space="preserve"> priemonės lėšų sumą;</w:t>
      </w:r>
    </w:p>
    <w:p w14:paraId="31DAA35E" w14:textId="6610E376" w:rsidR="00EF6F2C" w:rsidRPr="002F0522" w:rsidRDefault="00AD33BD" w:rsidP="00BF7887">
      <w:pPr>
        <w:numPr>
          <w:ilvl w:val="2"/>
          <w:numId w:val="12"/>
        </w:numPr>
        <w:tabs>
          <w:tab w:val="left" w:pos="0"/>
          <w:tab w:val="left" w:pos="851"/>
        </w:tabs>
        <w:spacing w:line="276" w:lineRule="auto"/>
        <w:ind w:left="-709" w:firstLine="709"/>
        <w:jc w:val="both"/>
        <w:rPr>
          <w:rFonts w:ascii="Times New Roman" w:hAnsi="Times New Roman"/>
          <w:szCs w:val="24"/>
        </w:rPr>
      </w:pPr>
      <w:r w:rsidRPr="008246EA">
        <w:rPr>
          <w:rFonts w:ascii="Times New Roman" w:hAnsi="Times New Roman"/>
          <w:szCs w:val="24"/>
        </w:rPr>
        <w:t xml:space="preserve">keičiamas </w:t>
      </w:r>
      <w:r w:rsidR="0058580E" w:rsidRPr="008246EA">
        <w:rPr>
          <w:rFonts w:ascii="Times New Roman" w:hAnsi="Times New Roman"/>
          <w:szCs w:val="24"/>
        </w:rPr>
        <w:t>Faktoringo sandorių</w:t>
      </w:r>
      <w:r w:rsidR="00326AC4" w:rsidRPr="008246EA">
        <w:rPr>
          <w:rFonts w:ascii="Times New Roman" w:hAnsi="Times New Roman"/>
          <w:szCs w:val="24"/>
        </w:rPr>
        <w:t xml:space="preserve"> įtraukimo į Portfelį grafikas</w:t>
      </w:r>
      <w:r w:rsidR="00E56862" w:rsidRPr="008246EA">
        <w:rPr>
          <w:rFonts w:ascii="Times New Roman" w:hAnsi="Times New Roman"/>
          <w:szCs w:val="24"/>
        </w:rPr>
        <w:t>, padidinus ar</w:t>
      </w:r>
      <w:r w:rsidR="006D538F" w:rsidRPr="008246EA">
        <w:rPr>
          <w:rFonts w:ascii="Times New Roman" w:hAnsi="Times New Roman"/>
          <w:szCs w:val="24"/>
        </w:rPr>
        <w:t>ba</w:t>
      </w:r>
      <w:r w:rsidR="00326AC4" w:rsidRPr="008246EA">
        <w:rPr>
          <w:rFonts w:ascii="Times New Roman" w:hAnsi="Times New Roman"/>
          <w:szCs w:val="24"/>
        </w:rPr>
        <w:t xml:space="preserve"> </w:t>
      </w:r>
      <w:r w:rsidRPr="008246EA">
        <w:rPr>
          <w:rFonts w:ascii="Times New Roman" w:hAnsi="Times New Roman"/>
          <w:szCs w:val="24"/>
        </w:rPr>
        <w:t xml:space="preserve">sumažinus </w:t>
      </w:r>
      <w:r w:rsidR="00C51F33" w:rsidRPr="008246EA">
        <w:rPr>
          <w:rFonts w:ascii="Times New Roman" w:hAnsi="Times New Roman"/>
          <w:szCs w:val="24"/>
        </w:rPr>
        <w:t>PGF</w:t>
      </w:r>
      <w:r w:rsidR="0045269A" w:rsidRPr="008246EA">
        <w:rPr>
          <w:rFonts w:ascii="Times New Roman" w:hAnsi="Times New Roman"/>
          <w:szCs w:val="24"/>
        </w:rPr>
        <w:t>2</w:t>
      </w:r>
      <w:r w:rsidRPr="008246EA">
        <w:rPr>
          <w:rFonts w:ascii="Times New Roman" w:hAnsi="Times New Roman"/>
          <w:szCs w:val="24"/>
        </w:rPr>
        <w:t xml:space="preserve"> priemonės valdytojui </w:t>
      </w:r>
      <w:r w:rsidR="0045269A" w:rsidRPr="008246EA">
        <w:rPr>
          <w:rFonts w:ascii="Times New Roman" w:hAnsi="Times New Roman"/>
          <w:szCs w:val="24"/>
        </w:rPr>
        <w:t>s</w:t>
      </w:r>
      <w:r w:rsidRPr="008246EA">
        <w:rPr>
          <w:rFonts w:ascii="Times New Roman" w:hAnsi="Times New Roman"/>
          <w:szCs w:val="24"/>
        </w:rPr>
        <w:t xml:space="preserve">kirtą </w:t>
      </w:r>
      <w:r w:rsidR="00C51F33" w:rsidRPr="009B0B86">
        <w:rPr>
          <w:rFonts w:ascii="Times New Roman" w:hAnsi="Times New Roman"/>
          <w:szCs w:val="24"/>
        </w:rPr>
        <w:t>PGF</w:t>
      </w:r>
      <w:r w:rsidR="0045269A" w:rsidRPr="002F0522">
        <w:rPr>
          <w:rFonts w:ascii="Times New Roman" w:hAnsi="Times New Roman"/>
          <w:szCs w:val="24"/>
        </w:rPr>
        <w:t>2</w:t>
      </w:r>
      <w:r w:rsidRPr="002F0522">
        <w:rPr>
          <w:rFonts w:ascii="Times New Roman" w:hAnsi="Times New Roman"/>
          <w:szCs w:val="24"/>
        </w:rPr>
        <w:t xml:space="preserve"> priemonės lėšų sumą;</w:t>
      </w:r>
    </w:p>
    <w:p w14:paraId="49696327" w14:textId="0ED90740" w:rsidR="00EF6F2C" w:rsidRPr="002F0522" w:rsidRDefault="00EF1661" w:rsidP="00BF7887">
      <w:pPr>
        <w:numPr>
          <w:ilvl w:val="2"/>
          <w:numId w:val="12"/>
        </w:numPr>
        <w:tabs>
          <w:tab w:val="left" w:pos="0"/>
          <w:tab w:val="left" w:pos="851"/>
        </w:tabs>
        <w:spacing w:line="276" w:lineRule="auto"/>
        <w:ind w:left="-709" w:firstLine="709"/>
        <w:jc w:val="both"/>
        <w:rPr>
          <w:rFonts w:ascii="Times New Roman" w:hAnsi="Times New Roman"/>
          <w:szCs w:val="24"/>
        </w:rPr>
      </w:pPr>
      <w:r w:rsidRPr="002F0522">
        <w:rPr>
          <w:rFonts w:ascii="Times New Roman" w:hAnsi="Times New Roman"/>
          <w:szCs w:val="24"/>
        </w:rPr>
        <w:t>tęsia</w:t>
      </w:r>
      <w:r w:rsidR="009F71FC" w:rsidRPr="002F0522">
        <w:rPr>
          <w:rFonts w:ascii="Times New Roman" w:hAnsi="Times New Roman"/>
          <w:szCs w:val="24"/>
        </w:rPr>
        <w:t>mas</w:t>
      </w:r>
      <w:r w:rsidRPr="002F0522">
        <w:rPr>
          <w:rFonts w:ascii="Times New Roman" w:hAnsi="Times New Roman"/>
          <w:szCs w:val="24"/>
        </w:rPr>
        <w:t xml:space="preserve"> </w:t>
      </w:r>
      <w:r w:rsidR="00C86798" w:rsidRPr="002F0522">
        <w:rPr>
          <w:rFonts w:ascii="Times New Roman" w:hAnsi="Times New Roman"/>
          <w:szCs w:val="24"/>
        </w:rPr>
        <w:t>Sutarties galiojimo termin</w:t>
      </w:r>
      <w:r w:rsidR="009F71FC" w:rsidRPr="002F0522">
        <w:rPr>
          <w:rFonts w:ascii="Times New Roman" w:hAnsi="Times New Roman"/>
          <w:szCs w:val="24"/>
        </w:rPr>
        <w:t>as</w:t>
      </w:r>
      <w:r w:rsidR="00C86798" w:rsidRPr="002F0522">
        <w:rPr>
          <w:rFonts w:ascii="Times New Roman" w:hAnsi="Times New Roman"/>
          <w:szCs w:val="24"/>
        </w:rPr>
        <w:t xml:space="preserve">, tuo atveju, jei yra pratęsiamas </w:t>
      </w:r>
      <w:r w:rsidR="007079BB" w:rsidRPr="002F0522">
        <w:rPr>
          <w:rFonts w:ascii="Times New Roman" w:hAnsi="Times New Roman"/>
          <w:szCs w:val="24"/>
        </w:rPr>
        <w:t xml:space="preserve">Tinkamumo </w:t>
      </w:r>
      <w:r w:rsidR="00C86798" w:rsidRPr="002F0522">
        <w:rPr>
          <w:rFonts w:ascii="Times New Roman" w:hAnsi="Times New Roman"/>
          <w:szCs w:val="24"/>
        </w:rPr>
        <w:t>laikotarpis;</w:t>
      </w:r>
    </w:p>
    <w:p w14:paraId="7AA82862" w14:textId="18C545F9" w:rsidR="00D62B7C" w:rsidRPr="002F0522" w:rsidRDefault="00D62B7C" w:rsidP="00BF7887">
      <w:pPr>
        <w:numPr>
          <w:ilvl w:val="2"/>
          <w:numId w:val="12"/>
        </w:numPr>
        <w:tabs>
          <w:tab w:val="left" w:pos="0"/>
          <w:tab w:val="left" w:pos="851"/>
        </w:tabs>
        <w:spacing w:line="276" w:lineRule="auto"/>
        <w:ind w:left="-709" w:firstLine="709"/>
        <w:jc w:val="both"/>
        <w:rPr>
          <w:rFonts w:ascii="Times New Roman" w:hAnsi="Times New Roman"/>
          <w:szCs w:val="24"/>
        </w:rPr>
      </w:pPr>
      <w:r w:rsidRPr="002F0522">
        <w:rPr>
          <w:rFonts w:ascii="Times New Roman" w:hAnsi="Times New Roman"/>
          <w:szCs w:val="24"/>
        </w:rPr>
        <w:t>kitais Sutartyje aiškiai nurodytais atvejais.</w:t>
      </w:r>
    </w:p>
    <w:p w14:paraId="342CE8C2" w14:textId="2DFB19A5" w:rsidR="008246EA" w:rsidRPr="008246EA" w:rsidRDefault="008246EA" w:rsidP="00E668A9">
      <w:pPr>
        <w:numPr>
          <w:ilvl w:val="1"/>
          <w:numId w:val="12"/>
        </w:numPr>
        <w:tabs>
          <w:tab w:val="left" w:pos="993"/>
          <w:tab w:val="left" w:pos="1418"/>
        </w:tabs>
        <w:overflowPunct/>
        <w:autoSpaceDE/>
        <w:autoSpaceDN/>
        <w:adjustRightInd/>
        <w:spacing w:after="200" w:line="276" w:lineRule="auto"/>
        <w:ind w:left="-851" w:firstLine="851"/>
        <w:contextualSpacing/>
        <w:jc w:val="both"/>
        <w:textAlignment w:val="auto"/>
        <w:rPr>
          <w:rFonts w:ascii="Times New Roman" w:eastAsia="Calibri" w:hAnsi="Times New Roman"/>
          <w:szCs w:val="24"/>
        </w:rPr>
      </w:pPr>
      <w:r w:rsidRPr="00ED0927">
        <w:rPr>
          <w:rFonts w:ascii="Times New Roman" w:eastAsia="Calibri" w:hAnsi="Times New Roman"/>
          <w:szCs w:val="24"/>
        </w:rPr>
        <w:t>Kiti Sutarties keitimai atliekami laikantis Lietuvos Respublikos civilinio kodekso nuostatų ir tik</w:t>
      </w:r>
      <w:r w:rsidR="00FE0891">
        <w:rPr>
          <w:rFonts w:ascii="Times New Roman" w:eastAsia="Calibri" w:hAnsi="Times New Roman"/>
          <w:szCs w:val="24"/>
        </w:rPr>
        <w:t>,</w:t>
      </w:r>
      <w:r w:rsidRPr="00ED0927">
        <w:rPr>
          <w:rFonts w:ascii="Times New Roman" w:eastAsia="Calibri" w:hAnsi="Times New Roman"/>
          <w:szCs w:val="24"/>
        </w:rPr>
        <w:t xml:space="preserve"> jei neprieštarauja PGF2 priemonės įgyvendinimo sąlygoms.</w:t>
      </w:r>
    </w:p>
    <w:p w14:paraId="7FE3626B" w14:textId="0979ABF7" w:rsidR="00EF6F2C" w:rsidRPr="00EF4AA9" w:rsidRDefault="0046431F" w:rsidP="009B0EE1">
      <w:pPr>
        <w:numPr>
          <w:ilvl w:val="1"/>
          <w:numId w:val="12"/>
        </w:numPr>
        <w:tabs>
          <w:tab w:val="left" w:pos="567"/>
        </w:tabs>
        <w:spacing w:line="276" w:lineRule="auto"/>
        <w:ind w:left="-851" w:firstLine="851"/>
        <w:jc w:val="both"/>
        <w:rPr>
          <w:rFonts w:ascii="Times New Roman" w:hAnsi="Times New Roman"/>
          <w:szCs w:val="24"/>
        </w:rPr>
      </w:pPr>
      <w:r w:rsidRPr="008246EA">
        <w:rPr>
          <w:rFonts w:ascii="Times New Roman" w:hAnsi="Times New Roman"/>
          <w:szCs w:val="24"/>
        </w:rPr>
        <w:t xml:space="preserve">Sutarties pakeitimai </w:t>
      </w:r>
      <w:r w:rsidRPr="00EF4AA9">
        <w:rPr>
          <w:rFonts w:ascii="Times New Roman" w:hAnsi="Times New Roman"/>
          <w:szCs w:val="24"/>
        </w:rPr>
        <w:t>įsigalioja juos pasirašius abiem Šalims</w:t>
      </w:r>
      <w:r w:rsidR="00B60320" w:rsidRPr="00EF4AA9">
        <w:rPr>
          <w:rFonts w:ascii="Times New Roman" w:hAnsi="Times New Roman"/>
          <w:szCs w:val="24"/>
        </w:rPr>
        <w:t>.</w:t>
      </w:r>
    </w:p>
    <w:p w14:paraId="080AE9E3" w14:textId="36F8221A" w:rsidR="00EF6F2C" w:rsidRPr="008B28C3" w:rsidRDefault="0046431F" w:rsidP="009B0EE1">
      <w:pPr>
        <w:numPr>
          <w:ilvl w:val="1"/>
          <w:numId w:val="12"/>
        </w:numPr>
        <w:tabs>
          <w:tab w:val="left" w:pos="567"/>
        </w:tabs>
        <w:spacing w:line="276" w:lineRule="auto"/>
        <w:ind w:left="-851" w:firstLine="851"/>
        <w:jc w:val="both"/>
        <w:rPr>
          <w:rFonts w:ascii="Times New Roman" w:hAnsi="Times New Roman"/>
          <w:szCs w:val="24"/>
        </w:rPr>
      </w:pPr>
      <w:r w:rsidRPr="00EF4AA9">
        <w:rPr>
          <w:rFonts w:ascii="Times New Roman" w:hAnsi="Times New Roman"/>
          <w:szCs w:val="24"/>
        </w:rPr>
        <w:t xml:space="preserve">Šalių viena kitai siunčiami pranešimai turi būti rašytiniai ir siunčiami elektroniniu paštu </w:t>
      </w:r>
      <w:r w:rsidR="00EF6F2C" w:rsidRPr="00EF4AA9">
        <w:rPr>
          <w:rFonts w:ascii="Times New Roman" w:hAnsi="Times New Roman"/>
          <w:szCs w:val="24"/>
        </w:rPr>
        <w:t>Sutarties XII skyriuje nurodytais elektroninio pašto adresais</w:t>
      </w:r>
      <w:r w:rsidR="00715E1D" w:rsidRPr="00EF4AA9">
        <w:rPr>
          <w:rFonts w:ascii="Times New Roman" w:hAnsi="Times New Roman"/>
          <w:szCs w:val="24"/>
        </w:rPr>
        <w:t>, taip pat Sutarties 3.3.4 punkte nurodyta tvarka įgaliotiems asmenims</w:t>
      </w:r>
      <w:r w:rsidR="00EF6F2C" w:rsidRPr="00EF4AA9">
        <w:rPr>
          <w:rFonts w:ascii="Times New Roman" w:hAnsi="Times New Roman"/>
          <w:szCs w:val="24"/>
        </w:rPr>
        <w:t xml:space="preserve"> </w:t>
      </w:r>
      <w:r w:rsidRPr="00EF4AA9">
        <w:rPr>
          <w:rFonts w:ascii="Times New Roman" w:hAnsi="Times New Roman"/>
          <w:szCs w:val="24"/>
        </w:rPr>
        <w:t>arba</w:t>
      </w:r>
      <w:r w:rsidR="00EF6F2C" w:rsidRPr="00EF4AA9">
        <w:rPr>
          <w:rFonts w:ascii="Times New Roman" w:hAnsi="Times New Roman"/>
          <w:szCs w:val="24"/>
        </w:rPr>
        <w:t xml:space="preserve"> Sutarties 11.10 punkte nurodytais atvejais</w:t>
      </w:r>
      <w:r w:rsidRPr="00EF4AA9">
        <w:rPr>
          <w:rFonts w:ascii="Times New Roman" w:hAnsi="Times New Roman"/>
          <w:szCs w:val="24"/>
        </w:rPr>
        <w:t xml:space="preserve"> registruotu paštu </w:t>
      </w:r>
      <w:r w:rsidR="000F0FD2" w:rsidRPr="00EF4AA9">
        <w:rPr>
          <w:rFonts w:ascii="Times New Roman" w:hAnsi="Times New Roman"/>
          <w:szCs w:val="24"/>
        </w:rPr>
        <w:t>Sutarties X</w:t>
      </w:r>
      <w:r w:rsidR="00EF1661" w:rsidRPr="00EF4AA9">
        <w:rPr>
          <w:rFonts w:ascii="Times New Roman" w:hAnsi="Times New Roman"/>
          <w:szCs w:val="24"/>
        </w:rPr>
        <w:t>II</w:t>
      </w:r>
      <w:r w:rsidR="00EF6F2C" w:rsidRPr="00EF4AA9">
        <w:rPr>
          <w:rFonts w:ascii="Times New Roman" w:hAnsi="Times New Roman"/>
          <w:szCs w:val="24"/>
        </w:rPr>
        <w:t xml:space="preserve"> </w:t>
      </w:r>
      <w:r w:rsidR="000F0FD2" w:rsidRPr="00EF4AA9">
        <w:rPr>
          <w:rFonts w:ascii="Times New Roman" w:hAnsi="Times New Roman"/>
          <w:szCs w:val="24"/>
        </w:rPr>
        <w:t xml:space="preserve">skyriuje </w:t>
      </w:r>
      <w:r w:rsidR="000F0FD2" w:rsidRPr="008B28C3">
        <w:rPr>
          <w:rFonts w:ascii="Times New Roman" w:hAnsi="Times New Roman"/>
          <w:szCs w:val="24"/>
        </w:rPr>
        <w:t>nurodytais adresais</w:t>
      </w:r>
      <w:r w:rsidR="00B60320" w:rsidRPr="008B28C3">
        <w:rPr>
          <w:rFonts w:ascii="Times New Roman" w:hAnsi="Times New Roman"/>
          <w:szCs w:val="24"/>
        </w:rPr>
        <w:t>.</w:t>
      </w:r>
    </w:p>
    <w:p w14:paraId="72C3D7BC" w14:textId="38AFE8EF" w:rsidR="00EF6F2C" w:rsidRPr="008B28C3" w:rsidRDefault="00373634" w:rsidP="009B0EE1">
      <w:pPr>
        <w:numPr>
          <w:ilvl w:val="1"/>
          <w:numId w:val="12"/>
        </w:numPr>
        <w:tabs>
          <w:tab w:val="left" w:pos="567"/>
        </w:tabs>
        <w:spacing w:line="276" w:lineRule="auto"/>
        <w:ind w:left="-851" w:firstLine="851"/>
        <w:jc w:val="both"/>
        <w:rPr>
          <w:rFonts w:ascii="Times New Roman" w:hAnsi="Times New Roman"/>
          <w:szCs w:val="24"/>
        </w:rPr>
      </w:pPr>
      <w:r w:rsidRPr="008B28C3">
        <w:rPr>
          <w:rFonts w:ascii="Times New Roman" w:hAnsi="Times New Roman"/>
          <w:szCs w:val="24"/>
        </w:rPr>
        <w:t xml:space="preserve">Pirmenybė pagal </w:t>
      </w:r>
      <w:r w:rsidR="000B2C5E" w:rsidRPr="008B28C3">
        <w:rPr>
          <w:rFonts w:ascii="Times New Roman" w:hAnsi="Times New Roman"/>
          <w:szCs w:val="24"/>
        </w:rPr>
        <w:t>S</w:t>
      </w:r>
      <w:r w:rsidRPr="008B28C3">
        <w:rPr>
          <w:rFonts w:ascii="Times New Roman" w:hAnsi="Times New Roman"/>
          <w:szCs w:val="24"/>
        </w:rPr>
        <w:t xml:space="preserve">utartį teikiamiems ir siunčiamiems dokumentams teikiama susirašinėjimui elektroniniu paštu ir elektroniniams dokumentams, pasirašytiems </w:t>
      </w:r>
      <w:r w:rsidR="00B60320" w:rsidRPr="008B28C3">
        <w:rPr>
          <w:rFonts w:ascii="Times New Roman" w:hAnsi="Times New Roman"/>
          <w:szCs w:val="24"/>
        </w:rPr>
        <w:t>E</w:t>
      </w:r>
      <w:r w:rsidRPr="008B28C3">
        <w:rPr>
          <w:rFonts w:ascii="Times New Roman" w:hAnsi="Times New Roman"/>
          <w:szCs w:val="24"/>
        </w:rPr>
        <w:t>lektroniniu parašu. Šalys susitaria, kad visi pranešimai, ataskaitos ar kiti dokumentai gali būti siunčiami registruotu paštu tik esant ryšio trikdžiams ar kitoms techninėms kliūtims</w:t>
      </w:r>
      <w:r w:rsidR="004B059B" w:rsidRPr="008B28C3">
        <w:rPr>
          <w:rFonts w:ascii="Times New Roman" w:hAnsi="Times New Roman"/>
          <w:szCs w:val="24"/>
        </w:rPr>
        <w:t xml:space="preserve"> arba išskirtiniais atvejais, kai norima įrodyti dokumento gavimo faktą ir (ar) siunčiamo dokumento turinį</w:t>
      </w:r>
      <w:r w:rsidR="00B60320" w:rsidRPr="008B28C3">
        <w:rPr>
          <w:rFonts w:ascii="Times New Roman" w:hAnsi="Times New Roman"/>
          <w:szCs w:val="24"/>
        </w:rPr>
        <w:t>.</w:t>
      </w:r>
    </w:p>
    <w:p w14:paraId="580F484E" w14:textId="12B06AFE" w:rsidR="00EF6F2C" w:rsidRPr="008B28C3" w:rsidRDefault="0046431F" w:rsidP="009B0EE1">
      <w:pPr>
        <w:numPr>
          <w:ilvl w:val="1"/>
          <w:numId w:val="12"/>
        </w:numPr>
        <w:tabs>
          <w:tab w:val="left" w:pos="567"/>
          <w:tab w:val="left" w:pos="709"/>
        </w:tabs>
        <w:spacing w:line="276" w:lineRule="auto"/>
        <w:ind w:left="-851" w:firstLine="851"/>
        <w:jc w:val="both"/>
        <w:rPr>
          <w:rFonts w:ascii="Times New Roman" w:hAnsi="Times New Roman"/>
          <w:szCs w:val="24"/>
        </w:rPr>
      </w:pPr>
      <w:r w:rsidRPr="008B28C3">
        <w:rPr>
          <w:rFonts w:ascii="Times New Roman" w:hAnsi="Times New Roman"/>
          <w:szCs w:val="24"/>
        </w:rPr>
        <w:t xml:space="preserve">Bet kuri Šalis per </w:t>
      </w:r>
      <w:r w:rsidR="002422A4" w:rsidRPr="008B28C3">
        <w:rPr>
          <w:rFonts w:ascii="Times New Roman" w:hAnsi="Times New Roman"/>
          <w:szCs w:val="24"/>
        </w:rPr>
        <w:t>5</w:t>
      </w:r>
      <w:r w:rsidRPr="008B28C3">
        <w:rPr>
          <w:rFonts w:ascii="Times New Roman" w:hAnsi="Times New Roman"/>
          <w:szCs w:val="24"/>
        </w:rPr>
        <w:t xml:space="preserve"> </w:t>
      </w:r>
      <w:r w:rsidR="00EF6F2C" w:rsidRPr="008B28C3">
        <w:rPr>
          <w:rFonts w:ascii="Times New Roman" w:hAnsi="Times New Roman"/>
          <w:szCs w:val="24"/>
        </w:rPr>
        <w:t>(</w:t>
      </w:r>
      <w:r w:rsidR="008B71D8" w:rsidRPr="008B28C3">
        <w:rPr>
          <w:rFonts w:ascii="Times New Roman" w:hAnsi="Times New Roman"/>
          <w:szCs w:val="24"/>
        </w:rPr>
        <w:t>penkias</w:t>
      </w:r>
      <w:r w:rsidR="00EF6F2C" w:rsidRPr="008B28C3">
        <w:rPr>
          <w:rFonts w:ascii="Times New Roman" w:hAnsi="Times New Roman"/>
          <w:szCs w:val="24"/>
        </w:rPr>
        <w:t xml:space="preserve">) </w:t>
      </w:r>
      <w:r w:rsidRPr="008B28C3">
        <w:rPr>
          <w:rFonts w:ascii="Times New Roman" w:hAnsi="Times New Roman"/>
          <w:szCs w:val="24"/>
        </w:rPr>
        <w:t xml:space="preserve">darbo dienas raštu praneša kitai Šaliai apie nurodyto </w:t>
      </w:r>
      <w:r w:rsidR="003719E5" w:rsidRPr="008B28C3">
        <w:rPr>
          <w:rFonts w:ascii="Times New Roman" w:hAnsi="Times New Roman"/>
          <w:szCs w:val="24"/>
        </w:rPr>
        <w:t>elektroninio pašto adreso</w:t>
      </w:r>
      <w:r w:rsidR="00C6602D" w:rsidRPr="008B28C3">
        <w:rPr>
          <w:rFonts w:ascii="Times New Roman" w:hAnsi="Times New Roman"/>
          <w:szCs w:val="24"/>
        </w:rPr>
        <w:t xml:space="preserve"> </w:t>
      </w:r>
      <w:r w:rsidR="002A316B" w:rsidRPr="008B28C3">
        <w:rPr>
          <w:rFonts w:ascii="Times New Roman" w:hAnsi="Times New Roman"/>
          <w:szCs w:val="24"/>
        </w:rPr>
        <w:t>(įskaitant įgaliotus asmenis pagal Sutarties 3.3.4 punktą)</w:t>
      </w:r>
      <w:r w:rsidR="003719E5" w:rsidRPr="008B28C3">
        <w:rPr>
          <w:rFonts w:ascii="Times New Roman" w:hAnsi="Times New Roman"/>
          <w:szCs w:val="24"/>
        </w:rPr>
        <w:t xml:space="preserve"> ar buveinės registracijos </w:t>
      </w:r>
      <w:r w:rsidRPr="008B28C3">
        <w:rPr>
          <w:rFonts w:ascii="Times New Roman" w:hAnsi="Times New Roman"/>
          <w:szCs w:val="24"/>
        </w:rPr>
        <w:t xml:space="preserve">adreso pasikeitimą. Kol nėra gavusi tokio pranešimo apie </w:t>
      </w:r>
      <w:r w:rsidR="003719E5" w:rsidRPr="008B28C3">
        <w:rPr>
          <w:rFonts w:ascii="Times New Roman" w:hAnsi="Times New Roman"/>
          <w:szCs w:val="24"/>
        </w:rPr>
        <w:t xml:space="preserve">elektroninio pašto adreso ar buveinės registracijos </w:t>
      </w:r>
      <w:r w:rsidRPr="008B28C3">
        <w:rPr>
          <w:rFonts w:ascii="Times New Roman" w:hAnsi="Times New Roman"/>
          <w:szCs w:val="24"/>
        </w:rPr>
        <w:t xml:space="preserve">adreso pasikeitimą, Šalis gali teisėtai perduoti pranešimus </w:t>
      </w:r>
      <w:r w:rsidR="003719E5" w:rsidRPr="008B28C3">
        <w:rPr>
          <w:rFonts w:ascii="Times New Roman" w:hAnsi="Times New Roman"/>
          <w:szCs w:val="24"/>
        </w:rPr>
        <w:t xml:space="preserve">paskutiniu </w:t>
      </w:r>
      <w:r w:rsidRPr="008B28C3">
        <w:rPr>
          <w:rFonts w:ascii="Times New Roman" w:hAnsi="Times New Roman"/>
          <w:szCs w:val="24"/>
        </w:rPr>
        <w:t>jai tinkamai praneštu adresu</w:t>
      </w:r>
      <w:r w:rsidR="003719E5" w:rsidRPr="008B28C3">
        <w:rPr>
          <w:rFonts w:ascii="Times New Roman" w:hAnsi="Times New Roman"/>
          <w:szCs w:val="24"/>
        </w:rPr>
        <w:t xml:space="preserve"> ir atlikti veiksmai bus laikomi atliktais tinkamai</w:t>
      </w:r>
      <w:r w:rsidR="00B60320" w:rsidRPr="008B28C3">
        <w:rPr>
          <w:rFonts w:ascii="Times New Roman" w:hAnsi="Times New Roman"/>
          <w:szCs w:val="24"/>
        </w:rPr>
        <w:t>.</w:t>
      </w:r>
    </w:p>
    <w:p w14:paraId="7F6C44BC" w14:textId="78235769" w:rsidR="00EF6F2C" w:rsidRPr="008B28C3" w:rsidRDefault="00856580" w:rsidP="009B0EE1">
      <w:pPr>
        <w:numPr>
          <w:ilvl w:val="1"/>
          <w:numId w:val="12"/>
        </w:numPr>
        <w:tabs>
          <w:tab w:val="left" w:pos="567"/>
          <w:tab w:val="left" w:pos="709"/>
        </w:tabs>
        <w:spacing w:line="276" w:lineRule="auto"/>
        <w:ind w:left="-851" w:firstLine="851"/>
        <w:jc w:val="both"/>
        <w:rPr>
          <w:rFonts w:ascii="Times New Roman" w:hAnsi="Times New Roman"/>
          <w:szCs w:val="24"/>
        </w:rPr>
      </w:pPr>
      <w:r w:rsidRPr="008B28C3">
        <w:rPr>
          <w:rFonts w:ascii="Times New Roman" w:hAnsi="Times New Roman"/>
          <w:szCs w:val="24"/>
        </w:rPr>
        <w:t>Ginčai dėl Sutarties sprendžiami derybomis, o nepavykus susitarti, Lietuvos Respublikos teisės aktų nustatyta tvarka</w:t>
      </w:r>
      <w:r w:rsidR="008B71D8" w:rsidRPr="008B28C3">
        <w:rPr>
          <w:rFonts w:ascii="Times New Roman" w:hAnsi="Times New Roman"/>
          <w:szCs w:val="24"/>
        </w:rPr>
        <w:t>, taikant Lietuvos Respublikos teisę</w:t>
      </w:r>
      <w:r w:rsidR="00B60320" w:rsidRPr="008B28C3">
        <w:rPr>
          <w:rFonts w:ascii="Times New Roman" w:hAnsi="Times New Roman"/>
          <w:szCs w:val="24"/>
        </w:rPr>
        <w:t>.</w:t>
      </w:r>
      <w:r w:rsidR="008B71D8" w:rsidRPr="008B28C3">
        <w:rPr>
          <w:rFonts w:ascii="Times New Roman" w:hAnsi="Times New Roman"/>
          <w:szCs w:val="24"/>
        </w:rPr>
        <w:t xml:space="preserve"> Ginčai sprendžiami Lietuvos Respublikos teismuose.</w:t>
      </w:r>
    </w:p>
    <w:p w14:paraId="78F6C9A4" w14:textId="1B717BD1" w:rsidR="00BB6C98" w:rsidRPr="0019406B" w:rsidRDefault="00BB6C98" w:rsidP="009B0EE1">
      <w:pPr>
        <w:numPr>
          <w:ilvl w:val="1"/>
          <w:numId w:val="12"/>
        </w:numPr>
        <w:tabs>
          <w:tab w:val="left" w:pos="567"/>
          <w:tab w:val="left" w:pos="709"/>
        </w:tabs>
        <w:spacing w:line="276" w:lineRule="auto"/>
        <w:ind w:left="-851" w:firstLine="851"/>
        <w:jc w:val="both"/>
        <w:rPr>
          <w:rFonts w:ascii="Times New Roman" w:hAnsi="Times New Roman"/>
          <w:szCs w:val="24"/>
        </w:rPr>
      </w:pPr>
      <w:r w:rsidRPr="0019406B">
        <w:rPr>
          <w:rFonts w:ascii="Times New Roman" w:hAnsi="Times New Roman"/>
          <w:szCs w:val="24"/>
        </w:rPr>
        <w:t xml:space="preserve">Sutarties priedai </w:t>
      </w:r>
      <w:r w:rsidR="006530CC" w:rsidRPr="0019406B">
        <w:rPr>
          <w:rFonts w:ascii="Times New Roman" w:hAnsi="Times New Roman"/>
          <w:szCs w:val="24"/>
        </w:rPr>
        <w:t>ir</w:t>
      </w:r>
      <w:r w:rsidR="008B71D8" w:rsidRPr="0019406B">
        <w:rPr>
          <w:rFonts w:ascii="Times New Roman" w:hAnsi="Times New Roman"/>
          <w:szCs w:val="24"/>
        </w:rPr>
        <w:t xml:space="preserve"> pakeitimai </w:t>
      </w:r>
      <w:r w:rsidRPr="0019406B">
        <w:rPr>
          <w:rFonts w:ascii="Times New Roman" w:hAnsi="Times New Roman"/>
          <w:szCs w:val="24"/>
        </w:rPr>
        <w:t xml:space="preserve">yra sudėtinė </w:t>
      </w:r>
      <w:r w:rsidR="006530CC" w:rsidRPr="0019406B">
        <w:rPr>
          <w:rFonts w:ascii="Times New Roman" w:hAnsi="Times New Roman"/>
          <w:szCs w:val="24"/>
        </w:rPr>
        <w:t>bei</w:t>
      </w:r>
      <w:r w:rsidRPr="0019406B">
        <w:rPr>
          <w:rFonts w:ascii="Times New Roman" w:hAnsi="Times New Roman"/>
          <w:szCs w:val="24"/>
        </w:rPr>
        <w:t xml:space="preserve"> neatskiriama Sutarties dalis</w:t>
      </w:r>
      <w:r w:rsidR="008B71D8" w:rsidRPr="0019406B">
        <w:rPr>
          <w:rFonts w:ascii="Times New Roman" w:hAnsi="Times New Roman"/>
          <w:szCs w:val="24"/>
        </w:rPr>
        <w:t>. Sutarties priedai</w:t>
      </w:r>
      <w:r w:rsidRPr="0019406B">
        <w:rPr>
          <w:rFonts w:ascii="Times New Roman" w:hAnsi="Times New Roman"/>
          <w:szCs w:val="24"/>
        </w:rPr>
        <w:t>:</w:t>
      </w:r>
    </w:p>
    <w:p w14:paraId="36DCE97C" w14:textId="16C544A3" w:rsidR="008B71D8" w:rsidRPr="0019406B" w:rsidRDefault="00E62E16" w:rsidP="009B0EE1">
      <w:pPr>
        <w:pStyle w:val="ListParagraph"/>
        <w:numPr>
          <w:ilvl w:val="0"/>
          <w:numId w:val="17"/>
        </w:numPr>
        <w:tabs>
          <w:tab w:val="left" w:pos="567"/>
          <w:tab w:val="left" w:pos="851"/>
        </w:tabs>
        <w:spacing w:after="0"/>
        <w:ind w:left="-851" w:firstLine="851"/>
        <w:jc w:val="both"/>
        <w:rPr>
          <w:snapToGrid/>
          <w:sz w:val="24"/>
          <w:szCs w:val="24"/>
          <w:lang w:val="lt-LT"/>
        </w:rPr>
      </w:pPr>
      <w:r w:rsidRPr="0019406B">
        <w:rPr>
          <w:snapToGrid/>
          <w:sz w:val="24"/>
          <w:szCs w:val="24"/>
          <w:lang w:val="lt-LT"/>
        </w:rPr>
        <w:t xml:space="preserve">Sutarties </w:t>
      </w:r>
      <w:r w:rsidR="00651EAC" w:rsidRPr="0019406B">
        <w:rPr>
          <w:snapToGrid/>
          <w:sz w:val="24"/>
          <w:szCs w:val="24"/>
          <w:lang w:val="lt-LT"/>
        </w:rPr>
        <w:t xml:space="preserve">1 </w:t>
      </w:r>
      <w:r w:rsidRPr="0019406B">
        <w:rPr>
          <w:snapToGrid/>
          <w:sz w:val="24"/>
          <w:szCs w:val="24"/>
          <w:lang w:val="lt-LT"/>
        </w:rPr>
        <w:t>priedas „</w:t>
      </w:r>
      <w:r w:rsidR="00C51F33" w:rsidRPr="0019406B">
        <w:rPr>
          <w:snapToGrid/>
          <w:sz w:val="24"/>
          <w:szCs w:val="24"/>
          <w:lang w:val="lt-LT"/>
        </w:rPr>
        <w:t>PGF</w:t>
      </w:r>
      <w:r w:rsidR="0019406B" w:rsidRPr="0019406B">
        <w:rPr>
          <w:snapToGrid/>
          <w:sz w:val="24"/>
          <w:szCs w:val="24"/>
          <w:lang w:val="lt-LT"/>
        </w:rPr>
        <w:t>2</w:t>
      </w:r>
      <w:r w:rsidRPr="0019406B">
        <w:rPr>
          <w:snapToGrid/>
          <w:sz w:val="24"/>
          <w:szCs w:val="24"/>
          <w:lang w:val="lt-LT"/>
        </w:rPr>
        <w:t xml:space="preserve"> pr</w:t>
      </w:r>
      <w:r w:rsidR="008B71D8" w:rsidRPr="0019406B">
        <w:rPr>
          <w:snapToGrid/>
          <w:sz w:val="24"/>
          <w:szCs w:val="24"/>
          <w:lang w:val="lt-LT"/>
        </w:rPr>
        <w:t>iemonės specialiosios sąlygos“;</w:t>
      </w:r>
    </w:p>
    <w:p w14:paraId="7B7939F1" w14:textId="1F90B254" w:rsidR="008B71D8" w:rsidRPr="0019406B" w:rsidRDefault="00E62E16" w:rsidP="009B0EE1">
      <w:pPr>
        <w:pStyle w:val="ListParagraph"/>
        <w:numPr>
          <w:ilvl w:val="0"/>
          <w:numId w:val="17"/>
        </w:numPr>
        <w:tabs>
          <w:tab w:val="left" w:pos="567"/>
          <w:tab w:val="left" w:pos="851"/>
        </w:tabs>
        <w:spacing w:after="0"/>
        <w:ind w:left="-851" w:firstLine="851"/>
        <w:jc w:val="both"/>
        <w:rPr>
          <w:snapToGrid/>
          <w:sz w:val="24"/>
          <w:szCs w:val="24"/>
          <w:lang w:val="lt-LT"/>
        </w:rPr>
      </w:pPr>
      <w:r w:rsidRPr="0019406B">
        <w:rPr>
          <w:snapToGrid/>
          <w:sz w:val="24"/>
          <w:szCs w:val="24"/>
          <w:lang w:val="lt-LT"/>
        </w:rPr>
        <w:t xml:space="preserve">Sutarties </w:t>
      </w:r>
      <w:r w:rsidR="00651EAC" w:rsidRPr="0019406B">
        <w:rPr>
          <w:snapToGrid/>
          <w:sz w:val="24"/>
          <w:szCs w:val="24"/>
          <w:lang w:val="lt-LT"/>
        </w:rPr>
        <w:t xml:space="preserve">2 </w:t>
      </w:r>
      <w:r w:rsidRPr="0019406B">
        <w:rPr>
          <w:snapToGrid/>
          <w:sz w:val="24"/>
          <w:szCs w:val="24"/>
          <w:lang w:val="lt-LT"/>
        </w:rPr>
        <w:t>priedas „</w:t>
      </w:r>
      <w:r w:rsidR="00BD0F0C" w:rsidRPr="0019406B">
        <w:rPr>
          <w:snapToGrid/>
          <w:sz w:val="24"/>
          <w:szCs w:val="24"/>
          <w:lang w:val="lt-LT"/>
        </w:rPr>
        <w:t>Faktoringo sandorių įtraukimo</w:t>
      </w:r>
      <w:r w:rsidRPr="0019406B">
        <w:rPr>
          <w:snapToGrid/>
          <w:sz w:val="24"/>
          <w:szCs w:val="24"/>
          <w:lang w:val="lt-LT"/>
        </w:rPr>
        <w:t xml:space="preserve"> į </w:t>
      </w:r>
      <w:r w:rsidR="008B71D8" w:rsidRPr="0019406B">
        <w:rPr>
          <w:snapToGrid/>
          <w:sz w:val="24"/>
          <w:szCs w:val="24"/>
          <w:lang w:val="lt-LT"/>
        </w:rPr>
        <w:t>Portfelį grafikas“;</w:t>
      </w:r>
    </w:p>
    <w:p w14:paraId="218B1EAF" w14:textId="1DDF4D37" w:rsidR="008B71D8" w:rsidRPr="0019406B" w:rsidRDefault="00F41048" w:rsidP="009B0EE1">
      <w:pPr>
        <w:pStyle w:val="ListParagraph"/>
        <w:numPr>
          <w:ilvl w:val="0"/>
          <w:numId w:val="17"/>
        </w:numPr>
        <w:tabs>
          <w:tab w:val="left" w:pos="567"/>
          <w:tab w:val="left" w:pos="851"/>
        </w:tabs>
        <w:spacing w:after="0"/>
        <w:ind w:left="-851" w:firstLine="851"/>
        <w:jc w:val="both"/>
        <w:rPr>
          <w:snapToGrid/>
          <w:sz w:val="24"/>
          <w:szCs w:val="24"/>
          <w:lang w:val="lt-LT"/>
        </w:rPr>
      </w:pPr>
      <w:r w:rsidRPr="0019406B">
        <w:rPr>
          <w:snapToGrid/>
          <w:sz w:val="24"/>
          <w:szCs w:val="24"/>
          <w:lang w:val="lt-LT"/>
        </w:rPr>
        <w:t xml:space="preserve">Sutarties </w:t>
      </w:r>
      <w:r w:rsidR="00651EAC" w:rsidRPr="0019406B">
        <w:rPr>
          <w:snapToGrid/>
          <w:sz w:val="24"/>
          <w:szCs w:val="24"/>
          <w:lang w:val="lt-LT"/>
        </w:rPr>
        <w:t xml:space="preserve">3 </w:t>
      </w:r>
      <w:r w:rsidRPr="0019406B">
        <w:rPr>
          <w:snapToGrid/>
          <w:sz w:val="24"/>
          <w:szCs w:val="24"/>
          <w:lang w:val="lt-LT"/>
        </w:rPr>
        <w:t xml:space="preserve">priedas </w:t>
      </w:r>
      <w:r w:rsidR="00E62E16" w:rsidRPr="0019406B">
        <w:rPr>
          <w:snapToGrid/>
          <w:sz w:val="24"/>
          <w:szCs w:val="24"/>
          <w:lang w:val="lt-LT"/>
        </w:rPr>
        <w:t xml:space="preserve"> „A1_</w:t>
      </w:r>
      <w:r w:rsidR="00F21757" w:rsidRPr="0019406B">
        <w:rPr>
          <w:snapToGrid/>
          <w:sz w:val="24"/>
          <w:szCs w:val="24"/>
          <w:lang w:val="lt-LT"/>
        </w:rPr>
        <w:t xml:space="preserve">Faktoringo </w:t>
      </w:r>
      <w:r w:rsidR="00E62E16" w:rsidRPr="0019406B">
        <w:rPr>
          <w:snapToGrid/>
          <w:sz w:val="24"/>
          <w:szCs w:val="24"/>
          <w:lang w:val="lt-LT"/>
        </w:rPr>
        <w:t>gavėjai“;</w:t>
      </w:r>
    </w:p>
    <w:p w14:paraId="533EA07C" w14:textId="53BD18DE" w:rsidR="008B71D8" w:rsidRPr="0019406B" w:rsidRDefault="00F41048" w:rsidP="009B0EE1">
      <w:pPr>
        <w:pStyle w:val="ListParagraph"/>
        <w:numPr>
          <w:ilvl w:val="0"/>
          <w:numId w:val="17"/>
        </w:numPr>
        <w:tabs>
          <w:tab w:val="left" w:pos="567"/>
          <w:tab w:val="left" w:pos="851"/>
        </w:tabs>
        <w:spacing w:after="0"/>
        <w:ind w:left="-851" w:firstLine="851"/>
        <w:jc w:val="both"/>
        <w:rPr>
          <w:snapToGrid/>
          <w:sz w:val="24"/>
          <w:szCs w:val="24"/>
          <w:lang w:val="lt-LT"/>
        </w:rPr>
      </w:pPr>
      <w:r w:rsidRPr="0019406B">
        <w:rPr>
          <w:snapToGrid/>
          <w:sz w:val="24"/>
          <w:szCs w:val="24"/>
          <w:lang w:val="lt-LT"/>
        </w:rPr>
        <w:t xml:space="preserve">Sutarties </w:t>
      </w:r>
      <w:r w:rsidR="00651EAC" w:rsidRPr="0019406B">
        <w:rPr>
          <w:snapToGrid/>
          <w:sz w:val="24"/>
          <w:szCs w:val="24"/>
          <w:lang w:val="lt-LT"/>
        </w:rPr>
        <w:t xml:space="preserve">4 </w:t>
      </w:r>
      <w:r w:rsidRPr="0019406B">
        <w:rPr>
          <w:snapToGrid/>
          <w:sz w:val="24"/>
          <w:szCs w:val="24"/>
          <w:lang w:val="lt-LT"/>
        </w:rPr>
        <w:t xml:space="preserve">priedas </w:t>
      </w:r>
      <w:r w:rsidR="00E62E16" w:rsidRPr="0019406B">
        <w:rPr>
          <w:snapToGrid/>
          <w:sz w:val="24"/>
          <w:szCs w:val="24"/>
          <w:lang w:val="lt-LT"/>
        </w:rPr>
        <w:t>„A2_</w:t>
      </w:r>
      <w:r w:rsidR="00F21757" w:rsidRPr="0019406B">
        <w:rPr>
          <w:snapToGrid/>
          <w:sz w:val="24"/>
          <w:szCs w:val="24"/>
          <w:lang w:val="lt-LT"/>
        </w:rPr>
        <w:t>Faktoringo sandori</w:t>
      </w:r>
      <w:r w:rsidR="00BD0F0C" w:rsidRPr="0019406B">
        <w:rPr>
          <w:snapToGrid/>
          <w:sz w:val="24"/>
          <w:szCs w:val="24"/>
          <w:lang w:val="lt-LT"/>
        </w:rPr>
        <w:t>ai</w:t>
      </w:r>
      <w:r w:rsidR="00E62E16" w:rsidRPr="0019406B">
        <w:rPr>
          <w:snapToGrid/>
          <w:sz w:val="24"/>
          <w:szCs w:val="24"/>
          <w:lang w:val="lt-LT"/>
        </w:rPr>
        <w:t>“;</w:t>
      </w:r>
    </w:p>
    <w:p w14:paraId="089C46C5" w14:textId="1952BF3E" w:rsidR="008B71D8" w:rsidRPr="0019406B" w:rsidRDefault="00F41048" w:rsidP="009B0EE1">
      <w:pPr>
        <w:pStyle w:val="ListParagraph"/>
        <w:numPr>
          <w:ilvl w:val="0"/>
          <w:numId w:val="17"/>
        </w:numPr>
        <w:tabs>
          <w:tab w:val="left" w:pos="567"/>
          <w:tab w:val="left" w:pos="851"/>
        </w:tabs>
        <w:spacing w:after="0"/>
        <w:ind w:left="-851" w:firstLine="851"/>
        <w:jc w:val="both"/>
        <w:rPr>
          <w:snapToGrid/>
          <w:sz w:val="24"/>
          <w:szCs w:val="24"/>
          <w:lang w:val="lt-LT"/>
        </w:rPr>
      </w:pPr>
      <w:r w:rsidRPr="0019406B">
        <w:rPr>
          <w:snapToGrid/>
          <w:sz w:val="24"/>
          <w:szCs w:val="24"/>
          <w:lang w:val="lt-LT"/>
        </w:rPr>
        <w:t xml:space="preserve">Sutarties </w:t>
      </w:r>
      <w:r w:rsidR="00651EAC" w:rsidRPr="0019406B">
        <w:rPr>
          <w:snapToGrid/>
          <w:sz w:val="24"/>
          <w:szCs w:val="24"/>
          <w:lang w:val="lt-LT"/>
        </w:rPr>
        <w:t xml:space="preserve">5 </w:t>
      </w:r>
      <w:r w:rsidRPr="0019406B">
        <w:rPr>
          <w:snapToGrid/>
          <w:sz w:val="24"/>
          <w:szCs w:val="24"/>
          <w:lang w:val="lt-LT"/>
        </w:rPr>
        <w:t xml:space="preserve">priedas </w:t>
      </w:r>
      <w:r w:rsidR="00E62E16" w:rsidRPr="0019406B">
        <w:rPr>
          <w:snapToGrid/>
          <w:sz w:val="24"/>
          <w:szCs w:val="24"/>
          <w:lang w:val="lt-LT"/>
        </w:rPr>
        <w:t>„B_</w:t>
      </w:r>
      <w:r w:rsidR="00FA46E7" w:rsidRPr="0019406B">
        <w:rPr>
          <w:snapToGrid/>
          <w:sz w:val="24"/>
          <w:szCs w:val="24"/>
          <w:lang w:val="lt-LT"/>
        </w:rPr>
        <w:t xml:space="preserve"> </w:t>
      </w:r>
      <w:r w:rsidR="0058580E" w:rsidRPr="0019406B">
        <w:rPr>
          <w:snapToGrid/>
          <w:sz w:val="24"/>
          <w:szCs w:val="24"/>
          <w:lang w:val="lt-LT"/>
        </w:rPr>
        <w:t>Faktoringo sandorių</w:t>
      </w:r>
      <w:r w:rsidR="00E62E16" w:rsidRPr="0019406B">
        <w:rPr>
          <w:snapToGrid/>
          <w:sz w:val="24"/>
          <w:szCs w:val="24"/>
          <w:lang w:val="lt-LT"/>
        </w:rPr>
        <w:t xml:space="preserve"> judėjimas“;</w:t>
      </w:r>
    </w:p>
    <w:p w14:paraId="04A9F3D9" w14:textId="200BE7D7" w:rsidR="008B71D8" w:rsidRPr="0019406B" w:rsidRDefault="00E62E16" w:rsidP="009B0EE1">
      <w:pPr>
        <w:pStyle w:val="ListParagraph"/>
        <w:numPr>
          <w:ilvl w:val="0"/>
          <w:numId w:val="17"/>
        </w:numPr>
        <w:tabs>
          <w:tab w:val="left" w:pos="567"/>
          <w:tab w:val="left" w:pos="851"/>
        </w:tabs>
        <w:spacing w:after="0"/>
        <w:ind w:left="-851" w:firstLine="851"/>
        <w:jc w:val="both"/>
        <w:rPr>
          <w:snapToGrid/>
          <w:sz w:val="24"/>
          <w:szCs w:val="24"/>
          <w:lang w:val="lt-LT"/>
        </w:rPr>
      </w:pPr>
      <w:r w:rsidRPr="0019406B">
        <w:rPr>
          <w:snapToGrid/>
          <w:sz w:val="24"/>
          <w:szCs w:val="24"/>
          <w:lang w:val="lt-LT"/>
        </w:rPr>
        <w:t xml:space="preserve">Sutarties </w:t>
      </w:r>
      <w:r w:rsidR="00651EAC" w:rsidRPr="0019406B">
        <w:rPr>
          <w:snapToGrid/>
          <w:sz w:val="24"/>
          <w:szCs w:val="24"/>
          <w:lang w:val="lt-LT"/>
        </w:rPr>
        <w:t xml:space="preserve">6 </w:t>
      </w:r>
      <w:r w:rsidRPr="0019406B">
        <w:rPr>
          <w:snapToGrid/>
          <w:sz w:val="24"/>
          <w:szCs w:val="24"/>
          <w:lang w:val="lt-LT"/>
        </w:rPr>
        <w:t>priedas „A3_Suvestinė“;</w:t>
      </w:r>
    </w:p>
    <w:p w14:paraId="03BE14CF" w14:textId="746FFED0" w:rsidR="008B71D8" w:rsidRPr="0019406B" w:rsidRDefault="00F41048" w:rsidP="009B0EE1">
      <w:pPr>
        <w:pStyle w:val="ListParagraph"/>
        <w:numPr>
          <w:ilvl w:val="0"/>
          <w:numId w:val="17"/>
        </w:numPr>
        <w:tabs>
          <w:tab w:val="left" w:pos="567"/>
          <w:tab w:val="left" w:pos="851"/>
        </w:tabs>
        <w:spacing w:after="0"/>
        <w:ind w:left="-851" w:firstLine="851"/>
        <w:jc w:val="both"/>
        <w:rPr>
          <w:snapToGrid/>
          <w:sz w:val="24"/>
          <w:szCs w:val="24"/>
          <w:lang w:val="lt-LT"/>
        </w:rPr>
      </w:pPr>
      <w:r w:rsidRPr="0019406B">
        <w:rPr>
          <w:snapToGrid/>
          <w:sz w:val="24"/>
          <w:szCs w:val="24"/>
          <w:lang w:val="lt-LT"/>
        </w:rPr>
        <w:t xml:space="preserve">Sutarties </w:t>
      </w:r>
      <w:r w:rsidR="00651EAC" w:rsidRPr="0019406B">
        <w:rPr>
          <w:snapToGrid/>
          <w:sz w:val="24"/>
          <w:szCs w:val="24"/>
          <w:lang w:val="lt-LT"/>
        </w:rPr>
        <w:t xml:space="preserve">7 </w:t>
      </w:r>
      <w:r w:rsidRPr="0019406B">
        <w:rPr>
          <w:snapToGrid/>
          <w:sz w:val="24"/>
          <w:szCs w:val="24"/>
          <w:lang w:val="lt-LT"/>
        </w:rPr>
        <w:t xml:space="preserve">priedas </w:t>
      </w:r>
      <w:r w:rsidR="00E62E16" w:rsidRPr="0019406B">
        <w:rPr>
          <w:snapToGrid/>
          <w:sz w:val="24"/>
          <w:szCs w:val="24"/>
          <w:lang w:val="lt-LT"/>
        </w:rPr>
        <w:t>„C_Pakeitimai“;</w:t>
      </w:r>
    </w:p>
    <w:p w14:paraId="519FB685" w14:textId="6A45ECBE" w:rsidR="008B71D8" w:rsidRPr="0019406B" w:rsidRDefault="00E62E16" w:rsidP="009B0EE1">
      <w:pPr>
        <w:pStyle w:val="ListParagraph"/>
        <w:numPr>
          <w:ilvl w:val="0"/>
          <w:numId w:val="17"/>
        </w:numPr>
        <w:tabs>
          <w:tab w:val="left" w:pos="567"/>
          <w:tab w:val="left" w:pos="851"/>
        </w:tabs>
        <w:spacing w:after="0"/>
        <w:ind w:left="-851" w:firstLine="851"/>
        <w:jc w:val="both"/>
        <w:rPr>
          <w:snapToGrid/>
          <w:sz w:val="24"/>
          <w:szCs w:val="24"/>
          <w:lang w:val="lt-LT"/>
        </w:rPr>
      </w:pPr>
      <w:r w:rsidRPr="0019406B">
        <w:rPr>
          <w:snapToGrid/>
          <w:sz w:val="24"/>
          <w:szCs w:val="24"/>
          <w:lang w:val="lt-LT"/>
        </w:rPr>
        <w:t xml:space="preserve">Sutarties </w:t>
      </w:r>
      <w:r w:rsidR="00651EAC" w:rsidRPr="0019406B">
        <w:rPr>
          <w:snapToGrid/>
          <w:sz w:val="24"/>
          <w:szCs w:val="24"/>
          <w:lang w:val="lt-LT"/>
        </w:rPr>
        <w:t xml:space="preserve">8 </w:t>
      </w:r>
      <w:r w:rsidRPr="0019406B">
        <w:rPr>
          <w:snapToGrid/>
          <w:sz w:val="24"/>
          <w:szCs w:val="24"/>
          <w:lang w:val="lt-LT"/>
        </w:rPr>
        <w:t>priedas „D</w:t>
      </w:r>
      <w:r w:rsidR="008B71D8" w:rsidRPr="0019406B">
        <w:rPr>
          <w:snapToGrid/>
          <w:sz w:val="24"/>
          <w:szCs w:val="24"/>
          <w:lang w:val="lt-LT"/>
        </w:rPr>
        <w:t>_</w:t>
      </w:r>
      <w:r w:rsidR="00BD0F0C" w:rsidRPr="0019406B">
        <w:rPr>
          <w:snapToGrid/>
          <w:sz w:val="24"/>
          <w:szCs w:val="24"/>
          <w:lang w:val="lt-LT"/>
        </w:rPr>
        <w:t xml:space="preserve">Išimti </w:t>
      </w:r>
      <w:r w:rsidR="008B71D8" w:rsidRPr="0019406B">
        <w:rPr>
          <w:snapToGrid/>
          <w:sz w:val="24"/>
          <w:szCs w:val="24"/>
          <w:lang w:val="lt-LT"/>
        </w:rPr>
        <w:t xml:space="preserve">iš </w:t>
      </w:r>
      <w:r w:rsidR="000778D8" w:rsidRPr="0019406B">
        <w:rPr>
          <w:snapToGrid/>
          <w:sz w:val="24"/>
          <w:szCs w:val="24"/>
          <w:lang w:val="lt-LT"/>
        </w:rPr>
        <w:t>P</w:t>
      </w:r>
      <w:r w:rsidR="008B71D8" w:rsidRPr="0019406B">
        <w:rPr>
          <w:snapToGrid/>
          <w:sz w:val="24"/>
          <w:szCs w:val="24"/>
          <w:lang w:val="lt-LT"/>
        </w:rPr>
        <w:t xml:space="preserve">ortfelio </w:t>
      </w:r>
      <w:r w:rsidR="00F21757" w:rsidRPr="0019406B">
        <w:rPr>
          <w:snapToGrid/>
          <w:sz w:val="24"/>
          <w:szCs w:val="24"/>
          <w:lang w:val="lt-LT"/>
        </w:rPr>
        <w:t>Faktoringo sandori</w:t>
      </w:r>
      <w:r w:rsidR="00BD0F0C" w:rsidRPr="0019406B">
        <w:rPr>
          <w:snapToGrid/>
          <w:sz w:val="24"/>
          <w:szCs w:val="24"/>
          <w:lang w:val="lt-LT"/>
        </w:rPr>
        <w:t>ai</w:t>
      </w:r>
      <w:r w:rsidR="008B71D8" w:rsidRPr="0019406B">
        <w:rPr>
          <w:snapToGrid/>
          <w:sz w:val="24"/>
          <w:szCs w:val="24"/>
          <w:lang w:val="lt-LT"/>
        </w:rPr>
        <w:t>“</w:t>
      </w:r>
      <w:r w:rsidR="006967B4" w:rsidRPr="0019406B">
        <w:rPr>
          <w:snapToGrid/>
          <w:sz w:val="24"/>
          <w:szCs w:val="24"/>
          <w:lang w:val="lt-LT"/>
        </w:rPr>
        <w:t>;</w:t>
      </w:r>
    </w:p>
    <w:p w14:paraId="49AA1938" w14:textId="75A5629F" w:rsidR="008B71D8" w:rsidRPr="0019406B" w:rsidRDefault="00E62E16" w:rsidP="009B0EE1">
      <w:pPr>
        <w:pStyle w:val="ListParagraph"/>
        <w:numPr>
          <w:ilvl w:val="0"/>
          <w:numId w:val="17"/>
        </w:numPr>
        <w:tabs>
          <w:tab w:val="left" w:pos="567"/>
          <w:tab w:val="left" w:pos="851"/>
        </w:tabs>
        <w:spacing w:after="0"/>
        <w:ind w:left="-851" w:firstLine="851"/>
        <w:jc w:val="both"/>
        <w:rPr>
          <w:snapToGrid/>
          <w:sz w:val="24"/>
          <w:szCs w:val="24"/>
          <w:lang w:val="lt-LT"/>
        </w:rPr>
      </w:pPr>
      <w:r w:rsidRPr="0019406B">
        <w:rPr>
          <w:snapToGrid/>
          <w:sz w:val="24"/>
          <w:szCs w:val="24"/>
          <w:lang w:val="lt-LT"/>
        </w:rPr>
        <w:lastRenderedPageBreak/>
        <w:t xml:space="preserve">Sutarties </w:t>
      </w:r>
      <w:r w:rsidR="00651EAC" w:rsidRPr="0019406B">
        <w:rPr>
          <w:snapToGrid/>
          <w:sz w:val="24"/>
          <w:szCs w:val="24"/>
          <w:lang w:val="lt-LT"/>
        </w:rPr>
        <w:t xml:space="preserve">9 </w:t>
      </w:r>
      <w:r w:rsidRPr="0019406B">
        <w:rPr>
          <w:snapToGrid/>
          <w:sz w:val="24"/>
          <w:szCs w:val="24"/>
          <w:lang w:val="lt-LT"/>
        </w:rPr>
        <w:t>priedas „</w:t>
      </w:r>
      <w:r w:rsidR="002E780F" w:rsidRPr="0019406B">
        <w:rPr>
          <w:snapToGrid/>
          <w:sz w:val="24"/>
          <w:szCs w:val="24"/>
          <w:lang w:val="lt-LT"/>
        </w:rPr>
        <w:t>E</w:t>
      </w:r>
      <w:r w:rsidRPr="0019406B">
        <w:rPr>
          <w:snapToGrid/>
          <w:sz w:val="24"/>
          <w:szCs w:val="24"/>
          <w:lang w:val="lt-LT"/>
        </w:rPr>
        <w:t>_</w:t>
      </w:r>
      <w:r w:rsidR="002E780F" w:rsidRPr="0019406B">
        <w:rPr>
          <w:snapToGrid/>
          <w:sz w:val="24"/>
          <w:szCs w:val="24"/>
          <w:lang w:val="lt-LT"/>
        </w:rPr>
        <w:t>Duomenys apie išieškotas sumas</w:t>
      </w:r>
      <w:r w:rsidR="00712361">
        <w:rPr>
          <w:snapToGrid/>
          <w:sz w:val="24"/>
          <w:szCs w:val="24"/>
          <w:lang w:val="lt-LT"/>
        </w:rPr>
        <w:t xml:space="preserve"> per einamąjį ketvirtį</w:t>
      </w:r>
      <w:r w:rsidR="008B71D8" w:rsidRPr="0019406B">
        <w:rPr>
          <w:snapToGrid/>
          <w:sz w:val="24"/>
          <w:szCs w:val="24"/>
          <w:lang w:val="lt-LT"/>
        </w:rPr>
        <w:t>“;</w:t>
      </w:r>
    </w:p>
    <w:p w14:paraId="38DCA98C" w14:textId="3EDEC3B4" w:rsidR="008B71D8" w:rsidRPr="0019406B" w:rsidRDefault="00F41048" w:rsidP="009B0EE1">
      <w:pPr>
        <w:pStyle w:val="ListParagraph"/>
        <w:numPr>
          <w:ilvl w:val="0"/>
          <w:numId w:val="17"/>
        </w:numPr>
        <w:tabs>
          <w:tab w:val="left" w:pos="567"/>
          <w:tab w:val="left" w:pos="851"/>
        </w:tabs>
        <w:spacing w:after="0"/>
        <w:ind w:left="-851" w:firstLine="851"/>
        <w:jc w:val="both"/>
        <w:rPr>
          <w:snapToGrid/>
          <w:sz w:val="24"/>
          <w:szCs w:val="24"/>
          <w:lang w:val="lt-LT"/>
        </w:rPr>
      </w:pPr>
      <w:r w:rsidRPr="0019406B">
        <w:rPr>
          <w:snapToGrid/>
          <w:sz w:val="24"/>
          <w:szCs w:val="24"/>
          <w:lang w:val="lt-LT"/>
        </w:rPr>
        <w:t xml:space="preserve">Sutarties </w:t>
      </w:r>
      <w:r w:rsidR="007D051A" w:rsidRPr="0019406B">
        <w:rPr>
          <w:snapToGrid/>
          <w:sz w:val="24"/>
          <w:szCs w:val="24"/>
          <w:lang w:val="lt-LT"/>
        </w:rPr>
        <w:t xml:space="preserve">10 </w:t>
      </w:r>
      <w:r w:rsidRPr="0019406B">
        <w:rPr>
          <w:snapToGrid/>
          <w:sz w:val="24"/>
          <w:szCs w:val="24"/>
          <w:lang w:val="lt-LT"/>
        </w:rPr>
        <w:t xml:space="preserve">priedas </w:t>
      </w:r>
      <w:r w:rsidR="00E62E16" w:rsidRPr="0019406B">
        <w:rPr>
          <w:snapToGrid/>
          <w:sz w:val="24"/>
          <w:szCs w:val="24"/>
          <w:lang w:val="lt-LT"/>
        </w:rPr>
        <w:t>„</w:t>
      </w:r>
      <w:r w:rsidR="002E780F" w:rsidRPr="0019406B">
        <w:rPr>
          <w:snapToGrid/>
          <w:sz w:val="24"/>
          <w:szCs w:val="24"/>
          <w:lang w:val="lt-LT"/>
        </w:rPr>
        <w:t>F</w:t>
      </w:r>
      <w:r w:rsidR="00E62E16" w:rsidRPr="0019406B">
        <w:rPr>
          <w:snapToGrid/>
          <w:sz w:val="24"/>
          <w:szCs w:val="24"/>
          <w:lang w:val="lt-LT"/>
        </w:rPr>
        <w:t>_Problemin</w:t>
      </w:r>
      <w:r w:rsidR="00BD0F0C" w:rsidRPr="0019406B">
        <w:rPr>
          <w:snapToGrid/>
          <w:sz w:val="24"/>
          <w:szCs w:val="24"/>
          <w:lang w:val="lt-LT"/>
        </w:rPr>
        <w:t>iai</w:t>
      </w:r>
      <w:r w:rsidR="00E62E16" w:rsidRPr="0019406B">
        <w:rPr>
          <w:snapToGrid/>
          <w:sz w:val="24"/>
          <w:szCs w:val="24"/>
          <w:lang w:val="lt-LT"/>
        </w:rPr>
        <w:t xml:space="preserve"> </w:t>
      </w:r>
      <w:r w:rsidR="00F21757" w:rsidRPr="0019406B">
        <w:rPr>
          <w:snapToGrid/>
          <w:sz w:val="24"/>
          <w:szCs w:val="24"/>
          <w:lang w:val="lt-LT"/>
        </w:rPr>
        <w:t>Faktoringo sandori</w:t>
      </w:r>
      <w:r w:rsidR="00BD0F0C" w:rsidRPr="0019406B">
        <w:rPr>
          <w:snapToGrid/>
          <w:sz w:val="24"/>
          <w:szCs w:val="24"/>
          <w:lang w:val="lt-LT"/>
        </w:rPr>
        <w:t>ai</w:t>
      </w:r>
      <w:r w:rsidR="000778D8" w:rsidRPr="0019406B">
        <w:rPr>
          <w:snapToGrid/>
          <w:sz w:val="24"/>
          <w:szCs w:val="24"/>
          <w:lang w:val="lt-LT"/>
        </w:rPr>
        <w:t>“</w:t>
      </w:r>
      <w:r w:rsidR="00E62E16" w:rsidRPr="0019406B">
        <w:rPr>
          <w:snapToGrid/>
          <w:sz w:val="24"/>
          <w:szCs w:val="24"/>
          <w:lang w:val="lt-LT"/>
        </w:rPr>
        <w:t>;</w:t>
      </w:r>
    </w:p>
    <w:p w14:paraId="428E8D0F" w14:textId="32E937B5" w:rsidR="008B71D8" w:rsidRPr="0019406B" w:rsidRDefault="00E62E16" w:rsidP="009B0EE1">
      <w:pPr>
        <w:pStyle w:val="ListParagraph"/>
        <w:numPr>
          <w:ilvl w:val="0"/>
          <w:numId w:val="17"/>
        </w:numPr>
        <w:tabs>
          <w:tab w:val="left" w:pos="567"/>
          <w:tab w:val="left" w:pos="851"/>
        </w:tabs>
        <w:spacing w:after="0"/>
        <w:ind w:left="-851" w:firstLine="851"/>
        <w:jc w:val="both"/>
        <w:rPr>
          <w:snapToGrid/>
          <w:sz w:val="24"/>
          <w:szCs w:val="24"/>
          <w:lang w:val="lt-LT"/>
        </w:rPr>
      </w:pPr>
      <w:r w:rsidRPr="0019406B">
        <w:rPr>
          <w:snapToGrid/>
          <w:sz w:val="24"/>
          <w:szCs w:val="24"/>
          <w:lang w:val="lt-LT"/>
        </w:rPr>
        <w:t xml:space="preserve">Sutarties </w:t>
      </w:r>
      <w:r w:rsidR="007D051A" w:rsidRPr="0019406B">
        <w:rPr>
          <w:snapToGrid/>
          <w:sz w:val="24"/>
          <w:szCs w:val="24"/>
          <w:lang w:val="lt-LT"/>
        </w:rPr>
        <w:t xml:space="preserve">11 </w:t>
      </w:r>
      <w:r w:rsidRPr="0019406B">
        <w:rPr>
          <w:snapToGrid/>
          <w:sz w:val="24"/>
          <w:szCs w:val="24"/>
          <w:lang w:val="lt-LT"/>
        </w:rPr>
        <w:t>priedas „</w:t>
      </w:r>
      <w:r w:rsidR="002E780F" w:rsidRPr="0019406B">
        <w:rPr>
          <w:snapToGrid/>
          <w:sz w:val="24"/>
          <w:szCs w:val="24"/>
          <w:lang w:val="lt-LT"/>
        </w:rPr>
        <w:t>G</w:t>
      </w:r>
      <w:r w:rsidRPr="0019406B">
        <w:rPr>
          <w:snapToGrid/>
          <w:sz w:val="24"/>
          <w:szCs w:val="24"/>
          <w:lang w:val="lt-LT"/>
        </w:rPr>
        <w:t xml:space="preserve">_Viešinimo </w:t>
      </w:r>
      <w:r w:rsidR="00D82E9B" w:rsidRPr="0019406B">
        <w:rPr>
          <w:snapToGrid/>
          <w:sz w:val="24"/>
          <w:szCs w:val="24"/>
          <w:lang w:val="lt-LT"/>
        </w:rPr>
        <w:t>veiklos</w:t>
      </w:r>
      <w:r w:rsidRPr="0019406B">
        <w:rPr>
          <w:snapToGrid/>
          <w:sz w:val="24"/>
          <w:szCs w:val="24"/>
          <w:lang w:val="lt-LT"/>
        </w:rPr>
        <w:t>“;</w:t>
      </w:r>
    </w:p>
    <w:p w14:paraId="144AE4B4" w14:textId="46DB4022" w:rsidR="008B71D8" w:rsidRPr="0019406B" w:rsidRDefault="00E62E16" w:rsidP="009B0EE1">
      <w:pPr>
        <w:pStyle w:val="ListParagraph"/>
        <w:numPr>
          <w:ilvl w:val="0"/>
          <w:numId w:val="17"/>
        </w:numPr>
        <w:tabs>
          <w:tab w:val="left" w:pos="567"/>
          <w:tab w:val="left" w:pos="851"/>
        </w:tabs>
        <w:spacing w:after="0"/>
        <w:ind w:left="-851" w:firstLine="851"/>
        <w:jc w:val="both"/>
        <w:rPr>
          <w:snapToGrid/>
          <w:sz w:val="24"/>
          <w:szCs w:val="24"/>
          <w:lang w:val="lt-LT"/>
        </w:rPr>
      </w:pPr>
      <w:r w:rsidRPr="0019406B">
        <w:rPr>
          <w:snapToGrid/>
          <w:sz w:val="24"/>
          <w:szCs w:val="24"/>
          <w:lang w:val="lt-LT"/>
        </w:rPr>
        <w:t xml:space="preserve">Sutarties </w:t>
      </w:r>
      <w:r w:rsidR="007D051A" w:rsidRPr="0019406B">
        <w:rPr>
          <w:snapToGrid/>
          <w:sz w:val="24"/>
          <w:szCs w:val="24"/>
          <w:lang w:val="lt-LT"/>
        </w:rPr>
        <w:t xml:space="preserve">12 </w:t>
      </w:r>
      <w:r w:rsidRPr="0019406B">
        <w:rPr>
          <w:snapToGrid/>
          <w:sz w:val="24"/>
          <w:szCs w:val="24"/>
          <w:lang w:val="lt-LT"/>
        </w:rPr>
        <w:t>priedas „</w:t>
      </w:r>
      <w:r w:rsidR="002E780F" w:rsidRPr="0019406B">
        <w:rPr>
          <w:snapToGrid/>
          <w:sz w:val="24"/>
          <w:szCs w:val="24"/>
          <w:lang w:val="lt-LT"/>
        </w:rPr>
        <w:t>H</w:t>
      </w:r>
      <w:r w:rsidR="00B97DB3" w:rsidRPr="0019406B">
        <w:rPr>
          <w:snapToGrid/>
          <w:sz w:val="24"/>
          <w:szCs w:val="24"/>
          <w:lang w:val="lt-LT"/>
        </w:rPr>
        <w:t xml:space="preserve">_Duomenys </w:t>
      </w:r>
      <w:r w:rsidR="000778D8" w:rsidRPr="0019406B">
        <w:rPr>
          <w:snapToGrid/>
          <w:sz w:val="24"/>
          <w:szCs w:val="24"/>
          <w:lang w:val="lt-LT"/>
        </w:rPr>
        <w:t xml:space="preserve">Garantijos </w:t>
      </w:r>
      <w:r w:rsidR="00B97DB3" w:rsidRPr="0019406B">
        <w:rPr>
          <w:snapToGrid/>
          <w:sz w:val="24"/>
          <w:szCs w:val="24"/>
          <w:lang w:val="lt-LT"/>
        </w:rPr>
        <w:t>išmokai gauti</w:t>
      </w:r>
      <w:r w:rsidRPr="0019406B">
        <w:rPr>
          <w:snapToGrid/>
          <w:sz w:val="24"/>
          <w:szCs w:val="24"/>
          <w:lang w:val="lt-LT"/>
        </w:rPr>
        <w:t>“;</w:t>
      </w:r>
    </w:p>
    <w:p w14:paraId="2FA35F69" w14:textId="315CDF4C" w:rsidR="008B71D8" w:rsidRPr="0019406B" w:rsidRDefault="00E62E16" w:rsidP="009B0EE1">
      <w:pPr>
        <w:pStyle w:val="ListParagraph"/>
        <w:numPr>
          <w:ilvl w:val="0"/>
          <w:numId w:val="17"/>
        </w:numPr>
        <w:tabs>
          <w:tab w:val="left" w:pos="567"/>
          <w:tab w:val="left" w:pos="851"/>
        </w:tabs>
        <w:spacing w:after="0"/>
        <w:ind w:left="-851" w:firstLine="851"/>
        <w:jc w:val="both"/>
        <w:rPr>
          <w:snapToGrid/>
          <w:sz w:val="24"/>
          <w:szCs w:val="24"/>
          <w:lang w:val="lt-LT"/>
        </w:rPr>
      </w:pPr>
      <w:r w:rsidRPr="0019406B">
        <w:rPr>
          <w:sz w:val="24"/>
          <w:szCs w:val="24"/>
          <w:lang w:val="lt-LT"/>
        </w:rPr>
        <w:t xml:space="preserve">Sutarties </w:t>
      </w:r>
      <w:r w:rsidR="007D051A" w:rsidRPr="0019406B">
        <w:rPr>
          <w:sz w:val="24"/>
          <w:szCs w:val="24"/>
          <w:lang w:val="lt-LT"/>
        </w:rPr>
        <w:t xml:space="preserve">13 </w:t>
      </w:r>
      <w:r w:rsidRPr="0019406B">
        <w:rPr>
          <w:sz w:val="24"/>
          <w:szCs w:val="24"/>
          <w:lang w:val="lt-LT"/>
        </w:rPr>
        <w:t>prie</w:t>
      </w:r>
      <w:r w:rsidR="00CE72AF" w:rsidRPr="0019406B">
        <w:rPr>
          <w:sz w:val="24"/>
          <w:szCs w:val="24"/>
          <w:lang w:val="lt-LT"/>
        </w:rPr>
        <w:t>d</w:t>
      </w:r>
      <w:r w:rsidRPr="0019406B">
        <w:rPr>
          <w:sz w:val="24"/>
          <w:szCs w:val="24"/>
          <w:lang w:val="lt-LT"/>
        </w:rPr>
        <w:t xml:space="preserve">as </w:t>
      </w:r>
      <w:r w:rsidR="008B71D8" w:rsidRPr="0019406B">
        <w:rPr>
          <w:sz w:val="24"/>
          <w:szCs w:val="24"/>
          <w:lang w:val="lt-LT"/>
        </w:rPr>
        <w:t>„</w:t>
      </w:r>
      <w:r w:rsidRPr="0019406B">
        <w:rPr>
          <w:sz w:val="24"/>
          <w:szCs w:val="24"/>
          <w:lang w:val="lt-LT"/>
        </w:rPr>
        <w:t xml:space="preserve">Prašymas </w:t>
      </w:r>
      <w:r w:rsidR="007E0241" w:rsidRPr="0019406B">
        <w:rPr>
          <w:sz w:val="24"/>
          <w:szCs w:val="24"/>
          <w:lang w:val="lt-LT"/>
        </w:rPr>
        <w:t>g</w:t>
      </w:r>
      <w:r w:rsidRPr="0019406B">
        <w:rPr>
          <w:sz w:val="24"/>
          <w:szCs w:val="24"/>
          <w:lang w:val="lt-LT"/>
        </w:rPr>
        <w:t>arantijos išmokai</w:t>
      </w:r>
      <w:r w:rsidR="008B71D8" w:rsidRPr="0019406B">
        <w:rPr>
          <w:sz w:val="24"/>
          <w:szCs w:val="24"/>
          <w:lang w:val="lt-LT"/>
        </w:rPr>
        <w:t>“</w:t>
      </w:r>
      <w:r w:rsidRPr="0019406B">
        <w:rPr>
          <w:sz w:val="24"/>
          <w:szCs w:val="24"/>
          <w:lang w:val="lt-LT"/>
        </w:rPr>
        <w:t>;</w:t>
      </w:r>
    </w:p>
    <w:p w14:paraId="5F22F4E7" w14:textId="50980B90" w:rsidR="00E62E16" w:rsidRDefault="00444E05" w:rsidP="009B0EE1">
      <w:pPr>
        <w:pStyle w:val="ListParagraph"/>
        <w:numPr>
          <w:ilvl w:val="0"/>
          <w:numId w:val="17"/>
        </w:numPr>
        <w:tabs>
          <w:tab w:val="left" w:pos="567"/>
          <w:tab w:val="left" w:pos="851"/>
        </w:tabs>
        <w:spacing w:after="0"/>
        <w:ind w:left="-851" w:firstLine="851"/>
        <w:jc w:val="both"/>
        <w:rPr>
          <w:snapToGrid/>
          <w:sz w:val="24"/>
          <w:szCs w:val="24"/>
          <w:lang w:val="lt-LT"/>
        </w:rPr>
      </w:pPr>
      <w:r w:rsidRPr="0019406B">
        <w:rPr>
          <w:snapToGrid/>
          <w:sz w:val="24"/>
          <w:szCs w:val="24"/>
          <w:lang w:val="lt-LT"/>
        </w:rPr>
        <w:t xml:space="preserve">Sutarties </w:t>
      </w:r>
      <w:r w:rsidR="007D051A" w:rsidRPr="0019406B">
        <w:rPr>
          <w:snapToGrid/>
          <w:sz w:val="24"/>
          <w:szCs w:val="24"/>
          <w:lang w:val="lt-LT"/>
        </w:rPr>
        <w:t xml:space="preserve">14 </w:t>
      </w:r>
      <w:r w:rsidRPr="0019406B">
        <w:rPr>
          <w:snapToGrid/>
          <w:sz w:val="24"/>
          <w:szCs w:val="24"/>
          <w:lang w:val="lt-LT"/>
        </w:rPr>
        <w:t>priedas „Mėnesio ataskaita“</w:t>
      </w:r>
      <w:r w:rsidR="00712361">
        <w:rPr>
          <w:snapToGrid/>
          <w:sz w:val="24"/>
          <w:szCs w:val="24"/>
          <w:lang w:val="lt-LT"/>
        </w:rPr>
        <w:t>;</w:t>
      </w:r>
    </w:p>
    <w:p w14:paraId="740061AF" w14:textId="243471E8" w:rsidR="00712361" w:rsidRPr="00712361" w:rsidRDefault="00712361" w:rsidP="00C40A10">
      <w:pPr>
        <w:pStyle w:val="ListParagraph"/>
        <w:numPr>
          <w:ilvl w:val="0"/>
          <w:numId w:val="17"/>
        </w:numPr>
        <w:tabs>
          <w:tab w:val="left" w:pos="567"/>
          <w:tab w:val="left" w:pos="851"/>
        </w:tabs>
        <w:spacing w:after="0"/>
        <w:ind w:left="-851" w:firstLine="851"/>
        <w:jc w:val="both"/>
        <w:rPr>
          <w:snapToGrid/>
          <w:sz w:val="24"/>
          <w:szCs w:val="24"/>
          <w:lang w:val="lt-LT"/>
        </w:rPr>
      </w:pPr>
      <w:r w:rsidRPr="00712361">
        <w:rPr>
          <w:snapToGrid/>
          <w:sz w:val="24"/>
          <w:szCs w:val="24"/>
          <w:lang w:val="lt-LT"/>
        </w:rPr>
        <w:t>Sutarties 15 priedas „Ataskaita apie Finansų tarpininko tinkamumo reikalavimų laikymąsi“.</w:t>
      </w:r>
    </w:p>
    <w:p w14:paraId="42F03F5A" w14:textId="77777777" w:rsidR="00661A39" w:rsidRPr="00C33AC8" w:rsidRDefault="00661A39" w:rsidP="009B0EE1">
      <w:pPr>
        <w:spacing w:line="276" w:lineRule="auto"/>
        <w:jc w:val="both"/>
        <w:rPr>
          <w:rFonts w:ascii="Times New Roman" w:hAnsi="Times New Roman"/>
          <w:caps/>
          <w:szCs w:val="24"/>
          <w:highlight w:val="yellow"/>
        </w:rPr>
      </w:pPr>
    </w:p>
    <w:p w14:paraId="234E6C0A" w14:textId="13F77E33" w:rsidR="00613D67" w:rsidRPr="002460A6" w:rsidRDefault="00856580" w:rsidP="009B0EE1">
      <w:pPr>
        <w:spacing w:line="276" w:lineRule="auto"/>
        <w:jc w:val="center"/>
        <w:rPr>
          <w:rFonts w:ascii="Times New Roman" w:hAnsi="Times New Roman"/>
          <w:b/>
          <w:caps/>
          <w:szCs w:val="24"/>
        </w:rPr>
      </w:pPr>
      <w:r w:rsidRPr="002460A6">
        <w:rPr>
          <w:rFonts w:ascii="Times New Roman" w:hAnsi="Times New Roman"/>
          <w:b/>
          <w:caps/>
          <w:szCs w:val="24"/>
        </w:rPr>
        <w:t>X</w:t>
      </w:r>
      <w:r w:rsidR="000F0FD2" w:rsidRPr="002460A6">
        <w:rPr>
          <w:rFonts w:ascii="Times New Roman" w:hAnsi="Times New Roman"/>
          <w:b/>
          <w:caps/>
          <w:szCs w:val="24"/>
        </w:rPr>
        <w:t>I</w:t>
      </w:r>
      <w:r w:rsidR="003C169A" w:rsidRPr="002460A6">
        <w:rPr>
          <w:rFonts w:ascii="Times New Roman" w:hAnsi="Times New Roman"/>
          <w:b/>
          <w:caps/>
          <w:szCs w:val="24"/>
        </w:rPr>
        <w:t>I</w:t>
      </w:r>
      <w:r w:rsidR="000F0FD2" w:rsidRPr="002460A6">
        <w:rPr>
          <w:rFonts w:ascii="Times New Roman" w:hAnsi="Times New Roman"/>
          <w:b/>
          <w:caps/>
          <w:szCs w:val="24"/>
        </w:rPr>
        <w:t xml:space="preserve"> SKYRIUS</w:t>
      </w:r>
      <w:r w:rsidRPr="002460A6">
        <w:rPr>
          <w:rFonts w:ascii="Times New Roman" w:hAnsi="Times New Roman"/>
          <w:b/>
          <w:caps/>
          <w:szCs w:val="24"/>
        </w:rPr>
        <w:t>.</w:t>
      </w:r>
      <w:r w:rsidR="000F0FD2" w:rsidRPr="002460A6">
        <w:rPr>
          <w:rFonts w:ascii="Times New Roman" w:hAnsi="Times New Roman"/>
          <w:b/>
          <w:caps/>
          <w:szCs w:val="24"/>
        </w:rPr>
        <w:t xml:space="preserve"> </w:t>
      </w:r>
      <w:r w:rsidRPr="002460A6">
        <w:rPr>
          <w:rFonts w:ascii="Times New Roman" w:hAnsi="Times New Roman"/>
          <w:b/>
          <w:caps/>
          <w:szCs w:val="24"/>
        </w:rPr>
        <w:t>Sutarties šalių adresai ir rekvizitai</w:t>
      </w:r>
      <w:bookmarkStart w:id="10" w:name="OLE_LINK1"/>
      <w:bookmarkStart w:id="11" w:name="OLE_LINK2"/>
    </w:p>
    <w:p w14:paraId="4FF86BC1" w14:textId="77777777" w:rsidR="006E4D43" w:rsidRPr="002460A6" w:rsidRDefault="006E4D43" w:rsidP="009B0EE1">
      <w:pPr>
        <w:spacing w:line="276" w:lineRule="auto"/>
        <w:jc w:val="center"/>
        <w:rPr>
          <w:rFonts w:ascii="Times New Roman" w:hAnsi="Times New Roman"/>
          <w:caps/>
          <w:szCs w:val="24"/>
        </w:rPr>
      </w:pPr>
    </w:p>
    <w:tbl>
      <w:tblPr>
        <w:tblW w:w="9923" w:type="dxa"/>
        <w:tblInd w:w="-743" w:type="dxa"/>
        <w:tblLayout w:type="fixed"/>
        <w:tblLook w:val="01E0" w:firstRow="1" w:lastRow="1" w:firstColumn="1" w:lastColumn="1" w:noHBand="0" w:noVBand="0"/>
      </w:tblPr>
      <w:tblGrid>
        <w:gridCol w:w="4537"/>
        <w:gridCol w:w="5386"/>
      </w:tblGrid>
      <w:tr w:rsidR="007F2A2A" w:rsidRPr="007F2A2A" w14:paraId="486ADC6D" w14:textId="77777777" w:rsidTr="00FF0B79">
        <w:trPr>
          <w:trHeight w:val="568"/>
        </w:trPr>
        <w:tc>
          <w:tcPr>
            <w:tcW w:w="4537" w:type="dxa"/>
          </w:tcPr>
          <w:p w14:paraId="28E42B5B" w14:textId="591A3658" w:rsidR="00612EF4" w:rsidRPr="002460A6" w:rsidRDefault="00C51F33" w:rsidP="009B0EE1">
            <w:pPr>
              <w:spacing w:line="276" w:lineRule="auto"/>
              <w:jc w:val="both"/>
              <w:rPr>
                <w:rFonts w:ascii="Times New Roman" w:hAnsi="Times New Roman"/>
                <w:b/>
                <w:szCs w:val="24"/>
              </w:rPr>
            </w:pPr>
            <w:r w:rsidRPr="002460A6">
              <w:rPr>
                <w:rFonts w:ascii="Times New Roman" w:hAnsi="Times New Roman"/>
                <w:b/>
                <w:szCs w:val="24"/>
              </w:rPr>
              <w:t>PGF</w:t>
            </w:r>
            <w:r w:rsidR="002460A6" w:rsidRPr="002460A6">
              <w:rPr>
                <w:rFonts w:ascii="Times New Roman" w:hAnsi="Times New Roman"/>
                <w:b/>
                <w:szCs w:val="24"/>
                <w:lang w:val="en-US"/>
              </w:rPr>
              <w:t>2</w:t>
            </w:r>
            <w:r w:rsidR="00F37669" w:rsidRPr="002460A6">
              <w:rPr>
                <w:rFonts w:ascii="Times New Roman" w:hAnsi="Times New Roman"/>
                <w:b/>
                <w:szCs w:val="24"/>
              </w:rPr>
              <w:t xml:space="preserve"> priemonės valdytojas</w:t>
            </w:r>
            <w:r w:rsidR="00DE6D81" w:rsidRPr="002460A6">
              <w:rPr>
                <w:rFonts w:ascii="Times New Roman" w:hAnsi="Times New Roman"/>
                <w:b/>
                <w:szCs w:val="24"/>
              </w:rPr>
              <w:t xml:space="preserve">, </w:t>
            </w:r>
          </w:p>
          <w:p w14:paraId="484D69F0" w14:textId="5460020C" w:rsidR="00F37669" w:rsidRPr="002460A6" w:rsidRDefault="00DE6D81" w:rsidP="009B0EE1">
            <w:pPr>
              <w:spacing w:line="276" w:lineRule="auto"/>
              <w:jc w:val="both"/>
              <w:rPr>
                <w:rFonts w:ascii="Times New Roman" w:hAnsi="Times New Roman"/>
                <w:szCs w:val="24"/>
              </w:rPr>
            </w:pPr>
            <w:r w:rsidRPr="002460A6">
              <w:rPr>
                <w:rFonts w:ascii="Times New Roman" w:hAnsi="Times New Roman"/>
                <w:b/>
                <w:szCs w:val="24"/>
              </w:rPr>
              <w:t>atstovaujamas</w:t>
            </w:r>
          </w:p>
          <w:p w14:paraId="7125EBCD" w14:textId="56D695A6" w:rsidR="00661A39" w:rsidRPr="002460A6" w:rsidRDefault="00661A39" w:rsidP="009B0EE1">
            <w:pPr>
              <w:spacing w:line="276" w:lineRule="auto"/>
              <w:jc w:val="both"/>
              <w:rPr>
                <w:rFonts w:ascii="Times New Roman" w:hAnsi="Times New Roman"/>
                <w:szCs w:val="24"/>
              </w:rPr>
            </w:pPr>
          </w:p>
        </w:tc>
        <w:tc>
          <w:tcPr>
            <w:tcW w:w="5386" w:type="dxa"/>
          </w:tcPr>
          <w:p w14:paraId="28E5C4B0" w14:textId="77777777" w:rsidR="00F37669" w:rsidRPr="002460A6" w:rsidRDefault="00F37669" w:rsidP="009B0EE1">
            <w:pPr>
              <w:spacing w:line="276" w:lineRule="auto"/>
              <w:jc w:val="both"/>
              <w:rPr>
                <w:rFonts w:ascii="Times New Roman" w:hAnsi="Times New Roman"/>
                <w:b/>
                <w:szCs w:val="24"/>
              </w:rPr>
            </w:pPr>
            <w:r w:rsidRPr="002460A6">
              <w:rPr>
                <w:rFonts w:ascii="Times New Roman" w:hAnsi="Times New Roman"/>
                <w:b/>
                <w:szCs w:val="24"/>
              </w:rPr>
              <w:t>„Invega“</w:t>
            </w:r>
          </w:p>
          <w:p w14:paraId="11B76397" w14:textId="77777777" w:rsidR="00F37669" w:rsidRPr="002460A6" w:rsidRDefault="00F37669" w:rsidP="009B0EE1">
            <w:pPr>
              <w:overflowPunct/>
              <w:autoSpaceDE/>
              <w:autoSpaceDN/>
              <w:adjustRightInd/>
              <w:spacing w:line="276" w:lineRule="auto"/>
              <w:jc w:val="both"/>
              <w:textAlignment w:val="auto"/>
              <w:rPr>
                <w:rFonts w:ascii="Times New Roman" w:hAnsi="Times New Roman"/>
                <w:szCs w:val="24"/>
              </w:rPr>
            </w:pPr>
            <w:r w:rsidRPr="002460A6">
              <w:rPr>
                <w:rFonts w:ascii="Times New Roman" w:hAnsi="Times New Roman"/>
                <w:szCs w:val="24"/>
              </w:rPr>
              <w:t>UAB „INVESTICIJŲ IR VERSLO GARANTIJOS“</w:t>
            </w:r>
          </w:p>
          <w:p w14:paraId="43744E8E" w14:textId="77777777" w:rsidR="00F37669" w:rsidRPr="002460A6" w:rsidRDefault="00F37669" w:rsidP="009B0EE1">
            <w:pPr>
              <w:overflowPunct/>
              <w:autoSpaceDE/>
              <w:autoSpaceDN/>
              <w:adjustRightInd/>
              <w:spacing w:line="276" w:lineRule="auto"/>
              <w:jc w:val="both"/>
              <w:textAlignment w:val="auto"/>
              <w:rPr>
                <w:rFonts w:ascii="Times New Roman" w:hAnsi="Times New Roman"/>
                <w:szCs w:val="24"/>
              </w:rPr>
            </w:pPr>
            <w:r w:rsidRPr="002460A6">
              <w:rPr>
                <w:rFonts w:ascii="Times New Roman" w:hAnsi="Times New Roman"/>
                <w:szCs w:val="24"/>
              </w:rPr>
              <w:t>Juridinio asmens kodas 110084026</w:t>
            </w:r>
          </w:p>
          <w:p w14:paraId="5FF667FD" w14:textId="77777777" w:rsidR="00F37669" w:rsidRPr="002460A6" w:rsidRDefault="00F37669" w:rsidP="009B0EE1">
            <w:pPr>
              <w:overflowPunct/>
              <w:autoSpaceDE/>
              <w:autoSpaceDN/>
              <w:adjustRightInd/>
              <w:spacing w:line="276" w:lineRule="auto"/>
              <w:jc w:val="both"/>
              <w:textAlignment w:val="auto"/>
              <w:rPr>
                <w:rFonts w:ascii="Times New Roman" w:hAnsi="Times New Roman"/>
                <w:szCs w:val="24"/>
              </w:rPr>
            </w:pPr>
            <w:r w:rsidRPr="002460A6">
              <w:rPr>
                <w:rFonts w:ascii="Times New Roman" w:hAnsi="Times New Roman"/>
                <w:szCs w:val="24"/>
              </w:rPr>
              <w:t>Konstitucijos pr. 7, 09308 Vilnius</w:t>
            </w:r>
          </w:p>
          <w:p w14:paraId="0B003CEA" w14:textId="188CE832" w:rsidR="00F37669" w:rsidRPr="002460A6" w:rsidRDefault="00F37669" w:rsidP="009B0EE1">
            <w:pPr>
              <w:overflowPunct/>
              <w:autoSpaceDE/>
              <w:autoSpaceDN/>
              <w:adjustRightInd/>
              <w:spacing w:line="276" w:lineRule="auto"/>
              <w:jc w:val="both"/>
              <w:textAlignment w:val="auto"/>
              <w:rPr>
                <w:rFonts w:ascii="Times New Roman" w:hAnsi="Times New Roman"/>
                <w:szCs w:val="24"/>
              </w:rPr>
            </w:pPr>
            <w:r w:rsidRPr="002460A6">
              <w:rPr>
                <w:rFonts w:ascii="Times New Roman" w:hAnsi="Times New Roman"/>
                <w:szCs w:val="24"/>
              </w:rPr>
              <w:t xml:space="preserve">El. paštas </w:t>
            </w:r>
            <w:hyperlink r:id="rId17" w:history="1">
              <w:r w:rsidR="00F055DD" w:rsidRPr="002460A6">
                <w:rPr>
                  <w:rStyle w:val="Hyperlink"/>
                  <w:rFonts w:ascii="Times New Roman" w:hAnsi="Times New Roman"/>
                  <w:szCs w:val="24"/>
                </w:rPr>
                <w:t>pgf@invega.lt</w:t>
              </w:r>
            </w:hyperlink>
            <w:r w:rsidR="00F055DD" w:rsidRPr="002460A6">
              <w:rPr>
                <w:rFonts w:ascii="Times New Roman" w:hAnsi="Times New Roman"/>
                <w:szCs w:val="24"/>
              </w:rPr>
              <w:t xml:space="preserve"> </w:t>
            </w:r>
          </w:p>
          <w:p w14:paraId="232D94FB" w14:textId="77777777" w:rsidR="00F37669" w:rsidRPr="002460A6" w:rsidRDefault="00F37669" w:rsidP="009B0EE1">
            <w:pPr>
              <w:overflowPunct/>
              <w:autoSpaceDE/>
              <w:autoSpaceDN/>
              <w:adjustRightInd/>
              <w:spacing w:line="276" w:lineRule="auto"/>
              <w:jc w:val="both"/>
              <w:textAlignment w:val="auto"/>
              <w:rPr>
                <w:rFonts w:ascii="Times New Roman" w:hAnsi="Times New Roman"/>
                <w:szCs w:val="24"/>
              </w:rPr>
            </w:pPr>
            <w:r w:rsidRPr="002460A6">
              <w:rPr>
                <w:rFonts w:ascii="Times New Roman" w:hAnsi="Times New Roman"/>
                <w:szCs w:val="24"/>
              </w:rPr>
              <w:t>Tel. (8 5) 2107510</w:t>
            </w:r>
          </w:p>
          <w:p w14:paraId="26B92EF6" w14:textId="6D09D392" w:rsidR="00F37669" w:rsidRPr="002460A6" w:rsidRDefault="00F37669" w:rsidP="009B0EE1">
            <w:pPr>
              <w:overflowPunct/>
              <w:autoSpaceDE/>
              <w:autoSpaceDN/>
              <w:adjustRightInd/>
              <w:spacing w:line="276" w:lineRule="auto"/>
              <w:jc w:val="both"/>
              <w:textAlignment w:val="auto"/>
              <w:rPr>
                <w:rFonts w:ascii="Times New Roman" w:hAnsi="Times New Roman"/>
                <w:szCs w:val="24"/>
              </w:rPr>
            </w:pPr>
            <w:r w:rsidRPr="002460A6">
              <w:rPr>
                <w:rFonts w:ascii="Times New Roman" w:hAnsi="Times New Roman"/>
                <w:szCs w:val="24"/>
              </w:rPr>
              <w:t>A</w:t>
            </w:r>
            <w:r w:rsidR="007D051A" w:rsidRPr="002460A6">
              <w:rPr>
                <w:rFonts w:ascii="Times New Roman" w:hAnsi="Times New Roman"/>
                <w:szCs w:val="24"/>
              </w:rPr>
              <w:t>.</w:t>
            </w:r>
            <w:r w:rsidRPr="002460A6">
              <w:rPr>
                <w:rFonts w:ascii="Times New Roman" w:hAnsi="Times New Roman"/>
                <w:szCs w:val="24"/>
              </w:rPr>
              <w:t>s</w:t>
            </w:r>
            <w:r w:rsidR="007D051A" w:rsidRPr="002460A6">
              <w:rPr>
                <w:rFonts w:ascii="Times New Roman" w:hAnsi="Times New Roman"/>
                <w:szCs w:val="24"/>
              </w:rPr>
              <w:t>.</w:t>
            </w:r>
            <w:r w:rsidRPr="002460A6">
              <w:rPr>
                <w:rFonts w:ascii="Times New Roman" w:hAnsi="Times New Roman"/>
                <w:szCs w:val="24"/>
              </w:rPr>
              <w:t xml:space="preserve"> LT544010051003955860</w:t>
            </w:r>
          </w:p>
          <w:p w14:paraId="294B5BAD" w14:textId="508A18D8" w:rsidR="00F37669" w:rsidRPr="002460A6" w:rsidRDefault="00343378" w:rsidP="009B0EE1">
            <w:pPr>
              <w:overflowPunct/>
              <w:autoSpaceDE/>
              <w:autoSpaceDN/>
              <w:adjustRightInd/>
              <w:spacing w:line="276" w:lineRule="auto"/>
              <w:jc w:val="both"/>
              <w:textAlignment w:val="auto"/>
              <w:rPr>
                <w:rFonts w:ascii="Times New Roman" w:hAnsi="Times New Roman"/>
                <w:szCs w:val="24"/>
              </w:rPr>
            </w:pPr>
            <w:r w:rsidRPr="002460A6">
              <w:rPr>
                <w:rFonts w:ascii="Times New Roman" w:hAnsi="Times New Roman"/>
                <w:szCs w:val="24"/>
              </w:rPr>
              <w:t>Luminor Bank AB</w:t>
            </w:r>
          </w:p>
          <w:p w14:paraId="28DBA213" w14:textId="2F48841D" w:rsidR="00F37669" w:rsidRPr="002460A6" w:rsidRDefault="00F37669" w:rsidP="009B0EE1">
            <w:pPr>
              <w:overflowPunct/>
              <w:autoSpaceDE/>
              <w:autoSpaceDN/>
              <w:adjustRightInd/>
              <w:spacing w:line="276" w:lineRule="auto"/>
              <w:jc w:val="both"/>
              <w:textAlignment w:val="auto"/>
              <w:rPr>
                <w:rFonts w:ascii="Times New Roman" w:hAnsi="Times New Roman"/>
                <w:szCs w:val="24"/>
              </w:rPr>
            </w:pPr>
          </w:p>
          <w:p w14:paraId="023B64D9" w14:textId="77777777" w:rsidR="00612EF4" w:rsidRPr="002460A6" w:rsidRDefault="00612EF4" w:rsidP="009B0EE1">
            <w:pPr>
              <w:overflowPunct/>
              <w:autoSpaceDE/>
              <w:autoSpaceDN/>
              <w:adjustRightInd/>
              <w:spacing w:line="276" w:lineRule="auto"/>
              <w:jc w:val="both"/>
              <w:textAlignment w:val="auto"/>
              <w:rPr>
                <w:rFonts w:ascii="Times New Roman" w:hAnsi="Times New Roman"/>
                <w:szCs w:val="24"/>
              </w:rPr>
            </w:pPr>
          </w:p>
          <w:p w14:paraId="0CE57631" w14:textId="77777777" w:rsidR="00F37669" w:rsidRPr="002460A6" w:rsidRDefault="00F37669" w:rsidP="009B0EE1">
            <w:pPr>
              <w:overflowPunct/>
              <w:autoSpaceDE/>
              <w:autoSpaceDN/>
              <w:adjustRightInd/>
              <w:spacing w:line="276" w:lineRule="auto"/>
              <w:jc w:val="both"/>
              <w:textAlignment w:val="auto"/>
              <w:rPr>
                <w:rFonts w:ascii="Times New Roman" w:hAnsi="Times New Roman"/>
                <w:szCs w:val="24"/>
              </w:rPr>
            </w:pPr>
            <w:r w:rsidRPr="002460A6">
              <w:rPr>
                <w:rFonts w:ascii="Times New Roman" w:hAnsi="Times New Roman"/>
                <w:szCs w:val="24"/>
              </w:rPr>
              <w:t>UAB „INVESTICIJŲ IR VERSLO GARANTIJOS“</w:t>
            </w:r>
          </w:p>
          <w:p w14:paraId="59F3ED9F" w14:textId="3CD22D00" w:rsidR="00F37669" w:rsidRPr="002460A6" w:rsidRDefault="00F37669" w:rsidP="009B0EE1">
            <w:pPr>
              <w:overflowPunct/>
              <w:autoSpaceDE/>
              <w:autoSpaceDN/>
              <w:adjustRightInd/>
              <w:spacing w:line="276" w:lineRule="auto"/>
              <w:jc w:val="both"/>
              <w:textAlignment w:val="auto"/>
              <w:rPr>
                <w:rFonts w:ascii="Times New Roman" w:hAnsi="Times New Roman"/>
                <w:szCs w:val="24"/>
              </w:rPr>
            </w:pPr>
            <w:r w:rsidRPr="002460A6">
              <w:rPr>
                <w:rFonts w:ascii="Times New Roman" w:hAnsi="Times New Roman"/>
                <w:szCs w:val="24"/>
              </w:rPr>
              <w:t>Generalini</w:t>
            </w:r>
            <w:r w:rsidR="006530CC" w:rsidRPr="002460A6">
              <w:rPr>
                <w:rFonts w:ascii="Times New Roman" w:hAnsi="Times New Roman"/>
                <w:szCs w:val="24"/>
              </w:rPr>
              <w:t>s</w:t>
            </w:r>
            <w:r w:rsidRPr="002460A6">
              <w:rPr>
                <w:rFonts w:ascii="Times New Roman" w:hAnsi="Times New Roman"/>
                <w:szCs w:val="24"/>
              </w:rPr>
              <w:t xml:space="preserve"> direktorius </w:t>
            </w:r>
          </w:p>
          <w:p w14:paraId="7DEFD2F6" w14:textId="77777777" w:rsidR="00F37669" w:rsidRPr="002460A6" w:rsidRDefault="00F37669" w:rsidP="009B0EE1">
            <w:pPr>
              <w:overflowPunct/>
              <w:autoSpaceDE/>
              <w:autoSpaceDN/>
              <w:adjustRightInd/>
              <w:spacing w:line="276" w:lineRule="auto"/>
              <w:jc w:val="both"/>
              <w:textAlignment w:val="auto"/>
              <w:rPr>
                <w:rFonts w:ascii="Times New Roman" w:hAnsi="Times New Roman"/>
                <w:szCs w:val="24"/>
              </w:rPr>
            </w:pPr>
          </w:p>
          <w:p w14:paraId="7EFF6DD2" w14:textId="77777777" w:rsidR="00F37669" w:rsidRPr="002460A6" w:rsidRDefault="00F37669" w:rsidP="009B0EE1">
            <w:pPr>
              <w:overflowPunct/>
              <w:autoSpaceDE/>
              <w:autoSpaceDN/>
              <w:adjustRightInd/>
              <w:spacing w:line="276" w:lineRule="auto"/>
              <w:jc w:val="both"/>
              <w:textAlignment w:val="auto"/>
              <w:rPr>
                <w:rFonts w:ascii="Times New Roman" w:hAnsi="Times New Roman"/>
                <w:szCs w:val="24"/>
              </w:rPr>
            </w:pPr>
            <w:r w:rsidRPr="002460A6">
              <w:rPr>
                <w:rFonts w:ascii="Times New Roman" w:hAnsi="Times New Roman"/>
                <w:szCs w:val="24"/>
              </w:rPr>
              <w:t>________________________</w:t>
            </w:r>
          </w:p>
          <w:p w14:paraId="68816E21" w14:textId="5418CD20" w:rsidR="00394AC8" w:rsidRPr="007F2A2A" w:rsidRDefault="006530CC" w:rsidP="009B0EE1">
            <w:pPr>
              <w:overflowPunct/>
              <w:autoSpaceDE/>
              <w:autoSpaceDN/>
              <w:adjustRightInd/>
              <w:spacing w:line="276" w:lineRule="auto"/>
              <w:ind w:left="-10"/>
              <w:jc w:val="both"/>
              <w:textAlignment w:val="auto"/>
              <w:rPr>
                <w:rFonts w:ascii="Times New Roman" w:hAnsi="Times New Roman"/>
                <w:szCs w:val="24"/>
              </w:rPr>
            </w:pPr>
            <w:r w:rsidRPr="002460A6">
              <w:rPr>
                <w:rFonts w:ascii="Times New Roman" w:hAnsi="Times New Roman"/>
                <w:szCs w:val="24"/>
              </w:rPr>
              <w:t>Kęstutis Motiejūnas</w:t>
            </w:r>
          </w:p>
        </w:tc>
      </w:tr>
      <w:bookmarkEnd w:id="10"/>
      <w:bookmarkEnd w:id="11"/>
    </w:tbl>
    <w:p w14:paraId="5F69CB93" w14:textId="64AF9000" w:rsidR="00910BE7" w:rsidRDefault="00910BE7" w:rsidP="00910BE7">
      <w:pPr>
        <w:spacing w:line="276" w:lineRule="auto"/>
        <w:jc w:val="both"/>
        <w:rPr>
          <w:rFonts w:ascii="Times New Roman" w:hAnsi="Times New Roman"/>
          <w:szCs w:val="24"/>
        </w:rPr>
      </w:pPr>
    </w:p>
    <w:p w14:paraId="3E344E41" w14:textId="77777777" w:rsidR="00C16331" w:rsidRPr="00910BE7" w:rsidRDefault="00C16331" w:rsidP="00910BE7">
      <w:pPr>
        <w:jc w:val="center"/>
        <w:rPr>
          <w:rFonts w:ascii="Times New Roman" w:hAnsi="Times New Roman"/>
          <w:szCs w:val="24"/>
        </w:rPr>
      </w:pPr>
    </w:p>
    <w:sectPr w:rsidR="00C16331" w:rsidRPr="00910BE7" w:rsidSect="00612EF4">
      <w:headerReference w:type="default" r:id="rId18"/>
      <w:footerReference w:type="even" r:id="rId19"/>
      <w:footerReference w:type="default" r:id="rId20"/>
      <w:pgSz w:w="11907" w:h="16840" w:code="9"/>
      <w:pgMar w:top="993" w:right="1134" w:bottom="993"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0DD6F" w14:textId="77777777" w:rsidR="00E668A9" w:rsidRDefault="00E668A9">
      <w:r>
        <w:separator/>
      </w:r>
    </w:p>
  </w:endnote>
  <w:endnote w:type="continuationSeparator" w:id="0">
    <w:p w14:paraId="38BB4A7F" w14:textId="77777777" w:rsidR="00E668A9" w:rsidRDefault="00E668A9">
      <w:r>
        <w:continuationSeparator/>
      </w:r>
    </w:p>
  </w:endnote>
  <w:endnote w:type="continuationNotice" w:id="1">
    <w:p w14:paraId="354CBCFB" w14:textId="77777777" w:rsidR="00E668A9" w:rsidRDefault="00E66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D2510" w14:textId="77777777" w:rsidR="00E668A9" w:rsidRDefault="00E66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33C52E" w14:textId="77777777" w:rsidR="00E668A9" w:rsidRDefault="00E66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BE109" w14:textId="4EBE783E" w:rsidR="00E668A9" w:rsidRPr="00F10E88" w:rsidRDefault="00E668A9" w:rsidP="00F10E88">
    <w:pPr>
      <w:pStyle w:val="Footer"/>
      <w:framePr w:wrap="around" w:vAnchor="text" w:hAnchor="margin" w:xAlign="right" w:y="1"/>
      <w:jc w:val="both"/>
      <w:rPr>
        <w:rStyle w:val="PageNumber"/>
        <w:rFonts w:ascii="Times New Roman" w:hAnsi="Times New Roman"/>
        <w:szCs w:val="24"/>
      </w:rPr>
    </w:pPr>
    <w:r w:rsidRPr="00F10E88">
      <w:rPr>
        <w:rStyle w:val="PageNumber"/>
        <w:rFonts w:ascii="Times New Roman" w:hAnsi="Times New Roman"/>
        <w:szCs w:val="24"/>
      </w:rPr>
      <w:fldChar w:fldCharType="begin"/>
    </w:r>
    <w:r w:rsidRPr="00F10E88">
      <w:rPr>
        <w:rStyle w:val="PageNumber"/>
        <w:rFonts w:ascii="Times New Roman" w:hAnsi="Times New Roman"/>
        <w:szCs w:val="24"/>
      </w:rPr>
      <w:instrText xml:space="preserve">PAGE  </w:instrText>
    </w:r>
    <w:r w:rsidRPr="00F10E88">
      <w:rPr>
        <w:rStyle w:val="PageNumber"/>
        <w:rFonts w:ascii="Times New Roman" w:hAnsi="Times New Roman"/>
        <w:szCs w:val="24"/>
      </w:rPr>
      <w:fldChar w:fldCharType="separate"/>
    </w:r>
    <w:r>
      <w:rPr>
        <w:rStyle w:val="PageNumber"/>
        <w:rFonts w:ascii="Times New Roman" w:hAnsi="Times New Roman"/>
        <w:noProof/>
        <w:szCs w:val="24"/>
      </w:rPr>
      <w:t>31</w:t>
    </w:r>
    <w:r w:rsidRPr="00F10E88">
      <w:rPr>
        <w:rStyle w:val="PageNumber"/>
        <w:rFonts w:ascii="Times New Roman" w:hAnsi="Times New Roman"/>
        <w:szCs w:val="24"/>
      </w:rPr>
      <w:fldChar w:fldCharType="end"/>
    </w:r>
  </w:p>
  <w:p w14:paraId="5C84FE6B" w14:textId="77777777" w:rsidR="00E668A9" w:rsidRPr="00F10E88" w:rsidRDefault="00E668A9" w:rsidP="00F10E88">
    <w:pPr>
      <w:pStyle w:val="Footer"/>
      <w:tabs>
        <w:tab w:val="clear" w:pos="4320"/>
        <w:tab w:val="clear" w:pos="8640"/>
      </w:tabs>
      <w:ind w:right="360"/>
      <w:jc w:val="both"/>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4A522" w14:textId="77777777" w:rsidR="00E668A9" w:rsidRDefault="00E668A9">
      <w:r>
        <w:separator/>
      </w:r>
    </w:p>
  </w:footnote>
  <w:footnote w:type="continuationSeparator" w:id="0">
    <w:p w14:paraId="366D4745" w14:textId="77777777" w:rsidR="00E668A9" w:rsidRDefault="00E668A9">
      <w:r>
        <w:continuationSeparator/>
      </w:r>
    </w:p>
  </w:footnote>
  <w:footnote w:type="continuationNotice" w:id="1">
    <w:p w14:paraId="472FF6BA" w14:textId="77777777" w:rsidR="00E668A9" w:rsidRDefault="00E668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3BE6A" w14:textId="77777777" w:rsidR="00E668A9" w:rsidRPr="00F10E88" w:rsidRDefault="00E668A9" w:rsidP="00F10E88">
    <w:pPr>
      <w:pStyle w:val="Header"/>
      <w:tabs>
        <w:tab w:val="clear" w:pos="4986"/>
        <w:tab w:val="clear" w:pos="9972"/>
      </w:tabs>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227C2"/>
    <w:multiLevelType w:val="multilevel"/>
    <w:tmpl w:val="0427001F"/>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790495"/>
    <w:multiLevelType w:val="multilevel"/>
    <w:tmpl w:val="DFAC755A"/>
    <w:lvl w:ilvl="0">
      <w:start w:val="11"/>
      <w:numFmt w:val="decimal"/>
      <w:lvlText w:val="%1."/>
      <w:lvlJc w:val="left"/>
      <w:pPr>
        <w:ind w:left="480" w:hanging="480"/>
      </w:pPr>
      <w:rPr>
        <w:rFonts w:hint="default"/>
      </w:rPr>
    </w:lvl>
    <w:lvl w:ilvl="1">
      <w:start w:val="1"/>
      <w:numFmt w:val="decimal"/>
      <w:lvlText w:val="10.%2."/>
      <w:lvlJc w:val="left"/>
      <w:pPr>
        <w:ind w:left="1200" w:hanging="480"/>
      </w:pPr>
      <w:rPr>
        <w:rFonts w:hint="default"/>
        <w:sz w:val="24"/>
        <w:szCs w:val="24"/>
      </w:rPr>
    </w:lvl>
    <w:lvl w:ilvl="2">
      <w:start w:val="1"/>
      <w:numFmt w:val="decimal"/>
      <w:lvlText w:val="10.%2.%3."/>
      <w:lvlJc w:val="left"/>
      <w:pPr>
        <w:ind w:left="1430" w:hanging="720"/>
      </w:pPr>
      <w:rPr>
        <w:rFonts w:hint="default"/>
      </w:rPr>
    </w:lvl>
    <w:lvl w:ilvl="3">
      <w:start w:val="1"/>
      <w:numFmt w:val="decimal"/>
      <w:lvlText w:val="10.%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2F52FA"/>
    <w:multiLevelType w:val="hybridMultilevel"/>
    <w:tmpl w:val="2736CF64"/>
    <w:lvl w:ilvl="0" w:tplc="04270011">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3" w15:restartNumberingAfterBreak="0">
    <w:nsid w:val="0E4A5AE0"/>
    <w:multiLevelType w:val="multilevel"/>
    <w:tmpl w:val="BEB84156"/>
    <w:lvl w:ilvl="0">
      <w:start w:val="3"/>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535" w:hanging="108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477" w:hanging="1440"/>
      </w:pPr>
      <w:rPr>
        <w:rFonts w:hint="default"/>
      </w:rPr>
    </w:lvl>
    <w:lvl w:ilvl="8">
      <w:start w:val="1"/>
      <w:numFmt w:val="decimal"/>
      <w:lvlText w:val="%1.%2.%3.%4.%5.%6.%7.%8.%9."/>
      <w:lvlJc w:val="left"/>
      <w:pPr>
        <w:ind w:left="20128" w:hanging="1800"/>
      </w:pPr>
      <w:rPr>
        <w:rFonts w:hint="default"/>
      </w:rPr>
    </w:lvl>
  </w:abstractNum>
  <w:abstractNum w:abstractNumId="4" w15:restartNumberingAfterBreak="0">
    <w:nsid w:val="16840DA7"/>
    <w:multiLevelType w:val="multilevel"/>
    <w:tmpl w:val="D1D44F8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4C7DAF"/>
    <w:multiLevelType w:val="hybridMultilevel"/>
    <w:tmpl w:val="BE2E6816"/>
    <w:lvl w:ilvl="0" w:tplc="E9E6B7E2">
      <w:start w:val="1"/>
      <w:numFmt w:val="decimal"/>
      <w:lvlText w:val="%1."/>
      <w:lvlJc w:val="center"/>
      <w:pPr>
        <w:ind w:left="751" w:hanging="360"/>
      </w:pPr>
      <w:rPr>
        <w:rFonts w:hint="default"/>
      </w:rPr>
    </w:lvl>
    <w:lvl w:ilvl="1" w:tplc="04270019">
      <w:start w:val="1"/>
      <w:numFmt w:val="lowerLetter"/>
      <w:lvlText w:val="%2."/>
      <w:lvlJc w:val="left"/>
      <w:pPr>
        <w:ind w:left="1471" w:hanging="360"/>
      </w:pPr>
    </w:lvl>
    <w:lvl w:ilvl="2" w:tplc="0427001B">
      <w:start w:val="1"/>
      <w:numFmt w:val="lowerRoman"/>
      <w:lvlText w:val="%3."/>
      <w:lvlJc w:val="right"/>
      <w:pPr>
        <w:ind w:left="2191" w:hanging="180"/>
      </w:pPr>
    </w:lvl>
    <w:lvl w:ilvl="3" w:tplc="0427000F" w:tentative="1">
      <w:start w:val="1"/>
      <w:numFmt w:val="decimal"/>
      <w:lvlText w:val="%4."/>
      <w:lvlJc w:val="left"/>
      <w:pPr>
        <w:ind w:left="2911" w:hanging="360"/>
      </w:pPr>
    </w:lvl>
    <w:lvl w:ilvl="4" w:tplc="04270019" w:tentative="1">
      <w:start w:val="1"/>
      <w:numFmt w:val="lowerLetter"/>
      <w:lvlText w:val="%5."/>
      <w:lvlJc w:val="left"/>
      <w:pPr>
        <w:ind w:left="3631" w:hanging="360"/>
      </w:pPr>
    </w:lvl>
    <w:lvl w:ilvl="5" w:tplc="0427001B" w:tentative="1">
      <w:start w:val="1"/>
      <w:numFmt w:val="lowerRoman"/>
      <w:lvlText w:val="%6."/>
      <w:lvlJc w:val="right"/>
      <w:pPr>
        <w:ind w:left="4351" w:hanging="180"/>
      </w:pPr>
    </w:lvl>
    <w:lvl w:ilvl="6" w:tplc="0427000F" w:tentative="1">
      <w:start w:val="1"/>
      <w:numFmt w:val="decimal"/>
      <w:lvlText w:val="%7."/>
      <w:lvlJc w:val="left"/>
      <w:pPr>
        <w:ind w:left="5071" w:hanging="360"/>
      </w:pPr>
    </w:lvl>
    <w:lvl w:ilvl="7" w:tplc="04270019" w:tentative="1">
      <w:start w:val="1"/>
      <w:numFmt w:val="lowerLetter"/>
      <w:lvlText w:val="%8."/>
      <w:lvlJc w:val="left"/>
      <w:pPr>
        <w:ind w:left="5791" w:hanging="360"/>
      </w:pPr>
    </w:lvl>
    <w:lvl w:ilvl="8" w:tplc="0427001B" w:tentative="1">
      <w:start w:val="1"/>
      <w:numFmt w:val="lowerRoman"/>
      <w:lvlText w:val="%9."/>
      <w:lvlJc w:val="right"/>
      <w:pPr>
        <w:ind w:left="6511" w:hanging="180"/>
      </w:pPr>
    </w:lvl>
  </w:abstractNum>
  <w:abstractNum w:abstractNumId="6" w15:restartNumberingAfterBreak="0">
    <w:nsid w:val="1ED86EAE"/>
    <w:multiLevelType w:val="multilevel"/>
    <w:tmpl w:val="BEB84156"/>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535" w:hanging="108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477" w:hanging="1440"/>
      </w:pPr>
      <w:rPr>
        <w:rFonts w:hint="default"/>
      </w:rPr>
    </w:lvl>
    <w:lvl w:ilvl="8">
      <w:start w:val="1"/>
      <w:numFmt w:val="decimal"/>
      <w:lvlText w:val="%1.%2.%3.%4.%5.%6.%7.%8.%9."/>
      <w:lvlJc w:val="left"/>
      <w:pPr>
        <w:ind w:left="20128" w:hanging="1800"/>
      </w:pPr>
      <w:rPr>
        <w:rFonts w:hint="default"/>
      </w:rPr>
    </w:lvl>
  </w:abstractNum>
  <w:abstractNum w:abstractNumId="7" w15:restartNumberingAfterBreak="0">
    <w:nsid w:val="1F0A0300"/>
    <w:multiLevelType w:val="multilevel"/>
    <w:tmpl w:val="BEB84156"/>
    <w:lvl w:ilvl="0">
      <w:start w:val="3"/>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535" w:hanging="108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477" w:hanging="1440"/>
      </w:pPr>
      <w:rPr>
        <w:rFonts w:hint="default"/>
      </w:rPr>
    </w:lvl>
    <w:lvl w:ilvl="8">
      <w:start w:val="1"/>
      <w:numFmt w:val="decimal"/>
      <w:lvlText w:val="%1.%2.%3.%4.%5.%6.%7.%8.%9."/>
      <w:lvlJc w:val="left"/>
      <w:pPr>
        <w:ind w:left="20128" w:hanging="1800"/>
      </w:pPr>
      <w:rPr>
        <w:rFonts w:hint="default"/>
      </w:rPr>
    </w:lvl>
  </w:abstractNum>
  <w:abstractNum w:abstractNumId="8" w15:restartNumberingAfterBreak="0">
    <w:nsid w:val="1FD023B4"/>
    <w:multiLevelType w:val="multilevel"/>
    <w:tmpl w:val="84FC1A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4345A0"/>
    <w:multiLevelType w:val="hybridMultilevel"/>
    <w:tmpl w:val="7BF62140"/>
    <w:lvl w:ilvl="0" w:tplc="0427000F">
      <w:start w:val="1"/>
      <w:numFmt w:val="decimal"/>
      <w:lvlText w:val="%1."/>
      <w:lvlJc w:val="left"/>
      <w:pPr>
        <w:ind w:left="64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535133A"/>
    <w:multiLevelType w:val="multilevel"/>
    <w:tmpl w:val="F6ACC248"/>
    <w:lvl w:ilvl="0">
      <w:start w:val="1"/>
      <w:numFmt w:val="decimal"/>
      <w:lvlText w:val="%1."/>
      <w:lvlJc w:val="left"/>
      <w:pPr>
        <w:ind w:left="1637" w:hanging="360"/>
      </w:pPr>
      <w:rPr>
        <w:rFonts w:hint="default"/>
        <w:b w:val="0"/>
        <w:i w:val="0"/>
      </w:rPr>
    </w:lvl>
    <w:lvl w:ilvl="1">
      <w:start w:val="1"/>
      <w:numFmt w:val="lowerLetter"/>
      <w:lvlText w:val="%2)"/>
      <w:lvlJc w:val="left"/>
      <w:pPr>
        <w:ind w:left="2160" w:hanging="360"/>
      </w:pPr>
      <w:rPr>
        <w:rFonts w:hint="default"/>
        <w:sz w:val="22"/>
      </w:rPr>
    </w:lvl>
    <w:lvl w:ilvl="2">
      <w:start w:val="1"/>
      <w:numFmt w:val="lowerRoman"/>
      <w:lvlText w:val="%3."/>
      <w:lvlJc w:val="right"/>
      <w:pPr>
        <w:ind w:left="2880" w:hanging="180"/>
      </w:pPr>
      <w:rPr>
        <w:rFonts w:hint="default"/>
      </w:rPr>
    </w:lvl>
    <w:lvl w:ilvl="3">
      <w:start w:val="1"/>
      <w:numFmt w:val="decimal"/>
      <w:lvlText w:val="%4.2."/>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27105178"/>
    <w:multiLevelType w:val="multilevel"/>
    <w:tmpl w:val="924CE2D2"/>
    <w:styleLink w:val="Style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2FD118BD"/>
    <w:multiLevelType w:val="hybridMultilevel"/>
    <w:tmpl w:val="CD6C35A4"/>
    <w:lvl w:ilvl="0" w:tplc="04270017">
      <w:start w:val="9"/>
      <w:numFmt w:val="lowerLetter"/>
      <w:lvlText w:val="%1)"/>
      <w:lvlJc w:val="left"/>
      <w:pPr>
        <w:ind w:left="720" w:hanging="360"/>
      </w:pPr>
      <w:rPr>
        <w:rFonts w:ascii="Times New Roman" w:hAnsi="Times New Roman"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22A2D30"/>
    <w:multiLevelType w:val="multilevel"/>
    <w:tmpl w:val="AF8E8560"/>
    <w:styleLink w:val="Style1"/>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343A0E"/>
    <w:multiLevelType w:val="hybridMultilevel"/>
    <w:tmpl w:val="119CD734"/>
    <w:lvl w:ilvl="0" w:tplc="C8FE515E">
      <w:start w:val="1"/>
      <w:numFmt w:val="bullet"/>
      <w:lvlText w:val="-"/>
      <w:lvlJc w:val="left"/>
      <w:pPr>
        <w:ind w:left="405" w:hanging="360"/>
      </w:pPr>
      <w:rPr>
        <w:rFonts w:ascii="Calibri" w:eastAsia="Times New Roman" w:hAnsi="Calibri"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15" w15:restartNumberingAfterBreak="0">
    <w:nsid w:val="388F7B27"/>
    <w:multiLevelType w:val="multilevel"/>
    <w:tmpl w:val="924CE2D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98F674C"/>
    <w:multiLevelType w:val="hybridMultilevel"/>
    <w:tmpl w:val="DA9E7552"/>
    <w:lvl w:ilvl="0" w:tplc="E9E6B7E2">
      <w:start w:val="1"/>
      <w:numFmt w:val="decimal"/>
      <w:lvlText w:val="%1."/>
      <w:lvlJc w:val="center"/>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F5B436E"/>
    <w:multiLevelType w:val="multilevel"/>
    <w:tmpl w:val="10CC9E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3FC40A1F"/>
    <w:multiLevelType w:val="hybridMultilevel"/>
    <w:tmpl w:val="DA9E7552"/>
    <w:lvl w:ilvl="0" w:tplc="E9E6B7E2">
      <w:start w:val="1"/>
      <w:numFmt w:val="decimal"/>
      <w:lvlText w:val="%1."/>
      <w:lvlJc w:val="center"/>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2D5394C"/>
    <w:multiLevelType w:val="multilevel"/>
    <w:tmpl w:val="0427001F"/>
    <w:numStyleLink w:val="Style6"/>
  </w:abstractNum>
  <w:abstractNum w:abstractNumId="20" w15:restartNumberingAfterBreak="0">
    <w:nsid w:val="435E3923"/>
    <w:multiLevelType w:val="hybridMultilevel"/>
    <w:tmpl w:val="DA9E7552"/>
    <w:lvl w:ilvl="0" w:tplc="E9E6B7E2">
      <w:start w:val="1"/>
      <w:numFmt w:val="decimal"/>
      <w:lvlText w:val="%1."/>
      <w:lvlJc w:val="center"/>
      <w:pPr>
        <w:ind w:left="751" w:hanging="360"/>
      </w:pPr>
      <w:rPr>
        <w:rFonts w:hint="default"/>
      </w:rPr>
    </w:lvl>
    <w:lvl w:ilvl="1" w:tplc="04270019">
      <w:start w:val="1"/>
      <w:numFmt w:val="lowerLetter"/>
      <w:lvlText w:val="%2."/>
      <w:lvlJc w:val="left"/>
      <w:pPr>
        <w:ind w:left="1471" w:hanging="360"/>
      </w:pPr>
    </w:lvl>
    <w:lvl w:ilvl="2" w:tplc="0427001B">
      <w:start w:val="1"/>
      <w:numFmt w:val="lowerRoman"/>
      <w:lvlText w:val="%3."/>
      <w:lvlJc w:val="right"/>
      <w:pPr>
        <w:ind w:left="2191" w:hanging="180"/>
      </w:pPr>
    </w:lvl>
    <w:lvl w:ilvl="3" w:tplc="0427000F" w:tentative="1">
      <w:start w:val="1"/>
      <w:numFmt w:val="decimal"/>
      <w:lvlText w:val="%4."/>
      <w:lvlJc w:val="left"/>
      <w:pPr>
        <w:ind w:left="2911" w:hanging="360"/>
      </w:pPr>
    </w:lvl>
    <w:lvl w:ilvl="4" w:tplc="04270019" w:tentative="1">
      <w:start w:val="1"/>
      <w:numFmt w:val="lowerLetter"/>
      <w:lvlText w:val="%5."/>
      <w:lvlJc w:val="left"/>
      <w:pPr>
        <w:ind w:left="3631" w:hanging="360"/>
      </w:pPr>
    </w:lvl>
    <w:lvl w:ilvl="5" w:tplc="0427001B" w:tentative="1">
      <w:start w:val="1"/>
      <w:numFmt w:val="lowerRoman"/>
      <w:lvlText w:val="%6."/>
      <w:lvlJc w:val="right"/>
      <w:pPr>
        <w:ind w:left="4351" w:hanging="180"/>
      </w:pPr>
    </w:lvl>
    <w:lvl w:ilvl="6" w:tplc="0427000F" w:tentative="1">
      <w:start w:val="1"/>
      <w:numFmt w:val="decimal"/>
      <w:lvlText w:val="%7."/>
      <w:lvlJc w:val="left"/>
      <w:pPr>
        <w:ind w:left="5071" w:hanging="360"/>
      </w:pPr>
    </w:lvl>
    <w:lvl w:ilvl="7" w:tplc="04270019" w:tentative="1">
      <w:start w:val="1"/>
      <w:numFmt w:val="lowerLetter"/>
      <w:lvlText w:val="%8."/>
      <w:lvlJc w:val="left"/>
      <w:pPr>
        <w:ind w:left="5791" w:hanging="360"/>
      </w:pPr>
    </w:lvl>
    <w:lvl w:ilvl="8" w:tplc="0427001B" w:tentative="1">
      <w:start w:val="1"/>
      <w:numFmt w:val="lowerRoman"/>
      <w:lvlText w:val="%9."/>
      <w:lvlJc w:val="right"/>
      <w:pPr>
        <w:ind w:left="6511" w:hanging="180"/>
      </w:pPr>
    </w:lvl>
  </w:abstractNum>
  <w:abstractNum w:abstractNumId="21" w15:restartNumberingAfterBreak="0">
    <w:nsid w:val="4A611E37"/>
    <w:multiLevelType w:val="multilevel"/>
    <w:tmpl w:val="35100AFA"/>
    <w:lvl w:ilvl="0">
      <w:start w:val="1"/>
      <w:numFmt w:val="decimal"/>
      <w:lvlText w:val="%1."/>
      <w:lvlJc w:val="left"/>
      <w:pPr>
        <w:ind w:left="720" w:hanging="360"/>
      </w:pPr>
    </w:lvl>
    <w:lvl w:ilvl="1">
      <w:start w:val="1"/>
      <w:numFmt w:val="decimal"/>
      <w:isLgl/>
      <w:lvlText w:val="%1.%2."/>
      <w:lvlJc w:val="left"/>
      <w:pPr>
        <w:ind w:left="1559" w:hanging="708"/>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2" w15:restartNumberingAfterBreak="0">
    <w:nsid w:val="4AFA2F1E"/>
    <w:multiLevelType w:val="multilevel"/>
    <w:tmpl w:val="BD8E9F82"/>
    <w:lvl w:ilvl="0">
      <w:start w:val="8"/>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A250272"/>
    <w:multiLevelType w:val="multilevel"/>
    <w:tmpl w:val="BEB84156"/>
    <w:lvl w:ilvl="0">
      <w:start w:val="3"/>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535" w:hanging="108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477" w:hanging="1440"/>
      </w:pPr>
      <w:rPr>
        <w:rFonts w:hint="default"/>
      </w:rPr>
    </w:lvl>
    <w:lvl w:ilvl="8">
      <w:start w:val="1"/>
      <w:numFmt w:val="decimal"/>
      <w:lvlText w:val="%1.%2.%3.%4.%5.%6.%7.%8.%9."/>
      <w:lvlJc w:val="left"/>
      <w:pPr>
        <w:ind w:left="20128" w:hanging="1800"/>
      </w:pPr>
      <w:rPr>
        <w:rFonts w:hint="default"/>
      </w:rPr>
    </w:lvl>
  </w:abstractNum>
  <w:abstractNum w:abstractNumId="24" w15:restartNumberingAfterBreak="0">
    <w:nsid w:val="63087AB1"/>
    <w:multiLevelType w:val="multilevel"/>
    <w:tmpl w:val="BD8E9F8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8EB4768"/>
    <w:multiLevelType w:val="multilevel"/>
    <w:tmpl w:val="A8462214"/>
    <w:lvl w:ilvl="0">
      <w:start w:val="12"/>
      <w:numFmt w:val="decimal"/>
      <w:lvlText w:val="%1."/>
      <w:lvlJc w:val="left"/>
      <w:pPr>
        <w:ind w:left="480" w:hanging="480"/>
      </w:pPr>
      <w:rPr>
        <w:rFonts w:hint="default"/>
      </w:rPr>
    </w:lvl>
    <w:lvl w:ilvl="1">
      <w:start w:val="1"/>
      <w:numFmt w:val="decimal"/>
      <w:lvlText w:val="11.%2."/>
      <w:lvlJc w:val="left"/>
      <w:pPr>
        <w:ind w:left="2607" w:hanging="480"/>
      </w:pPr>
      <w:rPr>
        <w:rFonts w:hint="default"/>
      </w:rPr>
    </w:lvl>
    <w:lvl w:ilvl="2">
      <w:start w:val="1"/>
      <w:numFmt w:val="decimal"/>
      <w:lvlText w:val="1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9F7587"/>
    <w:multiLevelType w:val="multilevel"/>
    <w:tmpl w:val="924CE2D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74BC1376"/>
    <w:multiLevelType w:val="multilevel"/>
    <w:tmpl w:val="DAF0EA22"/>
    <w:lvl w:ilvl="0">
      <w:start w:val="6"/>
      <w:numFmt w:val="decimal"/>
      <w:lvlText w:val="%1."/>
      <w:lvlJc w:val="left"/>
      <w:pPr>
        <w:ind w:left="360" w:hanging="360"/>
      </w:pPr>
      <w:rPr>
        <w:rFonts w:hint="default"/>
      </w:rPr>
    </w:lvl>
    <w:lvl w:ilvl="1">
      <w:start w:val="1"/>
      <w:numFmt w:val="decimal"/>
      <w:lvlText w:val="7.%2."/>
      <w:lvlJc w:val="left"/>
      <w:pPr>
        <w:ind w:left="5464" w:hanging="360"/>
      </w:pPr>
      <w:rPr>
        <w:rFonts w:hint="default"/>
      </w:rPr>
    </w:lvl>
    <w:lvl w:ilvl="2">
      <w:start w:val="1"/>
      <w:numFmt w:val="decimal"/>
      <w:lvlText w:val="7.%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7439F2"/>
    <w:multiLevelType w:val="multilevel"/>
    <w:tmpl w:val="88B658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7350C00"/>
    <w:multiLevelType w:val="multilevel"/>
    <w:tmpl w:val="1B40F002"/>
    <w:styleLink w:val="Style4"/>
    <w:lvl w:ilvl="0">
      <w:start w:val="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7390CFE"/>
    <w:multiLevelType w:val="multilevel"/>
    <w:tmpl w:val="BEB84156"/>
    <w:lvl w:ilvl="0">
      <w:start w:val="3"/>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535" w:hanging="108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477" w:hanging="1440"/>
      </w:pPr>
      <w:rPr>
        <w:rFonts w:hint="default"/>
      </w:rPr>
    </w:lvl>
    <w:lvl w:ilvl="8">
      <w:start w:val="1"/>
      <w:numFmt w:val="decimal"/>
      <w:lvlText w:val="%1.%2.%3.%4.%5.%6.%7.%8.%9."/>
      <w:lvlJc w:val="left"/>
      <w:pPr>
        <w:ind w:left="20128" w:hanging="1800"/>
      </w:pPr>
      <w:rPr>
        <w:rFonts w:hint="default"/>
      </w:rPr>
    </w:lvl>
  </w:abstractNum>
  <w:abstractNum w:abstractNumId="31" w15:restartNumberingAfterBreak="0">
    <w:nsid w:val="776C3A42"/>
    <w:multiLevelType w:val="multilevel"/>
    <w:tmpl w:val="723CD4F0"/>
    <w:lvl w:ilvl="0">
      <w:start w:val="5"/>
      <w:numFmt w:val="decimal"/>
      <w:lvlText w:val="%1."/>
      <w:lvlJc w:val="left"/>
      <w:pPr>
        <w:ind w:left="360" w:hanging="360"/>
      </w:pPr>
      <w:rPr>
        <w:rFonts w:hint="default"/>
        <w:b w:val="0"/>
      </w:rPr>
    </w:lvl>
    <w:lvl w:ilvl="1">
      <w:start w:val="1"/>
      <w:numFmt w:val="decimal"/>
      <w:lvlText w:val="6.%2."/>
      <w:lvlJc w:val="left"/>
      <w:pPr>
        <w:ind w:left="502" w:hanging="360"/>
      </w:pPr>
      <w:rPr>
        <w:rFonts w:hint="default"/>
      </w:rPr>
    </w:lvl>
    <w:lvl w:ilvl="2">
      <w:start w:val="1"/>
      <w:numFmt w:val="decimal"/>
      <w:lvlText w:val="6.%2.%3."/>
      <w:lvlJc w:val="left"/>
      <w:pPr>
        <w:ind w:left="3142"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2" w15:restartNumberingAfterBreak="0">
    <w:nsid w:val="7B525A15"/>
    <w:multiLevelType w:val="multilevel"/>
    <w:tmpl w:val="924CE2D2"/>
    <w:numStyleLink w:val="Style2"/>
  </w:abstractNum>
  <w:abstractNum w:abstractNumId="33" w15:restartNumberingAfterBreak="0">
    <w:nsid w:val="7EEA246A"/>
    <w:multiLevelType w:val="hybridMultilevel"/>
    <w:tmpl w:val="40264A54"/>
    <w:lvl w:ilvl="0" w:tplc="E9E6B7E2">
      <w:start w:val="1"/>
      <w:numFmt w:val="decimal"/>
      <w:lvlText w:val="%1."/>
      <w:lvlJc w:val="center"/>
      <w:pPr>
        <w:ind w:left="751" w:hanging="360"/>
      </w:pPr>
      <w:rPr>
        <w:rFonts w:hint="default"/>
      </w:rPr>
    </w:lvl>
    <w:lvl w:ilvl="1" w:tplc="04270019">
      <w:start w:val="1"/>
      <w:numFmt w:val="lowerLetter"/>
      <w:lvlText w:val="%2."/>
      <w:lvlJc w:val="left"/>
      <w:pPr>
        <w:ind w:left="1471" w:hanging="360"/>
      </w:pPr>
    </w:lvl>
    <w:lvl w:ilvl="2" w:tplc="0427001B">
      <w:start w:val="1"/>
      <w:numFmt w:val="lowerRoman"/>
      <w:lvlText w:val="%3."/>
      <w:lvlJc w:val="right"/>
      <w:pPr>
        <w:ind w:left="2191" w:hanging="180"/>
      </w:pPr>
    </w:lvl>
    <w:lvl w:ilvl="3" w:tplc="0427000F" w:tentative="1">
      <w:start w:val="1"/>
      <w:numFmt w:val="decimal"/>
      <w:lvlText w:val="%4."/>
      <w:lvlJc w:val="left"/>
      <w:pPr>
        <w:ind w:left="2911" w:hanging="360"/>
      </w:pPr>
    </w:lvl>
    <w:lvl w:ilvl="4" w:tplc="04270019" w:tentative="1">
      <w:start w:val="1"/>
      <w:numFmt w:val="lowerLetter"/>
      <w:lvlText w:val="%5."/>
      <w:lvlJc w:val="left"/>
      <w:pPr>
        <w:ind w:left="3631" w:hanging="360"/>
      </w:pPr>
    </w:lvl>
    <w:lvl w:ilvl="5" w:tplc="0427001B" w:tentative="1">
      <w:start w:val="1"/>
      <w:numFmt w:val="lowerRoman"/>
      <w:lvlText w:val="%6."/>
      <w:lvlJc w:val="right"/>
      <w:pPr>
        <w:ind w:left="4351" w:hanging="180"/>
      </w:pPr>
    </w:lvl>
    <w:lvl w:ilvl="6" w:tplc="0427000F" w:tentative="1">
      <w:start w:val="1"/>
      <w:numFmt w:val="decimal"/>
      <w:lvlText w:val="%7."/>
      <w:lvlJc w:val="left"/>
      <w:pPr>
        <w:ind w:left="5071" w:hanging="360"/>
      </w:pPr>
    </w:lvl>
    <w:lvl w:ilvl="7" w:tplc="04270019" w:tentative="1">
      <w:start w:val="1"/>
      <w:numFmt w:val="lowerLetter"/>
      <w:lvlText w:val="%8."/>
      <w:lvlJc w:val="left"/>
      <w:pPr>
        <w:ind w:left="5791" w:hanging="360"/>
      </w:pPr>
    </w:lvl>
    <w:lvl w:ilvl="8" w:tplc="0427001B" w:tentative="1">
      <w:start w:val="1"/>
      <w:numFmt w:val="lowerRoman"/>
      <w:lvlText w:val="%9."/>
      <w:lvlJc w:val="right"/>
      <w:pPr>
        <w:ind w:left="6511" w:hanging="180"/>
      </w:pPr>
    </w:lvl>
  </w:abstractNum>
  <w:abstractNum w:abstractNumId="34" w15:restartNumberingAfterBreak="0">
    <w:nsid w:val="7F941427"/>
    <w:multiLevelType w:val="multilevel"/>
    <w:tmpl w:val="0427001F"/>
    <w:styleLink w:val="Style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B175B3"/>
    <w:multiLevelType w:val="hybridMultilevel"/>
    <w:tmpl w:val="D514DF68"/>
    <w:lvl w:ilvl="0" w:tplc="29B679BE">
      <w:start w:val="2"/>
      <w:numFmt w:val="bullet"/>
      <w:lvlText w:val="-"/>
      <w:lvlJc w:val="left"/>
      <w:pPr>
        <w:ind w:left="1070" w:hanging="360"/>
      </w:pPr>
      <w:rPr>
        <w:rFonts w:ascii="Arial" w:eastAsia="Calibri" w:hAnsi="Arial" w:cs="Arial"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21"/>
  </w:num>
  <w:num w:numId="2">
    <w:abstractNumId w:val="10"/>
  </w:num>
  <w:num w:numId="3">
    <w:abstractNumId w:val="8"/>
  </w:num>
  <w:num w:numId="4">
    <w:abstractNumId w:val="4"/>
  </w:num>
  <w:num w:numId="5">
    <w:abstractNumId w:val="6"/>
  </w:num>
  <w:num w:numId="6">
    <w:abstractNumId w:val="15"/>
  </w:num>
  <w:num w:numId="7">
    <w:abstractNumId w:val="31"/>
  </w:num>
  <w:num w:numId="8">
    <w:abstractNumId w:val="27"/>
  </w:num>
  <w:num w:numId="9">
    <w:abstractNumId w:val="22"/>
  </w:num>
  <w:num w:numId="10">
    <w:abstractNumId w:val="17"/>
  </w:num>
  <w:num w:numId="11">
    <w:abstractNumId w:val="1"/>
  </w:num>
  <w:num w:numId="12">
    <w:abstractNumId w:val="25"/>
  </w:num>
  <w:num w:numId="13">
    <w:abstractNumId w:val="5"/>
  </w:num>
  <w:num w:numId="14">
    <w:abstractNumId w:val="29"/>
  </w:num>
  <w:num w:numId="15">
    <w:abstractNumId w:val="13"/>
  </w:num>
  <w:num w:numId="16">
    <w:abstractNumId w:val="24"/>
  </w:num>
  <w:num w:numId="17">
    <w:abstractNumId w:val="2"/>
  </w:num>
  <w:num w:numId="18">
    <w:abstractNumId w:val="11"/>
  </w:num>
  <w:num w:numId="19">
    <w:abstractNumId w:val="32"/>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786" w:hanging="360"/>
        </w:pPr>
        <w:rPr>
          <w:rFonts w:hint="default"/>
        </w:rPr>
      </w:lvl>
    </w:lvlOverride>
    <w:lvlOverride w:ilvl="2">
      <w:lvl w:ilvl="2">
        <w:start w:val="1"/>
        <w:numFmt w:val="decimal"/>
        <w:lvlText w:val="%1.%2.%3."/>
        <w:lvlJc w:val="left"/>
        <w:pPr>
          <w:ind w:left="1571" w:hanging="720"/>
        </w:pPr>
        <w:rPr>
          <w:rFonts w:hint="default"/>
        </w:rPr>
      </w:lvl>
    </w:lvlOverride>
    <w:lvlOverride w:ilvl="3">
      <w:lvl w:ilvl="3">
        <w:start w:val="1"/>
        <w:numFmt w:val="decimal"/>
        <w:lvlText w:val="%1.%2.%3.%4."/>
        <w:lvlJc w:val="left"/>
        <w:pPr>
          <w:ind w:left="1571" w:hanging="720"/>
        </w:pPr>
        <w:rPr>
          <w:rFonts w:hint="default"/>
        </w:rPr>
      </w:lvl>
    </w:lvlOverride>
    <w:lvlOverride w:ilvl="4">
      <w:lvl w:ilvl="4">
        <w:start w:val="1"/>
        <w:numFmt w:val="decimal"/>
        <w:lvlText w:val="%1.%2.%3.%4.%5."/>
        <w:lvlJc w:val="left"/>
        <w:pPr>
          <w:ind w:left="4484" w:hanging="1080"/>
        </w:pPr>
        <w:rPr>
          <w:rFonts w:hint="default"/>
        </w:rPr>
      </w:lvl>
    </w:lvlOverride>
    <w:lvlOverride w:ilvl="5">
      <w:lvl w:ilvl="5">
        <w:start w:val="1"/>
        <w:numFmt w:val="decimal"/>
        <w:lvlText w:val="%1.%2.%3.%4.%5.%6."/>
        <w:lvlJc w:val="left"/>
        <w:pPr>
          <w:ind w:left="5335" w:hanging="1080"/>
        </w:pPr>
        <w:rPr>
          <w:rFonts w:hint="default"/>
        </w:rPr>
      </w:lvl>
    </w:lvlOverride>
    <w:lvlOverride w:ilvl="6">
      <w:lvl w:ilvl="6">
        <w:start w:val="1"/>
        <w:numFmt w:val="decimal"/>
        <w:lvlText w:val="%1.%2.%3.%4.%5.%6.%7."/>
        <w:lvlJc w:val="left"/>
        <w:pPr>
          <w:ind w:left="6546" w:hanging="1440"/>
        </w:pPr>
        <w:rPr>
          <w:rFonts w:hint="default"/>
        </w:rPr>
      </w:lvl>
    </w:lvlOverride>
    <w:lvlOverride w:ilvl="7">
      <w:lvl w:ilvl="7">
        <w:start w:val="1"/>
        <w:numFmt w:val="decimal"/>
        <w:lvlText w:val="%1.%2.%3.%4.%5.%6.%7.%8."/>
        <w:lvlJc w:val="left"/>
        <w:pPr>
          <w:ind w:left="7397" w:hanging="1440"/>
        </w:pPr>
        <w:rPr>
          <w:rFonts w:hint="default"/>
        </w:rPr>
      </w:lvl>
    </w:lvlOverride>
    <w:lvlOverride w:ilvl="8">
      <w:lvl w:ilvl="8">
        <w:start w:val="1"/>
        <w:numFmt w:val="decimal"/>
        <w:lvlText w:val="%1.%2.%3.%4.%5.%6.%7.%8.%9."/>
        <w:lvlJc w:val="left"/>
        <w:pPr>
          <w:ind w:left="8608" w:hanging="1800"/>
        </w:pPr>
        <w:rPr>
          <w:rFonts w:hint="default"/>
        </w:rPr>
      </w:lvl>
    </w:lvlOverride>
  </w:num>
  <w:num w:numId="20">
    <w:abstractNumId w:val="31"/>
    <w:lvlOverride w:ilvl="0">
      <w:lvl w:ilvl="0">
        <w:start w:val="5"/>
        <w:numFmt w:val="decimal"/>
        <w:lvlText w:val="%1."/>
        <w:lvlJc w:val="left"/>
        <w:pPr>
          <w:ind w:left="360" w:hanging="360"/>
        </w:pPr>
        <w:rPr>
          <w:rFonts w:hint="default"/>
          <w:b w:val="0"/>
        </w:rPr>
      </w:lvl>
    </w:lvlOverride>
    <w:lvlOverride w:ilvl="1">
      <w:lvl w:ilvl="1">
        <w:start w:val="1"/>
        <w:numFmt w:val="decimal"/>
        <w:lvlText w:val="6.%2."/>
        <w:lvlJc w:val="left"/>
        <w:pPr>
          <w:ind w:left="502" w:hanging="360"/>
        </w:pPr>
        <w:rPr>
          <w:rFonts w:hint="default"/>
        </w:rPr>
      </w:lvl>
    </w:lvlOverride>
    <w:lvlOverride w:ilvl="2">
      <w:lvl w:ilvl="2">
        <w:start w:val="1"/>
        <w:numFmt w:val="decimal"/>
        <w:lvlText w:val="6.%2.%3."/>
        <w:lvlJc w:val="left"/>
        <w:pPr>
          <w:ind w:left="3142" w:hanging="720"/>
        </w:pPr>
        <w:rPr>
          <w:rFonts w:hint="default"/>
        </w:rPr>
      </w:lvl>
    </w:lvlOverride>
    <w:lvlOverride w:ilvl="3">
      <w:lvl w:ilvl="3">
        <w:start w:val="1"/>
        <w:numFmt w:val="decimal"/>
        <w:lvlText w:val="6.%2.%3.%4."/>
        <w:lvlJc w:val="left"/>
        <w:pPr>
          <w:ind w:left="1288" w:hanging="720"/>
        </w:pPr>
        <w:rPr>
          <w:rFonts w:hint="default"/>
        </w:rPr>
      </w:lvl>
    </w:lvlOverride>
    <w:lvlOverride w:ilvl="4">
      <w:lvl w:ilvl="4">
        <w:start w:val="1"/>
        <w:numFmt w:val="decimal"/>
        <w:lvlText w:val="%1.%2.%3.%4.%5."/>
        <w:lvlJc w:val="left"/>
        <w:pPr>
          <w:ind w:left="5924" w:hanging="1080"/>
        </w:pPr>
        <w:rPr>
          <w:rFonts w:hint="default"/>
        </w:rPr>
      </w:lvl>
    </w:lvlOverride>
    <w:lvlOverride w:ilvl="5">
      <w:lvl w:ilvl="5">
        <w:start w:val="1"/>
        <w:numFmt w:val="decimal"/>
        <w:lvlText w:val="%1.%2.%3.%4.%5.%6."/>
        <w:lvlJc w:val="left"/>
        <w:pPr>
          <w:ind w:left="7135" w:hanging="1080"/>
        </w:pPr>
        <w:rPr>
          <w:rFonts w:hint="default"/>
        </w:rPr>
      </w:lvl>
    </w:lvlOverride>
    <w:lvlOverride w:ilvl="6">
      <w:lvl w:ilvl="6">
        <w:start w:val="1"/>
        <w:numFmt w:val="decimal"/>
        <w:lvlText w:val="%1.%2.%3.%4.%5.%6.%7."/>
        <w:lvlJc w:val="left"/>
        <w:pPr>
          <w:ind w:left="8706" w:hanging="1440"/>
        </w:pPr>
        <w:rPr>
          <w:rFonts w:hint="default"/>
        </w:rPr>
      </w:lvl>
    </w:lvlOverride>
    <w:lvlOverride w:ilvl="7">
      <w:lvl w:ilvl="7">
        <w:start w:val="1"/>
        <w:numFmt w:val="decimal"/>
        <w:lvlText w:val="%1.%2.%3.%4.%5.%6.%7.%8."/>
        <w:lvlJc w:val="left"/>
        <w:pPr>
          <w:ind w:left="9917" w:hanging="1440"/>
        </w:pPr>
        <w:rPr>
          <w:rFonts w:hint="default"/>
        </w:rPr>
      </w:lvl>
    </w:lvlOverride>
    <w:lvlOverride w:ilvl="8">
      <w:lvl w:ilvl="8">
        <w:start w:val="1"/>
        <w:numFmt w:val="decimal"/>
        <w:lvlText w:val="%1.%2.%3.%4.%5.%6.%7.%8.%9."/>
        <w:lvlJc w:val="left"/>
        <w:pPr>
          <w:ind w:left="11488" w:hanging="1800"/>
        </w:pPr>
        <w:rPr>
          <w:rFonts w:hint="default"/>
        </w:rPr>
      </w:lvl>
    </w:lvlOverride>
  </w:num>
  <w:num w:numId="21">
    <w:abstractNumId w:val="31"/>
    <w:lvlOverride w:ilvl="0">
      <w:lvl w:ilvl="0">
        <w:start w:val="5"/>
        <w:numFmt w:val="decimal"/>
        <w:lvlText w:val="%1."/>
        <w:lvlJc w:val="left"/>
        <w:pPr>
          <w:ind w:left="360" w:hanging="360"/>
        </w:pPr>
        <w:rPr>
          <w:rFonts w:hint="default"/>
          <w:b w:val="0"/>
        </w:rPr>
      </w:lvl>
    </w:lvlOverride>
    <w:lvlOverride w:ilvl="1">
      <w:lvl w:ilvl="1">
        <w:start w:val="1"/>
        <w:numFmt w:val="decimal"/>
        <w:lvlText w:val="6.%2."/>
        <w:lvlJc w:val="left"/>
        <w:pPr>
          <w:ind w:left="502" w:hanging="360"/>
        </w:pPr>
        <w:rPr>
          <w:rFonts w:hint="default"/>
        </w:rPr>
      </w:lvl>
    </w:lvlOverride>
    <w:lvlOverride w:ilvl="2">
      <w:lvl w:ilvl="2">
        <w:start w:val="1"/>
        <w:numFmt w:val="decimal"/>
        <w:lvlText w:val="6.%2.%3."/>
        <w:lvlJc w:val="left"/>
        <w:pPr>
          <w:ind w:left="3142" w:hanging="720"/>
        </w:pPr>
        <w:rPr>
          <w:rFonts w:hint="default"/>
        </w:rPr>
      </w:lvl>
    </w:lvlOverride>
    <w:lvlOverride w:ilvl="3">
      <w:lvl w:ilvl="3">
        <w:start w:val="1"/>
        <w:numFmt w:val="decimal"/>
        <w:lvlText w:val="6.%2.%3.%4."/>
        <w:lvlJc w:val="left"/>
        <w:pPr>
          <w:ind w:left="1288" w:hanging="720"/>
        </w:pPr>
        <w:rPr>
          <w:rFonts w:hint="default"/>
        </w:rPr>
      </w:lvl>
    </w:lvlOverride>
    <w:lvlOverride w:ilvl="4">
      <w:lvl w:ilvl="4">
        <w:start w:val="1"/>
        <w:numFmt w:val="decimal"/>
        <w:lvlText w:val="%1.%2.%3.%4.%5."/>
        <w:lvlJc w:val="left"/>
        <w:pPr>
          <w:ind w:left="5924" w:hanging="1080"/>
        </w:pPr>
        <w:rPr>
          <w:rFonts w:hint="default"/>
        </w:rPr>
      </w:lvl>
    </w:lvlOverride>
    <w:lvlOverride w:ilvl="5">
      <w:lvl w:ilvl="5">
        <w:start w:val="1"/>
        <w:numFmt w:val="decimal"/>
        <w:lvlText w:val="%1.%2.%3.%4.%5.%6."/>
        <w:lvlJc w:val="left"/>
        <w:pPr>
          <w:ind w:left="7135" w:hanging="1080"/>
        </w:pPr>
        <w:rPr>
          <w:rFonts w:hint="default"/>
        </w:rPr>
      </w:lvl>
    </w:lvlOverride>
    <w:lvlOverride w:ilvl="6">
      <w:lvl w:ilvl="6">
        <w:start w:val="1"/>
        <w:numFmt w:val="decimal"/>
        <w:lvlText w:val="%1.%2.%3.%4.%5.%6.%7."/>
        <w:lvlJc w:val="left"/>
        <w:pPr>
          <w:ind w:left="8706" w:hanging="1440"/>
        </w:pPr>
        <w:rPr>
          <w:rFonts w:hint="default"/>
        </w:rPr>
      </w:lvl>
    </w:lvlOverride>
    <w:lvlOverride w:ilvl="7">
      <w:lvl w:ilvl="7">
        <w:start w:val="1"/>
        <w:numFmt w:val="decimal"/>
        <w:lvlText w:val="%1.%2.%3.%4.%5.%6.%7.%8."/>
        <w:lvlJc w:val="left"/>
        <w:pPr>
          <w:ind w:left="9917" w:hanging="1440"/>
        </w:pPr>
        <w:rPr>
          <w:rFonts w:hint="default"/>
        </w:rPr>
      </w:lvl>
    </w:lvlOverride>
    <w:lvlOverride w:ilvl="8">
      <w:lvl w:ilvl="8">
        <w:start w:val="1"/>
        <w:numFmt w:val="decimal"/>
        <w:lvlText w:val="%1.%2.%3.%4.%5.%6.%7.%8.%9."/>
        <w:lvlJc w:val="left"/>
        <w:pPr>
          <w:ind w:left="11488" w:hanging="1800"/>
        </w:pPr>
        <w:rPr>
          <w:rFonts w:hint="default"/>
        </w:rPr>
      </w:lvl>
    </w:lvlOverride>
  </w:num>
  <w:num w:numId="22">
    <w:abstractNumId w:val="31"/>
    <w:lvlOverride w:ilvl="0">
      <w:lvl w:ilvl="0">
        <w:start w:val="5"/>
        <w:numFmt w:val="decimal"/>
        <w:lvlText w:val="%1."/>
        <w:lvlJc w:val="left"/>
        <w:pPr>
          <w:ind w:left="360" w:hanging="360"/>
        </w:pPr>
        <w:rPr>
          <w:rFonts w:hint="default"/>
          <w:b w:val="0"/>
        </w:rPr>
      </w:lvl>
    </w:lvlOverride>
    <w:lvlOverride w:ilvl="1">
      <w:lvl w:ilvl="1">
        <w:start w:val="1"/>
        <w:numFmt w:val="decimal"/>
        <w:lvlText w:val="6.%2."/>
        <w:lvlJc w:val="left"/>
        <w:pPr>
          <w:ind w:left="502" w:hanging="360"/>
        </w:pPr>
        <w:rPr>
          <w:rFonts w:hint="default"/>
        </w:rPr>
      </w:lvl>
    </w:lvlOverride>
    <w:lvlOverride w:ilvl="2">
      <w:lvl w:ilvl="2">
        <w:start w:val="1"/>
        <w:numFmt w:val="decimal"/>
        <w:lvlText w:val="6.%2.%3."/>
        <w:lvlJc w:val="left"/>
        <w:pPr>
          <w:ind w:left="3142" w:hanging="720"/>
        </w:pPr>
        <w:rPr>
          <w:rFonts w:hint="default"/>
        </w:rPr>
      </w:lvl>
    </w:lvlOverride>
    <w:lvlOverride w:ilvl="3">
      <w:lvl w:ilvl="3">
        <w:start w:val="1"/>
        <w:numFmt w:val="decimal"/>
        <w:lvlText w:val="6.%2.%3.%4."/>
        <w:lvlJc w:val="left"/>
        <w:pPr>
          <w:ind w:left="1288" w:hanging="720"/>
        </w:pPr>
        <w:rPr>
          <w:rFonts w:hint="default"/>
        </w:rPr>
      </w:lvl>
    </w:lvlOverride>
    <w:lvlOverride w:ilvl="4">
      <w:lvl w:ilvl="4">
        <w:start w:val="1"/>
        <w:numFmt w:val="decimal"/>
        <w:lvlText w:val="%1.%2.%3.%4.%5."/>
        <w:lvlJc w:val="left"/>
        <w:pPr>
          <w:ind w:left="5924" w:hanging="1080"/>
        </w:pPr>
        <w:rPr>
          <w:rFonts w:hint="default"/>
        </w:rPr>
      </w:lvl>
    </w:lvlOverride>
    <w:lvlOverride w:ilvl="5">
      <w:lvl w:ilvl="5">
        <w:start w:val="1"/>
        <w:numFmt w:val="decimal"/>
        <w:lvlText w:val="%1.%2.%3.%4.%5.%6."/>
        <w:lvlJc w:val="left"/>
        <w:pPr>
          <w:ind w:left="7135" w:hanging="1080"/>
        </w:pPr>
        <w:rPr>
          <w:rFonts w:hint="default"/>
        </w:rPr>
      </w:lvl>
    </w:lvlOverride>
    <w:lvlOverride w:ilvl="6">
      <w:lvl w:ilvl="6">
        <w:start w:val="1"/>
        <w:numFmt w:val="decimal"/>
        <w:lvlText w:val="%1.%2.%3.%4.%5.%6.%7."/>
        <w:lvlJc w:val="left"/>
        <w:pPr>
          <w:ind w:left="8706" w:hanging="1440"/>
        </w:pPr>
        <w:rPr>
          <w:rFonts w:hint="default"/>
        </w:rPr>
      </w:lvl>
    </w:lvlOverride>
    <w:lvlOverride w:ilvl="7">
      <w:lvl w:ilvl="7">
        <w:start w:val="1"/>
        <w:numFmt w:val="decimal"/>
        <w:lvlText w:val="%1.%2.%3.%4.%5.%6.%7.%8."/>
        <w:lvlJc w:val="left"/>
        <w:pPr>
          <w:ind w:left="9917" w:hanging="1440"/>
        </w:pPr>
        <w:rPr>
          <w:rFonts w:hint="default"/>
        </w:rPr>
      </w:lvl>
    </w:lvlOverride>
    <w:lvlOverride w:ilvl="8">
      <w:lvl w:ilvl="8">
        <w:start w:val="1"/>
        <w:numFmt w:val="decimal"/>
        <w:lvlText w:val="%1.%2.%3.%4.%5.%6.%7.%8.%9."/>
        <w:lvlJc w:val="left"/>
        <w:pPr>
          <w:ind w:left="11488" w:hanging="1800"/>
        </w:pPr>
        <w:rPr>
          <w:rFonts w:hint="default"/>
        </w:rPr>
      </w:lvl>
    </w:lvlOverride>
  </w:num>
  <w:num w:numId="23">
    <w:abstractNumId w:val="9"/>
  </w:num>
  <w:num w:numId="24">
    <w:abstractNumId w:val="3"/>
  </w:num>
  <w:num w:numId="25">
    <w:abstractNumId w:val="7"/>
  </w:num>
  <w:num w:numId="26">
    <w:abstractNumId w:val="30"/>
  </w:num>
  <w:num w:numId="27">
    <w:abstractNumId w:val="23"/>
  </w:num>
  <w:num w:numId="28">
    <w:abstractNumId w:val="2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2"/>
  </w:num>
  <w:num w:numId="36">
    <w:abstractNumId w:val="26"/>
  </w:num>
  <w:num w:numId="37">
    <w:abstractNumId w:val="16"/>
  </w:num>
  <w:num w:numId="38">
    <w:abstractNumId w:val="18"/>
  </w:num>
  <w:num w:numId="39">
    <w:abstractNumId w:val="20"/>
  </w:num>
  <w:num w:numId="40">
    <w:abstractNumId w:val="33"/>
  </w:num>
  <w:num w:numId="41">
    <w:abstractNumId w:val="35"/>
  </w:num>
  <w:num w:numId="42">
    <w:abstractNumId w:val="19"/>
  </w:num>
  <w:num w:numId="43">
    <w:abstractNumId w:val="34"/>
  </w:num>
  <w:num w:numId="44">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dc73ab58-5b04-47cf-acaa-ac4dd834efb4"/>
  </w:docVars>
  <w:rsids>
    <w:rsidRoot w:val="00856580"/>
    <w:rsid w:val="00000057"/>
    <w:rsid w:val="000007D5"/>
    <w:rsid w:val="0000083D"/>
    <w:rsid w:val="00000967"/>
    <w:rsid w:val="000014A8"/>
    <w:rsid w:val="000018CF"/>
    <w:rsid w:val="00002729"/>
    <w:rsid w:val="00002C4F"/>
    <w:rsid w:val="00003597"/>
    <w:rsid w:val="00003A80"/>
    <w:rsid w:val="0000488B"/>
    <w:rsid w:val="00004B2B"/>
    <w:rsid w:val="00004BB5"/>
    <w:rsid w:val="00004E29"/>
    <w:rsid w:val="00005327"/>
    <w:rsid w:val="000053F0"/>
    <w:rsid w:val="000053FD"/>
    <w:rsid w:val="00005BEA"/>
    <w:rsid w:val="00005F37"/>
    <w:rsid w:val="00005FEE"/>
    <w:rsid w:val="00005FF7"/>
    <w:rsid w:val="000076CF"/>
    <w:rsid w:val="00007F49"/>
    <w:rsid w:val="0001003B"/>
    <w:rsid w:val="00010604"/>
    <w:rsid w:val="00010FB1"/>
    <w:rsid w:val="00011265"/>
    <w:rsid w:val="00011382"/>
    <w:rsid w:val="000114B0"/>
    <w:rsid w:val="0001283C"/>
    <w:rsid w:val="00012C89"/>
    <w:rsid w:val="00013144"/>
    <w:rsid w:val="0001320C"/>
    <w:rsid w:val="00013765"/>
    <w:rsid w:val="00013A98"/>
    <w:rsid w:val="00013C53"/>
    <w:rsid w:val="00013D03"/>
    <w:rsid w:val="00013EC5"/>
    <w:rsid w:val="00014AED"/>
    <w:rsid w:val="000151AD"/>
    <w:rsid w:val="000162BD"/>
    <w:rsid w:val="0001657B"/>
    <w:rsid w:val="0001688F"/>
    <w:rsid w:val="00016EA4"/>
    <w:rsid w:val="0001731C"/>
    <w:rsid w:val="000176B8"/>
    <w:rsid w:val="00017A76"/>
    <w:rsid w:val="00017AC6"/>
    <w:rsid w:val="00020794"/>
    <w:rsid w:val="0002253A"/>
    <w:rsid w:val="000226FB"/>
    <w:rsid w:val="000227F6"/>
    <w:rsid w:val="00022FBF"/>
    <w:rsid w:val="0002327F"/>
    <w:rsid w:val="000232A0"/>
    <w:rsid w:val="0002330D"/>
    <w:rsid w:val="0002349C"/>
    <w:rsid w:val="000237C5"/>
    <w:rsid w:val="00023D2B"/>
    <w:rsid w:val="000243A0"/>
    <w:rsid w:val="000244F6"/>
    <w:rsid w:val="000246FF"/>
    <w:rsid w:val="0002471E"/>
    <w:rsid w:val="000249F8"/>
    <w:rsid w:val="00024C45"/>
    <w:rsid w:val="00025573"/>
    <w:rsid w:val="00025690"/>
    <w:rsid w:val="00025759"/>
    <w:rsid w:val="00025BF4"/>
    <w:rsid w:val="00026259"/>
    <w:rsid w:val="00026273"/>
    <w:rsid w:val="00027001"/>
    <w:rsid w:val="000275A0"/>
    <w:rsid w:val="000300D3"/>
    <w:rsid w:val="00030150"/>
    <w:rsid w:val="0003038E"/>
    <w:rsid w:val="00030642"/>
    <w:rsid w:val="00030667"/>
    <w:rsid w:val="000308D1"/>
    <w:rsid w:val="00030921"/>
    <w:rsid w:val="00031194"/>
    <w:rsid w:val="000311CE"/>
    <w:rsid w:val="0003146F"/>
    <w:rsid w:val="00031A1E"/>
    <w:rsid w:val="000335F4"/>
    <w:rsid w:val="000339D1"/>
    <w:rsid w:val="000344D7"/>
    <w:rsid w:val="00034615"/>
    <w:rsid w:val="00034E1D"/>
    <w:rsid w:val="000350E3"/>
    <w:rsid w:val="000364B4"/>
    <w:rsid w:val="00036784"/>
    <w:rsid w:val="00036F70"/>
    <w:rsid w:val="00037414"/>
    <w:rsid w:val="000406BB"/>
    <w:rsid w:val="000408A2"/>
    <w:rsid w:val="00040A31"/>
    <w:rsid w:val="000410CC"/>
    <w:rsid w:val="00041863"/>
    <w:rsid w:val="00041E91"/>
    <w:rsid w:val="00042389"/>
    <w:rsid w:val="00042779"/>
    <w:rsid w:val="000427A9"/>
    <w:rsid w:val="00043823"/>
    <w:rsid w:val="00043974"/>
    <w:rsid w:val="00043A07"/>
    <w:rsid w:val="00043CB8"/>
    <w:rsid w:val="00044409"/>
    <w:rsid w:val="00044B73"/>
    <w:rsid w:val="000458F8"/>
    <w:rsid w:val="0004630E"/>
    <w:rsid w:val="00046316"/>
    <w:rsid w:val="000466DE"/>
    <w:rsid w:val="00046BBB"/>
    <w:rsid w:val="00047324"/>
    <w:rsid w:val="000478C6"/>
    <w:rsid w:val="000508A7"/>
    <w:rsid w:val="00050C5E"/>
    <w:rsid w:val="0005145B"/>
    <w:rsid w:val="000515A4"/>
    <w:rsid w:val="00051882"/>
    <w:rsid w:val="00051B4F"/>
    <w:rsid w:val="000526FC"/>
    <w:rsid w:val="000527B2"/>
    <w:rsid w:val="00052BC2"/>
    <w:rsid w:val="00052C11"/>
    <w:rsid w:val="0005328F"/>
    <w:rsid w:val="0005334A"/>
    <w:rsid w:val="00054B8F"/>
    <w:rsid w:val="00054EBE"/>
    <w:rsid w:val="00055185"/>
    <w:rsid w:val="00055DB6"/>
    <w:rsid w:val="00056023"/>
    <w:rsid w:val="0005649B"/>
    <w:rsid w:val="00056FFB"/>
    <w:rsid w:val="0005756C"/>
    <w:rsid w:val="000575DC"/>
    <w:rsid w:val="000575E2"/>
    <w:rsid w:val="0005791E"/>
    <w:rsid w:val="00060398"/>
    <w:rsid w:val="000605E4"/>
    <w:rsid w:val="00060B3B"/>
    <w:rsid w:val="00060C7B"/>
    <w:rsid w:val="000612B8"/>
    <w:rsid w:val="00061C66"/>
    <w:rsid w:val="000622DA"/>
    <w:rsid w:val="00062781"/>
    <w:rsid w:val="000629DC"/>
    <w:rsid w:val="000634B7"/>
    <w:rsid w:val="0006383F"/>
    <w:rsid w:val="000639D3"/>
    <w:rsid w:val="00063B12"/>
    <w:rsid w:val="00064138"/>
    <w:rsid w:val="00064675"/>
    <w:rsid w:val="00064B4C"/>
    <w:rsid w:val="00064EE9"/>
    <w:rsid w:val="000655B5"/>
    <w:rsid w:val="00065AAE"/>
    <w:rsid w:val="00065AD3"/>
    <w:rsid w:val="00065B12"/>
    <w:rsid w:val="00065D7A"/>
    <w:rsid w:val="00066DB1"/>
    <w:rsid w:val="000705D9"/>
    <w:rsid w:val="00070F1F"/>
    <w:rsid w:val="00071146"/>
    <w:rsid w:val="000711F0"/>
    <w:rsid w:val="000717A4"/>
    <w:rsid w:val="0007198B"/>
    <w:rsid w:val="00071BCD"/>
    <w:rsid w:val="00071CC9"/>
    <w:rsid w:val="00072156"/>
    <w:rsid w:val="000722A3"/>
    <w:rsid w:val="00072A5C"/>
    <w:rsid w:val="00072C70"/>
    <w:rsid w:val="00073381"/>
    <w:rsid w:val="00073B9F"/>
    <w:rsid w:val="00073C7F"/>
    <w:rsid w:val="0007442B"/>
    <w:rsid w:val="000747B6"/>
    <w:rsid w:val="00074A5D"/>
    <w:rsid w:val="00074CAC"/>
    <w:rsid w:val="00074F80"/>
    <w:rsid w:val="0007534E"/>
    <w:rsid w:val="00075D61"/>
    <w:rsid w:val="000762CB"/>
    <w:rsid w:val="00076E69"/>
    <w:rsid w:val="00077108"/>
    <w:rsid w:val="0007745E"/>
    <w:rsid w:val="000778D8"/>
    <w:rsid w:val="000778E5"/>
    <w:rsid w:val="00077BD6"/>
    <w:rsid w:val="00077D9F"/>
    <w:rsid w:val="0008088B"/>
    <w:rsid w:val="000811A7"/>
    <w:rsid w:val="000818E1"/>
    <w:rsid w:val="00081AD1"/>
    <w:rsid w:val="00081CE6"/>
    <w:rsid w:val="000827CA"/>
    <w:rsid w:val="00082D12"/>
    <w:rsid w:val="000830FF"/>
    <w:rsid w:val="000835D5"/>
    <w:rsid w:val="00083AF0"/>
    <w:rsid w:val="00083B02"/>
    <w:rsid w:val="00084244"/>
    <w:rsid w:val="000848D1"/>
    <w:rsid w:val="00084B65"/>
    <w:rsid w:val="00084B8D"/>
    <w:rsid w:val="00085611"/>
    <w:rsid w:val="0008606F"/>
    <w:rsid w:val="00086131"/>
    <w:rsid w:val="000861BE"/>
    <w:rsid w:val="00086475"/>
    <w:rsid w:val="0008677B"/>
    <w:rsid w:val="00087688"/>
    <w:rsid w:val="00087787"/>
    <w:rsid w:val="00087A1A"/>
    <w:rsid w:val="000903C5"/>
    <w:rsid w:val="0009059F"/>
    <w:rsid w:val="00090884"/>
    <w:rsid w:val="00091C97"/>
    <w:rsid w:val="00091E31"/>
    <w:rsid w:val="000925A3"/>
    <w:rsid w:val="00092A13"/>
    <w:rsid w:val="00092C8F"/>
    <w:rsid w:val="00093269"/>
    <w:rsid w:val="00093552"/>
    <w:rsid w:val="00094299"/>
    <w:rsid w:val="0009461A"/>
    <w:rsid w:val="00094806"/>
    <w:rsid w:val="00094A6B"/>
    <w:rsid w:val="00094F36"/>
    <w:rsid w:val="000950B0"/>
    <w:rsid w:val="00096100"/>
    <w:rsid w:val="00096413"/>
    <w:rsid w:val="00096547"/>
    <w:rsid w:val="00096F6C"/>
    <w:rsid w:val="000A01D5"/>
    <w:rsid w:val="000A08C3"/>
    <w:rsid w:val="000A09C3"/>
    <w:rsid w:val="000A15C5"/>
    <w:rsid w:val="000A1E73"/>
    <w:rsid w:val="000A350D"/>
    <w:rsid w:val="000A359F"/>
    <w:rsid w:val="000A3E34"/>
    <w:rsid w:val="000A3FDA"/>
    <w:rsid w:val="000A4152"/>
    <w:rsid w:val="000A447E"/>
    <w:rsid w:val="000A4AF7"/>
    <w:rsid w:val="000A508D"/>
    <w:rsid w:val="000A51DF"/>
    <w:rsid w:val="000A51E1"/>
    <w:rsid w:val="000A5337"/>
    <w:rsid w:val="000A6A5E"/>
    <w:rsid w:val="000A6E0C"/>
    <w:rsid w:val="000B097D"/>
    <w:rsid w:val="000B0A57"/>
    <w:rsid w:val="000B13DF"/>
    <w:rsid w:val="000B1D53"/>
    <w:rsid w:val="000B1D97"/>
    <w:rsid w:val="000B2030"/>
    <w:rsid w:val="000B26DE"/>
    <w:rsid w:val="000B2C06"/>
    <w:rsid w:val="000B2C5E"/>
    <w:rsid w:val="000B3491"/>
    <w:rsid w:val="000B3AEF"/>
    <w:rsid w:val="000B3F79"/>
    <w:rsid w:val="000B41A8"/>
    <w:rsid w:val="000B427D"/>
    <w:rsid w:val="000B4855"/>
    <w:rsid w:val="000B5718"/>
    <w:rsid w:val="000B5CAB"/>
    <w:rsid w:val="000B6159"/>
    <w:rsid w:val="000B64FE"/>
    <w:rsid w:val="000B6538"/>
    <w:rsid w:val="000B6A6F"/>
    <w:rsid w:val="000B70AC"/>
    <w:rsid w:val="000C05C7"/>
    <w:rsid w:val="000C062C"/>
    <w:rsid w:val="000C0996"/>
    <w:rsid w:val="000C1187"/>
    <w:rsid w:val="000C1BAA"/>
    <w:rsid w:val="000C2111"/>
    <w:rsid w:val="000C3301"/>
    <w:rsid w:val="000C3530"/>
    <w:rsid w:val="000C36B7"/>
    <w:rsid w:val="000C39AA"/>
    <w:rsid w:val="000C3A80"/>
    <w:rsid w:val="000C3C6E"/>
    <w:rsid w:val="000C3D3B"/>
    <w:rsid w:val="000C41A6"/>
    <w:rsid w:val="000C4392"/>
    <w:rsid w:val="000C4609"/>
    <w:rsid w:val="000C461A"/>
    <w:rsid w:val="000C4855"/>
    <w:rsid w:val="000C4B19"/>
    <w:rsid w:val="000C5A0A"/>
    <w:rsid w:val="000C5F92"/>
    <w:rsid w:val="000C6418"/>
    <w:rsid w:val="000C6483"/>
    <w:rsid w:val="000C6B33"/>
    <w:rsid w:val="000C7370"/>
    <w:rsid w:val="000C76C0"/>
    <w:rsid w:val="000D05B7"/>
    <w:rsid w:val="000D1152"/>
    <w:rsid w:val="000D1238"/>
    <w:rsid w:val="000D1781"/>
    <w:rsid w:val="000D2610"/>
    <w:rsid w:val="000D2702"/>
    <w:rsid w:val="000D2922"/>
    <w:rsid w:val="000D2A88"/>
    <w:rsid w:val="000D2CE5"/>
    <w:rsid w:val="000D3355"/>
    <w:rsid w:val="000D3624"/>
    <w:rsid w:val="000D3680"/>
    <w:rsid w:val="000D4735"/>
    <w:rsid w:val="000D5101"/>
    <w:rsid w:val="000D52EC"/>
    <w:rsid w:val="000D554C"/>
    <w:rsid w:val="000D615F"/>
    <w:rsid w:val="000D64B5"/>
    <w:rsid w:val="000D6740"/>
    <w:rsid w:val="000D67AB"/>
    <w:rsid w:val="000D68FB"/>
    <w:rsid w:val="000D7523"/>
    <w:rsid w:val="000D77BC"/>
    <w:rsid w:val="000D7DB1"/>
    <w:rsid w:val="000E01FC"/>
    <w:rsid w:val="000E0B9B"/>
    <w:rsid w:val="000E1439"/>
    <w:rsid w:val="000E1886"/>
    <w:rsid w:val="000E18A9"/>
    <w:rsid w:val="000E1ED8"/>
    <w:rsid w:val="000E2503"/>
    <w:rsid w:val="000E36C5"/>
    <w:rsid w:val="000E45DC"/>
    <w:rsid w:val="000E481B"/>
    <w:rsid w:val="000E4EF4"/>
    <w:rsid w:val="000E6046"/>
    <w:rsid w:val="000E6384"/>
    <w:rsid w:val="000E6B6E"/>
    <w:rsid w:val="000E6D51"/>
    <w:rsid w:val="000E6EF3"/>
    <w:rsid w:val="000E6FE2"/>
    <w:rsid w:val="000E7418"/>
    <w:rsid w:val="000E7BB2"/>
    <w:rsid w:val="000E7C7F"/>
    <w:rsid w:val="000E7C96"/>
    <w:rsid w:val="000F0675"/>
    <w:rsid w:val="000F0A39"/>
    <w:rsid w:val="000F0FD2"/>
    <w:rsid w:val="000F171A"/>
    <w:rsid w:val="000F2E11"/>
    <w:rsid w:val="000F3389"/>
    <w:rsid w:val="000F33D8"/>
    <w:rsid w:val="000F3724"/>
    <w:rsid w:val="000F3E2E"/>
    <w:rsid w:val="000F44AC"/>
    <w:rsid w:val="000F5068"/>
    <w:rsid w:val="000F5273"/>
    <w:rsid w:val="000F584E"/>
    <w:rsid w:val="000F59B3"/>
    <w:rsid w:val="000F6256"/>
    <w:rsid w:val="000F64E0"/>
    <w:rsid w:val="000F6D3E"/>
    <w:rsid w:val="000F6F98"/>
    <w:rsid w:val="000F739F"/>
    <w:rsid w:val="000F7ACB"/>
    <w:rsid w:val="000F7B39"/>
    <w:rsid w:val="000F7D3C"/>
    <w:rsid w:val="00100752"/>
    <w:rsid w:val="0010113F"/>
    <w:rsid w:val="00101153"/>
    <w:rsid w:val="00101432"/>
    <w:rsid w:val="00101AE5"/>
    <w:rsid w:val="00101E7D"/>
    <w:rsid w:val="00102071"/>
    <w:rsid w:val="00102884"/>
    <w:rsid w:val="00102D26"/>
    <w:rsid w:val="00102D4F"/>
    <w:rsid w:val="001031EC"/>
    <w:rsid w:val="00103616"/>
    <w:rsid w:val="00103962"/>
    <w:rsid w:val="00104910"/>
    <w:rsid w:val="001050D9"/>
    <w:rsid w:val="001053EE"/>
    <w:rsid w:val="001055C0"/>
    <w:rsid w:val="001058FE"/>
    <w:rsid w:val="00105C5D"/>
    <w:rsid w:val="0010607C"/>
    <w:rsid w:val="00106155"/>
    <w:rsid w:val="0010629D"/>
    <w:rsid w:val="00106AFC"/>
    <w:rsid w:val="0010717F"/>
    <w:rsid w:val="0010733C"/>
    <w:rsid w:val="00107895"/>
    <w:rsid w:val="00107CBE"/>
    <w:rsid w:val="00107EC7"/>
    <w:rsid w:val="00107F6C"/>
    <w:rsid w:val="00110511"/>
    <w:rsid w:val="00110805"/>
    <w:rsid w:val="001108B2"/>
    <w:rsid w:val="001109EC"/>
    <w:rsid w:val="00111599"/>
    <w:rsid w:val="00111858"/>
    <w:rsid w:val="001118FE"/>
    <w:rsid w:val="00112632"/>
    <w:rsid w:val="00112FDA"/>
    <w:rsid w:val="0011302F"/>
    <w:rsid w:val="0011335A"/>
    <w:rsid w:val="00113BDA"/>
    <w:rsid w:val="001140C9"/>
    <w:rsid w:val="00114815"/>
    <w:rsid w:val="00114BEA"/>
    <w:rsid w:val="0011530D"/>
    <w:rsid w:val="00115610"/>
    <w:rsid w:val="00115A25"/>
    <w:rsid w:val="00115DC3"/>
    <w:rsid w:val="001161F4"/>
    <w:rsid w:val="0011673E"/>
    <w:rsid w:val="00117DA2"/>
    <w:rsid w:val="00120152"/>
    <w:rsid w:val="00121229"/>
    <w:rsid w:val="001217FE"/>
    <w:rsid w:val="00121B37"/>
    <w:rsid w:val="0012205F"/>
    <w:rsid w:val="00122B1E"/>
    <w:rsid w:val="00122CB4"/>
    <w:rsid w:val="001234D4"/>
    <w:rsid w:val="00123EC1"/>
    <w:rsid w:val="0012496C"/>
    <w:rsid w:val="001249CB"/>
    <w:rsid w:val="00124AAA"/>
    <w:rsid w:val="00125E65"/>
    <w:rsid w:val="00126B0A"/>
    <w:rsid w:val="00126C26"/>
    <w:rsid w:val="0012719D"/>
    <w:rsid w:val="0012792D"/>
    <w:rsid w:val="001279E8"/>
    <w:rsid w:val="00127BA3"/>
    <w:rsid w:val="00127DD1"/>
    <w:rsid w:val="0013009E"/>
    <w:rsid w:val="001308D3"/>
    <w:rsid w:val="00130CB8"/>
    <w:rsid w:val="001312FD"/>
    <w:rsid w:val="0013154B"/>
    <w:rsid w:val="00131764"/>
    <w:rsid w:val="00132459"/>
    <w:rsid w:val="00132743"/>
    <w:rsid w:val="001334A5"/>
    <w:rsid w:val="00133F08"/>
    <w:rsid w:val="001340F9"/>
    <w:rsid w:val="001341C2"/>
    <w:rsid w:val="001348D2"/>
    <w:rsid w:val="00134ECD"/>
    <w:rsid w:val="00134FED"/>
    <w:rsid w:val="001351EB"/>
    <w:rsid w:val="00135B39"/>
    <w:rsid w:val="00136928"/>
    <w:rsid w:val="00136CC2"/>
    <w:rsid w:val="00137021"/>
    <w:rsid w:val="001373AD"/>
    <w:rsid w:val="00137A72"/>
    <w:rsid w:val="00137AC5"/>
    <w:rsid w:val="00140211"/>
    <w:rsid w:val="00140391"/>
    <w:rsid w:val="00140432"/>
    <w:rsid w:val="00140E95"/>
    <w:rsid w:val="001410D7"/>
    <w:rsid w:val="00141362"/>
    <w:rsid w:val="0014261C"/>
    <w:rsid w:val="00142F6B"/>
    <w:rsid w:val="00142FC7"/>
    <w:rsid w:val="00143F51"/>
    <w:rsid w:val="00144545"/>
    <w:rsid w:val="00144D6B"/>
    <w:rsid w:val="00144E6D"/>
    <w:rsid w:val="00144EF0"/>
    <w:rsid w:val="00145481"/>
    <w:rsid w:val="001454A3"/>
    <w:rsid w:val="00145744"/>
    <w:rsid w:val="00145B21"/>
    <w:rsid w:val="00145C58"/>
    <w:rsid w:val="00145FAD"/>
    <w:rsid w:val="001466BC"/>
    <w:rsid w:val="00147088"/>
    <w:rsid w:val="00147188"/>
    <w:rsid w:val="00147511"/>
    <w:rsid w:val="00147870"/>
    <w:rsid w:val="00147AAB"/>
    <w:rsid w:val="00147B72"/>
    <w:rsid w:val="00150163"/>
    <w:rsid w:val="001506C5"/>
    <w:rsid w:val="00150D5B"/>
    <w:rsid w:val="00151568"/>
    <w:rsid w:val="00151A57"/>
    <w:rsid w:val="00153240"/>
    <w:rsid w:val="00153680"/>
    <w:rsid w:val="001549A3"/>
    <w:rsid w:val="00154E75"/>
    <w:rsid w:val="00155700"/>
    <w:rsid w:val="00155BD1"/>
    <w:rsid w:val="0015685E"/>
    <w:rsid w:val="0016022D"/>
    <w:rsid w:val="00160271"/>
    <w:rsid w:val="001602DD"/>
    <w:rsid w:val="00161084"/>
    <w:rsid w:val="001625A2"/>
    <w:rsid w:val="001625CB"/>
    <w:rsid w:val="00162BD4"/>
    <w:rsid w:val="001630D3"/>
    <w:rsid w:val="001632B4"/>
    <w:rsid w:val="0016341B"/>
    <w:rsid w:val="00163464"/>
    <w:rsid w:val="00163D19"/>
    <w:rsid w:val="00163F84"/>
    <w:rsid w:val="00164871"/>
    <w:rsid w:val="00164C2D"/>
    <w:rsid w:val="001664F8"/>
    <w:rsid w:val="0016650D"/>
    <w:rsid w:val="00166DDF"/>
    <w:rsid w:val="00167130"/>
    <w:rsid w:val="001678B7"/>
    <w:rsid w:val="00167B4C"/>
    <w:rsid w:val="00167B77"/>
    <w:rsid w:val="00170661"/>
    <w:rsid w:val="00170D4F"/>
    <w:rsid w:val="00170FDF"/>
    <w:rsid w:val="00171413"/>
    <w:rsid w:val="001717DD"/>
    <w:rsid w:val="00172696"/>
    <w:rsid w:val="00172699"/>
    <w:rsid w:val="00172EBF"/>
    <w:rsid w:val="00172F52"/>
    <w:rsid w:val="00173D04"/>
    <w:rsid w:val="001750A0"/>
    <w:rsid w:val="001751CA"/>
    <w:rsid w:val="00175677"/>
    <w:rsid w:val="00176329"/>
    <w:rsid w:val="0017634C"/>
    <w:rsid w:val="001764EA"/>
    <w:rsid w:val="001773F6"/>
    <w:rsid w:val="00177565"/>
    <w:rsid w:val="00180681"/>
    <w:rsid w:val="00181039"/>
    <w:rsid w:val="001811D9"/>
    <w:rsid w:val="00181492"/>
    <w:rsid w:val="00182966"/>
    <w:rsid w:val="00182D12"/>
    <w:rsid w:val="0018332D"/>
    <w:rsid w:val="00183351"/>
    <w:rsid w:val="001841A7"/>
    <w:rsid w:val="00184D7A"/>
    <w:rsid w:val="00185216"/>
    <w:rsid w:val="00185E29"/>
    <w:rsid w:val="001864DA"/>
    <w:rsid w:val="0018660E"/>
    <w:rsid w:val="00186828"/>
    <w:rsid w:val="00186DC1"/>
    <w:rsid w:val="00187438"/>
    <w:rsid w:val="00187880"/>
    <w:rsid w:val="001912F6"/>
    <w:rsid w:val="00191304"/>
    <w:rsid w:val="001917B4"/>
    <w:rsid w:val="00191824"/>
    <w:rsid w:val="00193557"/>
    <w:rsid w:val="0019396F"/>
    <w:rsid w:val="00193FD9"/>
    <w:rsid w:val="0019406B"/>
    <w:rsid w:val="001949B6"/>
    <w:rsid w:val="0019526A"/>
    <w:rsid w:val="00195BB1"/>
    <w:rsid w:val="00195BE3"/>
    <w:rsid w:val="0019608E"/>
    <w:rsid w:val="001A0454"/>
    <w:rsid w:val="001A1C93"/>
    <w:rsid w:val="001A1CA3"/>
    <w:rsid w:val="001A2055"/>
    <w:rsid w:val="001A2DE0"/>
    <w:rsid w:val="001A2F4F"/>
    <w:rsid w:val="001A2F99"/>
    <w:rsid w:val="001A3CB2"/>
    <w:rsid w:val="001A3DDC"/>
    <w:rsid w:val="001A42A0"/>
    <w:rsid w:val="001A487B"/>
    <w:rsid w:val="001A49D7"/>
    <w:rsid w:val="001A4C86"/>
    <w:rsid w:val="001A55CA"/>
    <w:rsid w:val="001A590D"/>
    <w:rsid w:val="001A5EF3"/>
    <w:rsid w:val="001A6762"/>
    <w:rsid w:val="001A6D65"/>
    <w:rsid w:val="001A70F4"/>
    <w:rsid w:val="001A7124"/>
    <w:rsid w:val="001A7CD7"/>
    <w:rsid w:val="001A7DB8"/>
    <w:rsid w:val="001B05EA"/>
    <w:rsid w:val="001B0C06"/>
    <w:rsid w:val="001B1F23"/>
    <w:rsid w:val="001B264A"/>
    <w:rsid w:val="001B2818"/>
    <w:rsid w:val="001B303D"/>
    <w:rsid w:val="001B3A65"/>
    <w:rsid w:val="001B3C8A"/>
    <w:rsid w:val="001B42CA"/>
    <w:rsid w:val="001B431A"/>
    <w:rsid w:val="001B43FA"/>
    <w:rsid w:val="001B4E4C"/>
    <w:rsid w:val="001B5529"/>
    <w:rsid w:val="001B587E"/>
    <w:rsid w:val="001B5A7B"/>
    <w:rsid w:val="001B5FFE"/>
    <w:rsid w:val="001B615D"/>
    <w:rsid w:val="001B630C"/>
    <w:rsid w:val="001B6561"/>
    <w:rsid w:val="001B6AE8"/>
    <w:rsid w:val="001B6E1B"/>
    <w:rsid w:val="001B6E92"/>
    <w:rsid w:val="001B7266"/>
    <w:rsid w:val="001B76C0"/>
    <w:rsid w:val="001C016A"/>
    <w:rsid w:val="001C0650"/>
    <w:rsid w:val="001C15B2"/>
    <w:rsid w:val="001C17EA"/>
    <w:rsid w:val="001C1BC9"/>
    <w:rsid w:val="001C1E11"/>
    <w:rsid w:val="001C243B"/>
    <w:rsid w:val="001C2935"/>
    <w:rsid w:val="001C2B64"/>
    <w:rsid w:val="001C2E2C"/>
    <w:rsid w:val="001C31B4"/>
    <w:rsid w:val="001C31DC"/>
    <w:rsid w:val="001C32D4"/>
    <w:rsid w:val="001C3C01"/>
    <w:rsid w:val="001C4559"/>
    <w:rsid w:val="001C4727"/>
    <w:rsid w:val="001C4843"/>
    <w:rsid w:val="001C4C92"/>
    <w:rsid w:val="001C543F"/>
    <w:rsid w:val="001C6738"/>
    <w:rsid w:val="001C67AF"/>
    <w:rsid w:val="001C6EF7"/>
    <w:rsid w:val="001C7182"/>
    <w:rsid w:val="001D0CAD"/>
    <w:rsid w:val="001D1002"/>
    <w:rsid w:val="001D1694"/>
    <w:rsid w:val="001D1A90"/>
    <w:rsid w:val="001D1FF9"/>
    <w:rsid w:val="001D280C"/>
    <w:rsid w:val="001D29AF"/>
    <w:rsid w:val="001D2C1D"/>
    <w:rsid w:val="001D32BB"/>
    <w:rsid w:val="001D450F"/>
    <w:rsid w:val="001D4601"/>
    <w:rsid w:val="001D4953"/>
    <w:rsid w:val="001D618C"/>
    <w:rsid w:val="001D654B"/>
    <w:rsid w:val="001D6BE5"/>
    <w:rsid w:val="001D6F6F"/>
    <w:rsid w:val="001D712D"/>
    <w:rsid w:val="001D7FCC"/>
    <w:rsid w:val="001E0336"/>
    <w:rsid w:val="001E0AED"/>
    <w:rsid w:val="001E12F9"/>
    <w:rsid w:val="001E169F"/>
    <w:rsid w:val="001E188A"/>
    <w:rsid w:val="001E1E18"/>
    <w:rsid w:val="001E32C3"/>
    <w:rsid w:val="001E3515"/>
    <w:rsid w:val="001E4301"/>
    <w:rsid w:val="001E430E"/>
    <w:rsid w:val="001E457A"/>
    <w:rsid w:val="001E48B2"/>
    <w:rsid w:val="001E4BD4"/>
    <w:rsid w:val="001E508F"/>
    <w:rsid w:val="001E51BC"/>
    <w:rsid w:val="001E563E"/>
    <w:rsid w:val="001E5758"/>
    <w:rsid w:val="001E6E6A"/>
    <w:rsid w:val="001E7116"/>
    <w:rsid w:val="001E79E6"/>
    <w:rsid w:val="001E7DEC"/>
    <w:rsid w:val="001E7FCF"/>
    <w:rsid w:val="001F04D8"/>
    <w:rsid w:val="001F0960"/>
    <w:rsid w:val="001F12EF"/>
    <w:rsid w:val="001F1C3C"/>
    <w:rsid w:val="001F1C84"/>
    <w:rsid w:val="001F272E"/>
    <w:rsid w:val="001F27CD"/>
    <w:rsid w:val="001F2A9A"/>
    <w:rsid w:val="001F2C04"/>
    <w:rsid w:val="001F396F"/>
    <w:rsid w:val="001F4132"/>
    <w:rsid w:val="001F428E"/>
    <w:rsid w:val="001F4347"/>
    <w:rsid w:val="001F4355"/>
    <w:rsid w:val="001F43EA"/>
    <w:rsid w:val="001F4903"/>
    <w:rsid w:val="001F4CD6"/>
    <w:rsid w:val="001F4EE2"/>
    <w:rsid w:val="001F50C6"/>
    <w:rsid w:val="001F5F88"/>
    <w:rsid w:val="001F6028"/>
    <w:rsid w:val="001F64FF"/>
    <w:rsid w:val="001F66A5"/>
    <w:rsid w:val="001F692F"/>
    <w:rsid w:val="001F6ED0"/>
    <w:rsid w:val="001F6F03"/>
    <w:rsid w:val="001F6F9C"/>
    <w:rsid w:val="001F7372"/>
    <w:rsid w:val="001F7419"/>
    <w:rsid w:val="001F7664"/>
    <w:rsid w:val="001F76DD"/>
    <w:rsid w:val="001F7FA9"/>
    <w:rsid w:val="002000F9"/>
    <w:rsid w:val="0020089F"/>
    <w:rsid w:val="0020096E"/>
    <w:rsid w:val="00200C62"/>
    <w:rsid w:val="002011E6"/>
    <w:rsid w:val="002024AF"/>
    <w:rsid w:val="002026BF"/>
    <w:rsid w:val="0020275C"/>
    <w:rsid w:val="002030E2"/>
    <w:rsid w:val="00203405"/>
    <w:rsid w:val="00203637"/>
    <w:rsid w:val="00203A30"/>
    <w:rsid w:val="00203A37"/>
    <w:rsid w:val="00203D75"/>
    <w:rsid w:val="00204514"/>
    <w:rsid w:val="002046B3"/>
    <w:rsid w:val="00204BF7"/>
    <w:rsid w:val="00205246"/>
    <w:rsid w:val="0020594E"/>
    <w:rsid w:val="0020640B"/>
    <w:rsid w:val="002064E1"/>
    <w:rsid w:val="002069A4"/>
    <w:rsid w:val="0020745A"/>
    <w:rsid w:val="00207635"/>
    <w:rsid w:val="0021036F"/>
    <w:rsid w:val="0021044D"/>
    <w:rsid w:val="002105FE"/>
    <w:rsid w:val="00210AD6"/>
    <w:rsid w:val="00211B52"/>
    <w:rsid w:val="00211DD5"/>
    <w:rsid w:val="00212BA9"/>
    <w:rsid w:val="00212D3D"/>
    <w:rsid w:val="00212F9B"/>
    <w:rsid w:val="0021369B"/>
    <w:rsid w:val="00213754"/>
    <w:rsid w:val="0021394F"/>
    <w:rsid w:val="002139BF"/>
    <w:rsid w:val="00213CE3"/>
    <w:rsid w:val="00213DF3"/>
    <w:rsid w:val="00214228"/>
    <w:rsid w:val="00215544"/>
    <w:rsid w:val="002156EF"/>
    <w:rsid w:val="00215C37"/>
    <w:rsid w:val="0021684C"/>
    <w:rsid w:val="0022024F"/>
    <w:rsid w:val="002213F3"/>
    <w:rsid w:val="00221424"/>
    <w:rsid w:val="002216C0"/>
    <w:rsid w:val="0022181D"/>
    <w:rsid w:val="00222238"/>
    <w:rsid w:val="00222535"/>
    <w:rsid w:val="00222612"/>
    <w:rsid w:val="00222FC2"/>
    <w:rsid w:val="00223510"/>
    <w:rsid w:val="002235C3"/>
    <w:rsid w:val="00223682"/>
    <w:rsid w:val="00223DB3"/>
    <w:rsid w:val="00224822"/>
    <w:rsid w:val="00224CDA"/>
    <w:rsid w:val="00224D40"/>
    <w:rsid w:val="00224F65"/>
    <w:rsid w:val="0022542A"/>
    <w:rsid w:val="0022567A"/>
    <w:rsid w:val="0022570C"/>
    <w:rsid w:val="00225797"/>
    <w:rsid w:val="002258EE"/>
    <w:rsid w:val="00226279"/>
    <w:rsid w:val="00226AB0"/>
    <w:rsid w:val="00226FAB"/>
    <w:rsid w:val="0022701D"/>
    <w:rsid w:val="0022706C"/>
    <w:rsid w:val="00227241"/>
    <w:rsid w:val="0022736D"/>
    <w:rsid w:val="00230098"/>
    <w:rsid w:val="002306E5"/>
    <w:rsid w:val="00230952"/>
    <w:rsid w:val="00231354"/>
    <w:rsid w:val="002315F1"/>
    <w:rsid w:val="002316A1"/>
    <w:rsid w:val="00231A17"/>
    <w:rsid w:val="002322B3"/>
    <w:rsid w:val="00232430"/>
    <w:rsid w:val="002324D3"/>
    <w:rsid w:val="00232AF4"/>
    <w:rsid w:val="00232CDE"/>
    <w:rsid w:val="00232D6D"/>
    <w:rsid w:val="00233389"/>
    <w:rsid w:val="002333EC"/>
    <w:rsid w:val="00233C42"/>
    <w:rsid w:val="00233E2E"/>
    <w:rsid w:val="00233F5B"/>
    <w:rsid w:val="00233FE1"/>
    <w:rsid w:val="0023451D"/>
    <w:rsid w:val="00234A40"/>
    <w:rsid w:val="00234FCF"/>
    <w:rsid w:val="002350B5"/>
    <w:rsid w:val="002358B3"/>
    <w:rsid w:val="00236073"/>
    <w:rsid w:val="002362C9"/>
    <w:rsid w:val="0023648A"/>
    <w:rsid w:val="002366F2"/>
    <w:rsid w:val="00237949"/>
    <w:rsid w:val="00240362"/>
    <w:rsid w:val="002411C9"/>
    <w:rsid w:val="00241AD1"/>
    <w:rsid w:val="00241CF2"/>
    <w:rsid w:val="00241F19"/>
    <w:rsid w:val="002422A4"/>
    <w:rsid w:val="00242499"/>
    <w:rsid w:val="00242909"/>
    <w:rsid w:val="00242C51"/>
    <w:rsid w:val="00242F2F"/>
    <w:rsid w:val="00242F55"/>
    <w:rsid w:val="00243A7A"/>
    <w:rsid w:val="00243C03"/>
    <w:rsid w:val="00243D5B"/>
    <w:rsid w:val="002441D6"/>
    <w:rsid w:val="00244407"/>
    <w:rsid w:val="002447CE"/>
    <w:rsid w:val="00244F70"/>
    <w:rsid w:val="00245B5A"/>
    <w:rsid w:val="00246016"/>
    <w:rsid w:val="002460A6"/>
    <w:rsid w:val="00246635"/>
    <w:rsid w:val="00246959"/>
    <w:rsid w:val="0024748D"/>
    <w:rsid w:val="00247AD4"/>
    <w:rsid w:val="00247C08"/>
    <w:rsid w:val="0025045F"/>
    <w:rsid w:val="00250B3C"/>
    <w:rsid w:val="00251094"/>
    <w:rsid w:val="00251378"/>
    <w:rsid w:val="0025160D"/>
    <w:rsid w:val="002516B6"/>
    <w:rsid w:val="002518C8"/>
    <w:rsid w:val="00251A71"/>
    <w:rsid w:val="00251B23"/>
    <w:rsid w:val="002527DF"/>
    <w:rsid w:val="00252A05"/>
    <w:rsid w:val="00253532"/>
    <w:rsid w:val="002545D9"/>
    <w:rsid w:val="0025487E"/>
    <w:rsid w:val="00254ADB"/>
    <w:rsid w:val="00254C35"/>
    <w:rsid w:val="0025511A"/>
    <w:rsid w:val="00255AF0"/>
    <w:rsid w:val="0025616C"/>
    <w:rsid w:val="0025634E"/>
    <w:rsid w:val="00256966"/>
    <w:rsid w:val="00256F39"/>
    <w:rsid w:val="00256F6C"/>
    <w:rsid w:val="00257228"/>
    <w:rsid w:val="00257DB6"/>
    <w:rsid w:val="00257E95"/>
    <w:rsid w:val="00260FB5"/>
    <w:rsid w:val="00260FC4"/>
    <w:rsid w:val="002614F1"/>
    <w:rsid w:val="0026168C"/>
    <w:rsid w:val="00261A33"/>
    <w:rsid w:val="00261D41"/>
    <w:rsid w:val="00262214"/>
    <w:rsid w:val="00262225"/>
    <w:rsid w:val="00262CE4"/>
    <w:rsid w:val="00263B07"/>
    <w:rsid w:val="00263D9A"/>
    <w:rsid w:val="0026471E"/>
    <w:rsid w:val="00264D2C"/>
    <w:rsid w:val="00264F8B"/>
    <w:rsid w:val="0026581B"/>
    <w:rsid w:val="00266382"/>
    <w:rsid w:val="00266468"/>
    <w:rsid w:val="00266769"/>
    <w:rsid w:val="00266EFC"/>
    <w:rsid w:val="00266FD6"/>
    <w:rsid w:val="002671E7"/>
    <w:rsid w:val="00267899"/>
    <w:rsid w:val="00267E1E"/>
    <w:rsid w:val="00270B27"/>
    <w:rsid w:val="00271166"/>
    <w:rsid w:val="00271538"/>
    <w:rsid w:val="00271B74"/>
    <w:rsid w:val="002727C5"/>
    <w:rsid w:val="00272A15"/>
    <w:rsid w:val="00272CE5"/>
    <w:rsid w:val="00272F6C"/>
    <w:rsid w:val="0027361B"/>
    <w:rsid w:val="00273788"/>
    <w:rsid w:val="0027393D"/>
    <w:rsid w:val="00273A9B"/>
    <w:rsid w:val="00273D4D"/>
    <w:rsid w:val="00274CEE"/>
    <w:rsid w:val="00275373"/>
    <w:rsid w:val="0028062B"/>
    <w:rsid w:val="0028070B"/>
    <w:rsid w:val="00280A9B"/>
    <w:rsid w:val="00280C9A"/>
    <w:rsid w:val="00280D07"/>
    <w:rsid w:val="00280DE5"/>
    <w:rsid w:val="0028186B"/>
    <w:rsid w:val="00281B29"/>
    <w:rsid w:val="00281D5A"/>
    <w:rsid w:val="002821C3"/>
    <w:rsid w:val="00282AFA"/>
    <w:rsid w:val="00282B14"/>
    <w:rsid w:val="00282CA1"/>
    <w:rsid w:val="00282E60"/>
    <w:rsid w:val="00282FE9"/>
    <w:rsid w:val="00283527"/>
    <w:rsid w:val="002838AA"/>
    <w:rsid w:val="00283B5C"/>
    <w:rsid w:val="00283C4E"/>
    <w:rsid w:val="00283D63"/>
    <w:rsid w:val="00284B5A"/>
    <w:rsid w:val="002853A7"/>
    <w:rsid w:val="00285947"/>
    <w:rsid w:val="00285E9E"/>
    <w:rsid w:val="002869A4"/>
    <w:rsid w:val="002870F6"/>
    <w:rsid w:val="002871E2"/>
    <w:rsid w:val="0028778A"/>
    <w:rsid w:val="00287C49"/>
    <w:rsid w:val="00287CFC"/>
    <w:rsid w:val="00287E9A"/>
    <w:rsid w:val="0029003D"/>
    <w:rsid w:val="0029005D"/>
    <w:rsid w:val="002902E5"/>
    <w:rsid w:val="00290769"/>
    <w:rsid w:val="00291DB7"/>
    <w:rsid w:val="00291EB7"/>
    <w:rsid w:val="00292218"/>
    <w:rsid w:val="00292834"/>
    <w:rsid w:val="00292901"/>
    <w:rsid w:val="00292C22"/>
    <w:rsid w:val="00292D9A"/>
    <w:rsid w:val="00292FBC"/>
    <w:rsid w:val="00293802"/>
    <w:rsid w:val="00293CD8"/>
    <w:rsid w:val="00294D71"/>
    <w:rsid w:val="00294E8E"/>
    <w:rsid w:val="002951B9"/>
    <w:rsid w:val="0029562F"/>
    <w:rsid w:val="00295B88"/>
    <w:rsid w:val="0029651E"/>
    <w:rsid w:val="00296D3D"/>
    <w:rsid w:val="00297112"/>
    <w:rsid w:val="0029748C"/>
    <w:rsid w:val="00297B71"/>
    <w:rsid w:val="00297B97"/>
    <w:rsid w:val="002A14D9"/>
    <w:rsid w:val="002A1551"/>
    <w:rsid w:val="002A16D8"/>
    <w:rsid w:val="002A2F85"/>
    <w:rsid w:val="002A316B"/>
    <w:rsid w:val="002A3422"/>
    <w:rsid w:val="002A3A10"/>
    <w:rsid w:val="002A3CCB"/>
    <w:rsid w:val="002A4724"/>
    <w:rsid w:val="002A4763"/>
    <w:rsid w:val="002A540B"/>
    <w:rsid w:val="002A57F0"/>
    <w:rsid w:val="002A5CEB"/>
    <w:rsid w:val="002A5D86"/>
    <w:rsid w:val="002A5DC4"/>
    <w:rsid w:val="002A6551"/>
    <w:rsid w:val="002A69BA"/>
    <w:rsid w:val="002A6DB6"/>
    <w:rsid w:val="002A7EC2"/>
    <w:rsid w:val="002A7FC1"/>
    <w:rsid w:val="002B029C"/>
    <w:rsid w:val="002B05C2"/>
    <w:rsid w:val="002B07A7"/>
    <w:rsid w:val="002B3605"/>
    <w:rsid w:val="002B372F"/>
    <w:rsid w:val="002B3839"/>
    <w:rsid w:val="002B45FC"/>
    <w:rsid w:val="002B5C82"/>
    <w:rsid w:val="002B5E44"/>
    <w:rsid w:val="002B62F6"/>
    <w:rsid w:val="002B66FE"/>
    <w:rsid w:val="002B682B"/>
    <w:rsid w:val="002B691A"/>
    <w:rsid w:val="002B71FA"/>
    <w:rsid w:val="002B7BC2"/>
    <w:rsid w:val="002C0382"/>
    <w:rsid w:val="002C03E7"/>
    <w:rsid w:val="002C055E"/>
    <w:rsid w:val="002C0964"/>
    <w:rsid w:val="002C0C75"/>
    <w:rsid w:val="002C1570"/>
    <w:rsid w:val="002C1844"/>
    <w:rsid w:val="002C1B61"/>
    <w:rsid w:val="002C2B11"/>
    <w:rsid w:val="002C2CF7"/>
    <w:rsid w:val="002C3211"/>
    <w:rsid w:val="002C3430"/>
    <w:rsid w:val="002C3CD8"/>
    <w:rsid w:val="002C43C1"/>
    <w:rsid w:val="002C45B4"/>
    <w:rsid w:val="002C47A4"/>
    <w:rsid w:val="002C4C0A"/>
    <w:rsid w:val="002C56C2"/>
    <w:rsid w:val="002C5771"/>
    <w:rsid w:val="002C5CED"/>
    <w:rsid w:val="002C5F3E"/>
    <w:rsid w:val="002C5FBA"/>
    <w:rsid w:val="002C642A"/>
    <w:rsid w:val="002C6AD1"/>
    <w:rsid w:val="002C6AF0"/>
    <w:rsid w:val="002C7574"/>
    <w:rsid w:val="002C7BC3"/>
    <w:rsid w:val="002C7D81"/>
    <w:rsid w:val="002D00B5"/>
    <w:rsid w:val="002D0176"/>
    <w:rsid w:val="002D0433"/>
    <w:rsid w:val="002D04E7"/>
    <w:rsid w:val="002D06EC"/>
    <w:rsid w:val="002D0AB8"/>
    <w:rsid w:val="002D1163"/>
    <w:rsid w:val="002D1B16"/>
    <w:rsid w:val="002D25D8"/>
    <w:rsid w:val="002D3291"/>
    <w:rsid w:val="002D3369"/>
    <w:rsid w:val="002D3B12"/>
    <w:rsid w:val="002D3EFC"/>
    <w:rsid w:val="002D4457"/>
    <w:rsid w:val="002D4F9C"/>
    <w:rsid w:val="002D56EA"/>
    <w:rsid w:val="002D57B7"/>
    <w:rsid w:val="002D59A4"/>
    <w:rsid w:val="002D5B4C"/>
    <w:rsid w:val="002D5D00"/>
    <w:rsid w:val="002D5D6F"/>
    <w:rsid w:val="002D5E22"/>
    <w:rsid w:val="002D6801"/>
    <w:rsid w:val="002D7006"/>
    <w:rsid w:val="002E0BEC"/>
    <w:rsid w:val="002E0D5C"/>
    <w:rsid w:val="002E0F1E"/>
    <w:rsid w:val="002E307D"/>
    <w:rsid w:val="002E30C4"/>
    <w:rsid w:val="002E3464"/>
    <w:rsid w:val="002E34BB"/>
    <w:rsid w:val="002E3662"/>
    <w:rsid w:val="002E3DC6"/>
    <w:rsid w:val="002E42A2"/>
    <w:rsid w:val="002E4345"/>
    <w:rsid w:val="002E4349"/>
    <w:rsid w:val="002E4402"/>
    <w:rsid w:val="002E447E"/>
    <w:rsid w:val="002E4654"/>
    <w:rsid w:val="002E477F"/>
    <w:rsid w:val="002E4B05"/>
    <w:rsid w:val="002E4D37"/>
    <w:rsid w:val="002E5C08"/>
    <w:rsid w:val="002E5CE6"/>
    <w:rsid w:val="002E67E9"/>
    <w:rsid w:val="002E6ABC"/>
    <w:rsid w:val="002E6E60"/>
    <w:rsid w:val="002E6F56"/>
    <w:rsid w:val="002E72E1"/>
    <w:rsid w:val="002E7366"/>
    <w:rsid w:val="002E780F"/>
    <w:rsid w:val="002F0297"/>
    <w:rsid w:val="002F044A"/>
    <w:rsid w:val="002F0522"/>
    <w:rsid w:val="002F05A7"/>
    <w:rsid w:val="002F0A2C"/>
    <w:rsid w:val="002F0A79"/>
    <w:rsid w:val="002F1078"/>
    <w:rsid w:val="002F120D"/>
    <w:rsid w:val="002F179D"/>
    <w:rsid w:val="002F1DB2"/>
    <w:rsid w:val="002F1F49"/>
    <w:rsid w:val="002F1F8C"/>
    <w:rsid w:val="002F21D4"/>
    <w:rsid w:val="002F232D"/>
    <w:rsid w:val="002F251D"/>
    <w:rsid w:val="002F28EA"/>
    <w:rsid w:val="002F2B35"/>
    <w:rsid w:val="002F3072"/>
    <w:rsid w:val="002F31D9"/>
    <w:rsid w:val="002F33F4"/>
    <w:rsid w:val="002F3461"/>
    <w:rsid w:val="002F39D5"/>
    <w:rsid w:val="002F3AFC"/>
    <w:rsid w:val="002F58E5"/>
    <w:rsid w:val="002F5B53"/>
    <w:rsid w:val="002F5B79"/>
    <w:rsid w:val="002F696C"/>
    <w:rsid w:val="002F6BC5"/>
    <w:rsid w:val="002F6E03"/>
    <w:rsid w:val="002F74A9"/>
    <w:rsid w:val="003007F9"/>
    <w:rsid w:val="00300B80"/>
    <w:rsid w:val="00301196"/>
    <w:rsid w:val="00301206"/>
    <w:rsid w:val="0030179B"/>
    <w:rsid w:val="003023A9"/>
    <w:rsid w:val="00302838"/>
    <w:rsid w:val="00302FA7"/>
    <w:rsid w:val="0030526E"/>
    <w:rsid w:val="00305522"/>
    <w:rsid w:val="003057F9"/>
    <w:rsid w:val="00306E90"/>
    <w:rsid w:val="00306F30"/>
    <w:rsid w:val="0030771D"/>
    <w:rsid w:val="00310207"/>
    <w:rsid w:val="00310377"/>
    <w:rsid w:val="0031130B"/>
    <w:rsid w:val="00311889"/>
    <w:rsid w:val="00311B3F"/>
    <w:rsid w:val="00311F0C"/>
    <w:rsid w:val="00312145"/>
    <w:rsid w:val="003127BB"/>
    <w:rsid w:val="00312802"/>
    <w:rsid w:val="003146C3"/>
    <w:rsid w:val="0031576B"/>
    <w:rsid w:val="00315AF4"/>
    <w:rsid w:val="0031605C"/>
    <w:rsid w:val="0031660B"/>
    <w:rsid w:val="00316A94"/>
    <w:rsid w:val="0031701B"/>
    <w:rsid w:val="003170D4"/>
    <w:rsid w:val="00317EF7"/>
    <w:rsid w:val="00320A86"/>
    <w:rsid w:val="00320AF1"/>
    <w:rsid w:val="003212B6"/>
    <w:rsid w:val="00321E1A"/>
    <w:rsid w:val="00321F86"/>
    <w:rsid w:val="003221E1"/>
    <w:rsid w:val="0032242C"/>
    <w:rsid w:val="003225B6"/>
    <w:rsid w:val="003228C7"/>
    <w:rsid w:val="00322925"/>
    <w:rsid w:val="00322999"/>
    <w:rsid w:val="00322C9A"/>
    <w:rsid w:val="0032377F"/>
    <w:rsid w:val="00323E5B"/>
    <w:rsid w:val="00323F66"/>
    <w:rsid w:val="0032401C"/>
    <w:rsid w:val="00324741"/>
    <w:rsid w:val="00325953"/>
    <w:rsid w:val="00325BDF"/>
    <w:rsid w:val="0032633D"/>
    <w:rsid w:val="003268F3"/>
    <w:rsid w:val="00326AC4"/>
    <w:rsid w:val="00326F72"/>
    <w:rsid w:val="003274F0"/>
    <w:rsid w:val="003275F4"/>
    <w:rsid w:val="003277A5"/>
    <w:rsid w:val="00327AC2"/>
    <w:rsid w:val="00327B74"/>
    <w:rsid w:val="00327C1B"/>
    <w:rsid w:val="00327CAF"/>
    <w:rsid w:val="00327D92"/>
    <w:rsid w:val="00330631"/>
    <w:rsid w:val="003309FB"/>
    <w:rsid w:val="0033118A"/>
    <w:rsid w:val="003322D8"/>
    <w:rsid w:val="00332A17"/>
    <w:rsid w:val="00332C23"/>
    <w:rsid w:val="00333F9A"/>
    <w:rsid w:val="00334089"/>
    <w:rsid w:val="00334C43"/>
    <w:rsid w:val="00335737"/>
    <w:rsid w:val="00335B55"/>
    <w:rsid w:val="00336051"/>
    <w:rsid w:val="003364F6"/>
    <w:rsid w:val="00336890"/>
    <w:rsid w:val="00336C96"/>
    <w:rsid w:val="0033703E"/>
    <w:rsid w:val="003400C1"/>
    <w:rsid w:val="0034094D"/>
    <w:rsid w:val="00340D9E"/>
    <w:rsid w:val="003413FA"/>
    <w:rsid w:val="0034177B"/>
    <w:rsid w:val="00341CEE"/>
    <w:rsid w:val="00342758"/>
    <w:rsid w:val="00342A94"/>
    <w:rsid w:val="00343378"/>
    <w:rsid w:val="00343E10"/>
    <w:rsid w:val="00343F44"/>
    <w:rsid w:val="003448EC"/>
    <w:rsid w:val="0034492B"/>
    <w:rsid w:val="00344C9A"/>
    <w:rsid w:val="00345299"/>
    <w:rsid w:val="003452FA"/>
    <w:rsid w:val="003455DF"/>
    <w:rsid w:val="0034577C"/>
    <w:rsid w:val="003459DE"/>
    <w:rsid w:val="00345C4A"/>
    <w:rsid w:val="00345FCF"/>
    <w:rsid w:val="00346103"/>
    <w:rsid w:val="00347F70"/>
    <w:rsid w:val="0035011A"/>
    <w:rsid w:val="00350269"/>
    <w:rsid w:val="00351678"/>
    <w:rsid w:val="00351F28"/>
    <w:rsid w:val="00352F0A"/>
    <w:rsid w:val="0035305D"/>
    <w:rsid w:val="0035421F"/>
    <w:rsid w:val="0035443F"/>
    <w:rsid w:val="003544BE"/>
    <w:rsid w:val="003549DD"/>
    <w:rsid w:val="00354C94"/>
    <w:rsid w:val="00355252"/>
    <w:rsid w:val="0035551C"/>
    <w:rsid w:val="00356265"/>
    <w:rsid w:val="00356812"/>
    <w:rsid w:val="00356AE3"/>
    <w:rsid w:val="00356B94"/>
    <w:rsid w:val="00357724"/>
    <w:rsid w:val="00360062"/>
    <w:rsid w:val="0036048C"/>
    <w:rsid w:val="00360905"/>
    <w:rsid w:val="00361263"/>
    <w:rsid w:val="00361967"/>
    <w:rsid w:val="00361C23"/>
    <w:rsid w:val="00362068"/>
    <w:rsid w:val="00362879"/>
    <w:rsid w:val="00363129"/>
    <w:rsid w:val="003632ED"/>
    <w:rsid w:val="003635A8"/>
    <w:rsid w:val="00363673"/>
    <w:rsid w:val="00363858"/>
    <w:rsid w:val="00364308"/>
    <w:rsid w:val="00364AA2"/>
    <w:rsid w:val="00364C34"/>
    <w:rsid w:val="00364DE9"/>
    <w:rsid w:val="00365832"/>
    <w:rsid w:val="00365947"/>
    <w:rsid w:val="00365DCB"/>
    <w:rsid w:val="003666B4"/>
    <w:rsid w:val="00366BC0"/>
    <w:rsid w:val="00366E6A"/>
    <w:rsid w:val="003676FE"/>
    <w:rsid w:val="003677BB"/>
    <w:rsid w:val="0036797D"/>
    <w:rsid w:val="00367CCD"/>
    <w:rsid w:val="00367E55"/>
    <w:rsid w:val="00367F2D"/>
    <w:rsid w:val="0037084F"/>
    <w:rsid w:val="00370A0F"/>
    <w:rsid w:val="0037150A"/>
    <w:rsid w:val="003719E5"/>
    <w:rsid w:val="0037221C"/>
    <w:rsid w:val="003723D5"/>
    <w:rsid w:val="00372B53"/>
    <w:rsid w:val="00372EE9"/>
    <w:rsid w:val="003732CD"/>
    <w:rsid w:val="00373634"/>
    <w:rsid w:val="00373742"/>
    <w:rsid w:val="003741F8"/>
    <w:rsid w:val="003741FD"/>
    <w:rsid w:val="003742ED"/>
    <w:rsid w:val="00374745"/>
    <w:rsid w:val="00374BFA"/>
    <w:rsid w:val="00374C22"/>
    <w:rsid w:val="00375041"/>
    <w:rsid w:val="003751CA"/>
    <w:rsid w:val="003764F7"/>
    <w:rsid w:val="003765A0"/>
    <w:rsid w:val="00376A4B"/>
    <w:rsid w:val="00376CFB"/>
    <w:rsid w:val="00377987"/>
    <w:rsid w:val="00377BBA"/>
    <w:rsid w:val="00377CF0"/>
    <w:rsid w:val="00380080"/>
    <w:rsid w:val="00380622"/>
    <w:rsid w:val="00380E56"/>
    <w:rsid w:val="003812A8"/>
    <w:rsid w:val="003815BC"/>
    <w:rsid w:val="003816DC"/>
    <w:rsid w:val="003821E8"/>
    <w:rsid w:val="003822F1"/>
    <w:rsid w:val="003836E4"/>
    <w:rsid w:val="00384849"/>
    <w:rsid w:val="00384EFE"/>
    <w:rsid w:val="00385092"/>
    <w:rsid w:val="003850C0"/>
    <w:rsid w:val="0038549E"/>
    <w:rsid w:val="00385EE2"/>
    <w:rsid w:val="00386739"/>
    <w:rsid w:val="00386956"/>
    <w:rsid w:val="00386C90"/>
    <w:rsid w:val="0038708D"/>
    <w:rsid w:val="003872D4"/>
    <w:rsid w:val="0038743F"/>
    <w:rsid w:val="0038755C"/>
    <w:rsid w:val="00387654"/>
    <w:rsid w:val="0038798B"/>
    <w:rsid w:val="00387CFC"/>
    <w:rsid w:val="00390763"/>
    <w:rsid w:val="00391A96"/>
    <w:rsid w:val="00391F1B"/>
    <w:rsid w:val="003921CE"/>
    <w:rsid w:val="003926DB"/>
    <w:rsid w:val="00392B82"/>
    <w:rsid w:val="0039315E"/>
    <w:rsid w:val="00393915"/>
    <w:rsid w:val="00394179"/>
    <w:rsid w:val="00394255"/>
    <w:rsid w:val="003942C2"/>
    <w:rsid w:val="00394AC8"/>
    <w:rsid w:val="0039505E"/>
    <w:rsid w:val="0039523C"/>
    <w:rsid w:val="00395875"/>
    <w:rsid w:val="003958A7"/>
    <w:rsid w:val="0039597F"/>
    <w:rsid w:val="00395EF6"/>
    <w:rsid w:val="00395F4E"/>
    <w:rsid w:val="0039600B"/>
    <w:rsid w:val="00396175"/>
    <w:rsid w:val="00396366"/>
    <w:rsid w:val="003977C7"/>
    <w:rsid w:val="00397B39"/>
    <w:rsid w:val="003A0BB3"/>
    <w:rsid w:val="003A30CE"/>
    <w:rsid w:val="003A31FC"/>
    <w:rsid w:val="003A32E7"/>
    <w:rsid w:val="003A41E7"/>
    <w:rsid w:val="003A4290"/>
    <w:rsid w:val="003A4387"/>
    <w:rsid w:val="003A4731"/>
    <w:rsid w:val="003A47DB"/>
    <w:rsid w:val="003A4A9F"/>
    <w:rsid w:val="003A4CA2"/>
    <w:rsid w:val="003A54B6"/>
    <w:rsid w:val="003A5C8F"/>
    <w:rsid w:val="003A651C"/>
    <w:rsid w:val="003A679A"/>
    <w:rsid w:val="003A6B3A"/>
    <w:rsid w:val="003A6CCF"/>
    <w:rsid w:val="003A78C1"/>
    <w:rsid w:val="003A7D75"/>
    <w:rsid w:val="003B0137"/>
    <w:rsid w:val="003B04E4"/>
    <w:rsid w:val="003B1B89"/>
    <w:rsid w:val="003B278C"/>
    <w:rsid w:val="003B402D"/>
    <w:rsid w:val="003B4211"/>
    <w:rsid w:val="003B55EB"/>
    <w:rsid w:val="003B5B60"/>
    <w:rsid w:val="003B6B90"/>
    <w:rsid w:val="003B6E0E"/>
    <w:rsid w:val="003B75C7"/>
    <w:rsid w:val="003B7859"/>
    <w:rsid w:val="003B7BAD"/>
    <w:rsid w:val="003C0CC2"/>
    <w:rsid w:val="003C0D5F"/>
    <w:rsid w:val="003C0F3C"/>
    <w:rsid w:val="003C1044"/>
    <w:rsid w:val="003C11F9"/>
    <w:rsid w:val="003C169A"/>
    <w:rsid w:val="003C1939"/>
    <w:rsid w:val="003C1F71"/>
    <w:rsid w:val="003C28EA"/>
    <w:rsid w:val="003C33ED"/>
    <w:rsid w:val="003C3B06"/>
    <w:rsid w:val="003C41BC"/>
    <w:rsid w:val="003C46C5"/>
    <w:rsid w:val="003C485B"/>
    <w:rsid w:val="003C4BEB"/>
    <w:rsid w:val="003C4DC3"/>
    <w:rsid w:val="003C56A9"/>
    <w:rsid w:val="003C57A7"/>
    <w:rsid w:val="003C5C02"/>
    <w:rsid w:val="003C5EEF"/>
    <w:rsid w:val="003C5F95"/>
    <w:rsid w:val="003D019E"/>
    <w:rsid w:val="003D0B03"/>
    <w:rsid w:val="003D0CEB"/>
    <w:rsid w:val="003D10CD"/>
    <w:rsid w:val="003D23D8"/>
    <w:rsid w:val="003D2566"/>
    <w:rsid w:val="003D29DB"/>
    <w:rsid w:val="003D2A75"/>
    <w:rsid w:val="003D2FE1"/>
    <w:rsid w:val="003D3085"/>
    <w:rsid w:val="003D3196"/>
    <w:rsid w:val="003D33ED"/>
    <w:rsid w:val="003D3850"/>
    <w:rsid w:val="003D429D"/>
    <w:rsid w:val="003D48FF"/>
    <w:rsid w:val="003D4B13"/>
    <w:rsid w:val="003D4DD4"/>
    <w:rsid w:val="003D4E8F"/>
    <w:rsid w:val="003D566B"/>
    <w:rsid w:val="003D6528"/>
    <w:rsid w:val="003D6A8A"/>
    <w:rsid w:val="003D72BC"/>
    <w:rsid w:val="003D7BAF"/>
    <w:rsid w:val="003E009E"/>
    <w:rsid w:val="003E031A"/>
    <w:rsid w:val="003E086F"/>
    <w:rsid w:val="003E0C03"/>
    <w:rsid w:val="003E1C20"/>
    <w:rsid w:val="003E1CF3"/>
    <w:rsid w:val="003E1DB5"/>
    <w:rsid w:val="003E23B8"/>
    <w:rsid w:val="003E2763"/>
    <w:rsid w:val="003E3128"/>
    <w:rsid w:val="003E31A4"/>
    <w:rsid w:val="003E3927"/>
    <w:rsid w:val="003E454B"/>
    <w:rsid w:val="003E45B9"/>
    <w:rsid w:val="003E4956"/>
    <w:rsid w:val="003E575A"/>
    <w:rsid w:val="003E5B16"/>
    <w:rsid w:val="003E5CE9"/>
    <w:rsid w:val="003E5EF2"/>
    <w:rsid w:val="003E6442"/>
    <w:rsid w:val="003E663F"/>
    <w:rsid w:val="003E682A"/>
    <w:rsid w:val="003E7ED1"/>
    <w:rsid w:val="003F035A"/>
    <w:rsid w:val="003F036F"/>
    <w:rsid w:val="003F11B9"/>
    <w:rsid w:val="003F1661"/>
    <w:rsid w:val="003F1908"/>
    <w:rsid w:val="003F1A1A"/>
    <w:rsid w:val="003F1E0D"/>
    <w:rsid w:val="003F1EBF"/>
    <w:rsid w:val="003F1F79"/>
    <w:rsid w:val="003F32BB"/>
    <w:rsid w:val="003F3354"/>
    <w:rsid w:val="003F35AC"/>
    <w:rsid w:val="003F35C9"/>
    <w:rsid w:val="003F376D"/>
    <w:rsid w:val="003F3BB0"/>
    <w:rsid w:val="003F3DAA"/>
    <w:rsid w:val="003F3E5B"/>
    <w:rsid w:val="003F3FA0"/>
    <w:rsid w:val="003F42F1"/>
    <w:rsid w:val="003F4589"/>
    <w:rsid w:val="003F49D8"/>
    <w:rsid w:val="003F4BE6"/>
    <w:rsid w:val="003F5547"/>
    <w:rsid w:val="003F563F"/>
    <w:rsid w:val="003F5C30"/>
    <w:rsid w:val="003F6304"/>
    <w:rsid w:val="003F68FC"/>
    <w:rsid w:val="003F6CBC"/>
    <w:rsid w:val="00400A0A"/>
    <w:rsid w:val="00400BDB"/>
    <w:rsid w:val="00400E6E"/>
    <w:rsid w:val="00401271"/>
    <w:rsid w:val="00401404"/>
    <w:rsid w:val="004014AC"/>
    <w:rsid w:val="00402190"/>
    <w:rsid w:val="00403F79"/>
    <w:rsid w:val="00404120"/>
    <w:rsid w:val="004043B7"/>
    <w:rsid w:val="00404BE2"/>
    <w:rsid w:val="00404D5D"/>
    <w:rsid w:val="00404F31"/>
    <w:rsid w:val="00405048"/>
    <w:rsid w:val="00405BD9"/>
    <w:rsid w:val="0040609B"/>
    <w:rsid w:val="004075AD"/>
    <w:rsid w:val="00407616"/>
    <w:rsid w:val="00407672"/>
    <w:rsid w:val="00407FF4"/>
    <w:rsid w:val="00410AB4"/>
    <w:rsid w:val="00411006"/>
    <w:rsid w:val="004110D0"/>
    <w:rsid w:val="00411662"/>
    <w:rsid w:val="00411A0C"/>
    <w:rsid w:val="00411EE4"/>
    <w:rsid w:val="00411F17"/>
    <w:rsid w:val="004126DF"/>
    <w:rsid w:val="00412729"/>
    <w:rsid w:val="00412A4E"/>
    <w:rsid w:val="00412EEF"/>
    <w:rsid w:val="00412FD7"/>
    <w:rsid w:val="004130D6"/>
    <w:rsid w:val="00413173"/>
    <w:rsid w:val="00413191"/>
    <w:rsid w:val="00413611"/>
    <w:rsid w:val="004137D5"/>
    <w:rsid w:val="00414221"/>
    <w:rsid w:val="00415CE3"/>
    <w:rsid w:val="00416A46"/>
    <w:rsid w:val="00417013"/>
    <w:rsid w:val="00417134"/>
    <w:rsid w:val="004177C6"/>
    <w:rsid w:val="00417815"/>
    <w:rsid w:val="0042004C"/>
    <w:rsid w:val="004200B9"/>
    <w:rsid w:val="004205B1"/>
    <w:rsid w:val="004210AA"/>
    <w:rsid w:val="0042149C"/>
    <w:rsid w:val="0042197C"/>
    <w:rsid w:val="00421C1D"/>
    <w:rsid w:val="004222A1"/>
    <w:rsid w:val="004222FA"/>
    <w:rsid w:val="00422357"/>
    <w:rsid w:val="00422ACA"/>
    <w:rsid w:val="00422B6D"/>
    <w:rsid w:val="0042364E"/>
    <w:rsid w:val="00423DFE"/>
    <w:rsid w:val="00424094"/>
    <w:rsid w:val="004243A3"/>
    <w:rsid w:val="004247DC"/>
    <w:rsid w:val="0042496B"/>
    <w:rsid w:val="00424BC5"/>
    <w:rsid w:val="00424D3C"/>
    <w:rsid w:val="00424DBC"/>
    <w:rsid w:val="00424DC8"/>
    <w:rsid w:val="00424EAA"/>
    <w:rsid w:val="00425124"/>
    <w:rsid w:val="00425410"/>
    <w:rsid w:val="00425D26"/>
    <w:rsid w:val="00425FAA"/>
    <w:rsid w:val="00427626"/>
    <w:rsid w:val="00427F8A"/>
    <w:rsid w:val="0043015F"/>
    <w:rsid w:val="00430C26"/>
    <w:rsid w:val="004310AD"/>
    <w:rsid w:val="0043134E"/>
    <w:rsid w:val="00431376"/>
    <w:rsid w:val="00431B16"/>
    <w:rsid w:val="00431FBC"/>
    <w:rsid w:val="004324C3"/>
    <w:rsid w:val="004336AF"/>
    <w:rsid w:val="004336C1"/>
    <w:rsid w:val="00433764"/>
    <w:rsid w:val="004339D9"/>
    <w:rsid w:val="00434567"/>
    <w:rsid w:val="00434CCE"/>
    <w:rsid w:val="00434F00"/>
    <w:rsid w:val="004350D3"/>
    <w:rsid w:val="0043530A"/>
    <w:rsid w:val="00435B8B"/>
    <w:rsid w:val="004364F7"/>
    <w:rsid w:val="004366F0"/>
    <w:rsid w:val="00436F78"/>
    <w:rsid w:val="00437019"/>
    <w:rsid w:val="0043753B"/>
    <w:rsid w:val="00437FE9"/>
    <w:rsid w:val="00440658"/>
    <w:rsid w:val="0044091C"/>
    <w:rsid w:val="004413FC"/>
    <w:rsid w:val="00441897"/>
    <w:rsid w:val="00441A9E"/>
    <w:rsid w:val="00441D41"/>
    <w:rsid w:val="0044233E"/>
    <w:rsid w:val="00442A72"/>
    <w:rsid w:val="00443B94"/>
    <w:rsid w:val="00443E65"/>
    <w:rsid w:val="004446BB"/>
    <w:rsid w:val="00444C56"/>
    <w:rsid w:val="00444E05"/>
    <w:rsid w:val="00444F8C"/>
    <w:rsid w:val="0044519C"/>
    <w:rsid w:val="0044546F"/>
    <w:rsid w:val="00445576"/>
    <w:rsid w:val="0044570B"/>
    <w:rsid w:val="00445F55"/>
    <w:rsid w:val="00446520"/>
    <w:rsid w:val="00446B5D"/>
    <w:rsid w:val="00446B79"/>
    <w:rsid w:val="004473FE"/>
    <w:rsid w:val="004474EF"/>
    <w:rsid w:val="00447F4A"/>
    <w:rsid w:val="004503AA"/>
    <w:rsid w:val="0045062F"/>
    <w:rsid w:val="00450BCF"/>
    <w:rsid w:val="00450BFF"/>
    <w:rsid w:val="00450F1C"/>
    <w:rsid w:val="00451AA1"/>
    <w:rsid w:val="00451C3C"/>
    <w:rsid w:val="0045230D"/>
    <w:rsid w:val="0045269A"/>
    <w:rsid w:val="0045279B"/>
    <w:rsid w:val="00452909"/>
    <w:rsid w:val="00452FA7"/>
    <w:rsid w:val="00453D87"/>
    <w:rsid w:val="004547EC"/>
    <w:rsid w:val="00454D0C"/>
    <w:rsid w:val="004552E7"/>
    <w:rsid w:val="00455417"/>
    <w:rsid w:val="00455BE7"/>
    <w:rsid w:val="00456893"/>
    <w:rsid w:val="0045740D"/>
    <w:rsid w:val="0045777E"/>
    <w:rsid w:val="0045780A"/>
    <w:rsid w:val="00457ADC"/>
    <w:rsid w:val="00457DBB"/>
    <w:rsid w:val="004600F1"/>
    <w:rsid w:val="00461247"/>
    <w:rsid w:val="004614AF"/>
    <w:rsid w:val="00461A10"/>
    <w:rsid w:val="004625DB"/>
    <w:rsid w:val="00463213"/>
    <w:rsid w:val="0046377E"/>
    <w:rsid w:val="00463E11"/>
    <w:rsid w:val="0046409F"/>
    <w:rsid w:val="0046431F"/>
    <w:rsid w:val="0046454C"/>
    <w:rsid w:val="00464B35"/>
    <w:rsid w:val="00464B47"/>
    <w:rsid w:val="00464C8F"/>
    <w:rsid w:val="00465154"/>
    <w:rsid w:val="00465558"/>
    <w:rsid w:val="004659EF"/>
    <w:rsid w:val="00465DD0"/>
    <w:rsid w:val="0046694A"/>
    <w:rsid w:val="00466FF0"/>
    <w:rsid w:val="00467019"/>
    <w:rsid w:val="004705EA"/>
    <w:rsid w:val="00470DB2"/>
    <w:rsid w:val="00470FF6"/>
    <w:rsid w:val="004712F6"/>
    <w:rsid w:val="004718F6"/>
    <w:rsid w:val="00471F7C"/>
    <w:rsid w:val="0047227A"/>
    <w:rsid w:val="00472976"/>
    <w:rsid w:val="00472F31"/>
    <w:rsid w:val="0047358C"/>
    <w:rsid w:val="004736BB"/>
    <w:rsid w:val="00473994"/>
    <w:rsid w:val="00473F7A"/>
    <w:rsid w:val="00474647"/>
    <w:rsid w:val="00474904"/>
    <w:rsid w:val="00475EB5"/>
    <w:rsid w:val="0047648F"/>
    <w:rsid w:val="00476A4B"/>
    <w:rsid w:val="00476A8D"/>
    <w:rsid w:val="00476E02"/>
    <w:rsid w:val="00477D15"/>
    <w:rsid w:val="00477E33"/>
    <w:rsid w:val="00477F9D"/>
    <w:rsid w:val="004800E0"/>
    <w:rsid w:val="0048029C"/>
    <w:rsid w:val="00480349"/>
    <w:rsid w:val="00481291"/>
    <w:rsid w:val="00481BB7"/>
    <w:rsid w:val="00482581"/>
    <w:rsid w:val="00483115"/>
    <w:rsid w:val="004835CF"/>
    <w:rsid w:val="00483D35"/>
    <w:rsid w:val="0048410D"/>
    <w:rsid w:val="004842F8"/>
    <w:rsid w:val="0048451F"/>
    <w:rsid w:val="00484972"/>
    <w:rsid w:val="00484EB7"/>
    <w:rsid w:val="0048550A"/>
    <w:rsid w:val="004857C1"/>
    <w:rsid w:val="00485A95"/>
    <w:rsid w:val="00485D39"/>
    <w:rsid w:val="004864F2"/>
    <w:rsid w:val="0048673B"/>
    <w:rsid w:val="0048690F"/>
    <w:rsid w:val="00486BB9"/>
    <w:rsid w:val="00486C9E"/>
    <w:rsid w:val="0048796F"/>
    <w:rsid w:val="004879C9"/>
    <w:rsid w:val="00487A0C"/>
    <w:rsid w:val="00487ACC"/>
    <w:rsid w:val="00487DFA"/>
    <w:rsid w:val="00490034"/>
    <w:rsid w:val="00490226"/>
    <w:rsid w:val="004902C6"/>
    <w:rsid w:val="00490A02"/>
    <w:rsid w:val="0049130B"/>
    <w:rsid w:val="0049151F"/>
    <w:rsid w:val="004916A6"/>
    <w:rsid w:val="00491EC0"/>
    <w:rsid w:val="004922BC"/>
    <w:rsid w:val="00493326"/>
    <w:rsid w:val="00493422"/>
    <w:rsid w:val="004944B1"/>
    <w:rsid w:val="004959B1"/>
    <w:rsid w:val="00495A3F"/>
    <w:rsid w:val="00496137"/>
    <w:rsid w:val="00496344"/>
    <w:rsid w:val="0049644B"/>
    <w:rsid w:val="0049649F"/>
    <w:rsid w:val="0049669E"/>
    <w:rsid w:val="0049699F"/>
    <w:rsid w:val="00496A21"/>
    <w:rsid w:val="00497A33"/>
    <w:rsid w:val="004A06A7"/>
    <w:rsid w:val="004A09B8"/>
    <w:rsid w:val="004A118E"/>
    <w:rsid w:val="004A1334"/>
    <w:rsid w:val="004A1500"/>
    <w:rsid w:val="004A1D06"/>
    <w:rsid w:val="004A1D44"/>
    <w:rsid w:val="004A1F7D"/>
    <w:rsid w:val="004A21D0"/>
    <w:rsid w:val="004A31BA"/>
    <w:rsid w:val="004A36C6"/>
    <w:rsid w:val="004A38EF"/>
    <w:rsid w:val="004A3C51"/>
    <w:rsid w:val="004A3FCB"/>
    <w:rsid w:val="004A405A"/>
    <w:rsid w:val="004A47B3"/>
    <w:rsid w:val="004A4CB5"/>
    <w:rsid w:val="004A4E70"/>
    <w:rsid w:val="004A5C97"/>
    <w:rsid w:val="004A5E9B"/>
    <w:rsid w:val="004A6046"/>
    <w:rsid w:val="004A66CF"/>
    <w:rsid w:val="004A6F59"/>
    <w:rsid w:val="004A7AEA"/>
    <w:rsid w:val="004B059B"/>
    <w:rsid w:val="004B0A53"/>
    <w:rsid w:val="004B10F2"/>
    <w:rsid w:val="004B1A4A"/>
    <w:rsid w:val="004B1F97"/>
    <w:rsid w:val="004B287D"/>
    <w:rsid w:val="004B28BA"/>
    <w:rsid w:val="004B2CC6"/>
    <w:rsid w:val="004B3018"/>
    <w:rsid w:val="004B3074"/>
    <w:rsid w:val="004B30EC"/>
    <w:rsid w:val="004B31AA"/>
    <w:rsid w:val="004B348C"/>
    <w:rsid w:val="004B3821"/>
    <w:rsid w:val="004B4E30"/>
    <w:rsid w:val="004B50C2"/>
    <w:rsid w:val="004B554B"/>
    <w:rsid w:val="004B5DC8"/>
    <w:rsid w:val="004B5FF2"/>
    <w:rsid w:val="004B603A"/>
    <w:rsid w:val="004B6051"/>
    <w:rsid w:val="004B62B2"/>
    <w:rsid w:val="004B6600"/>
    <w:rsid w:val="004B683B"/>
    <w:rsid w:val="004B6E1B"/>
    <w:rsid w:val="004B75F3"/>
    <w:rsid w:val="004B78F1"/>
    <w:rsid w:val="004C05C9"/>
    <w:rsid w:val="004C09F5"/>
    <w:rsid w:val="004C0EAB"/>
    <w:rsid w:val="004C1118"/>
    <w:rsid w:val="004C16D9"/>
    <w:rsid w:val="004C1B01"/>
    <w:rsid w:val="004C1B16"/>
    <w:rsid w:val="004C1D47"/>
    <w:rsid w:val="004C1E3C"/>
    <w:rsid w:val="004C25B4"/>
    <w:rsid w:val="004C284F"/>
    <w:rsid w:val="004C2FC5"/>
    <w:rsid w:val="004C3085"/>
    <w:rsid w:val="004C310F"/>
    <w:rsid w:val="004C3220"/>
    <w:rsid w:val="004C3F24"/>
    <w:rsid w:val="004C4220"/>
    <w:rsid w:val="004C46B9"/>
    <w:rsid w:val="004C47AE"/>
    <w:rsid w:val="004C55BD"/>
    <w:rsid w:val="004C5A4F"/>
    <w:rsid w:val="004C5B71"/>
    <w:rsid w:val="004C5F4C"/>
    <w:rsid w:val="004C62AD"/>
    <w:rsid w:val="004C65AF"/>
    <w:rsid w:val="004C6936"/>
    <w:rsid w:val="004C75ED"/>
    <w:rsid w:val="004C7663"/>
    <w:rsid w:val="004C7A85"/>
    <w:rsid w:val="004C7EBA"/>
    <w:rsid w:val="004D002B"/>
    <w:rsid w:val="004D0ADF"/>
    <w:rsid w:val="004D1965"/>
    <w:rsid w:val="004D1C6E"/>
    <w:rsid w:val="004D2ABE"/>
    <w:rsid w:val="004D2F95"/>
    <w:rsid w:val="004D33FB"/>
    <w:rsid w:val="004D342B"/>
    <w:rsid w:val="004D3AB6"/>
    <w:rsid w:val="004D4895"/>
    <w:rsid w:val="004D4C38"/>
    <w:rsid w:val="004D4C61"/>
    <w:rsid w:val="004D4C99"/>
    <w:rsid w:val="004D4D89"/>
    <w:rsid w:val="004D59D6"/>
    <w:rsid w:val="004D5D26"/>
    <w:rsid w:val="004D5D63"/>
    <w:rsid w:val="004D6B37"/>
    <w:rsid w:val="004D6EA2"/>
    <w:rsid w:val="004D7039"/>
    <w:rsid w:val="004D74A3"/>
    <w:rsid w:val="004D74B2"/>
    <w:rsid w:val="004D761E"/>
    <w:rsid w:val="004D7AFF"/>
    <w:rsid w:val="004E07FD"/>
    <w:rsid w:val="004E0CDE"/>
    <w:rsid w:val="004E0FB9"/>
    <w:rsid w:val="004E1112"/>
    <w:rsid w:val="004E115F"/>
    <w:rsid w:val="004E11FA"/>
    <w:rsid w:val="004E161E"/>
    <w:rsid w:val="004E1794"/>
    <w:rsid w:val="004E1B60"/>
    <w:rsid w:val="004E1BE9"/>
    <w:rsid w:val="004E1F08"/>
    <w:rsid w:val="004E29BF"/>
    <w:rsid w:val="004E2A67"/>
    <w:rsid w:val="004E2AA4"/>
    <w:rsid w:val="004E32E2"/>
    <w:rsid w:val="004E3B8D"/>
    <w:rsid w:val="004E42C1"/>
    <w:rsid w:val="004E69BB"/>
    <w:rsid w:val="004E6F77"/>
    <w:rsid w:val="004E76D4"/>
    <w:rsid w:val="004F0791"/>
    <w:rsid w:val="004F07A8"/>
    <w:rsid w:val="004F0DF5"/>
    <w:rsid w:val="004F1304"/>
    <w:rsid w:val="004F1465"/>
    <w:rsid w:val="004F1586"/>
    <w:rsid w:val="004F1B27"/>
    <w:rsid w:val="004F2B57"/>
    <w:rsid w:val="004F2D0B"/>
    <w:rsid w:val="004F2DAA"/>
    <w:rsid w:val="004F38B0"/>
    <w:rsid w:val="004F3ABD"/>
    <w:rsid w:val="004F3D63"/>
    <w:rsid w:val="004F3FF2"/>
    <w:rsid w:val="004F4430"/>
    <w:rsid w:val="004F44C1"/>
    <w:rsid w:val="004F47AE"/>
    <w:rsid w:val="004F47E7"/>
    <w:rsid w:val="004F4E8D"/>
    <w:rsid w:val="004F5215"/>
    <w:rsid w:val="004F60F4"/>
    <w:rsid w:val="004F6142"/>
    <w:rsid w:val="004F6A05"/>
    <w:rsid w:val="004F6C7F"/>
    <w:rsid w:val="004F6DA7"/>
    <w:rsid w:val="004F7433"/>
    <w:rsid w:val="004F7851"/>
    <w:rsid w:val="00500A48"/>
    <w:rsid w:val="00500EA1"/>
    <w:rsid w:val="005011DF"/>
    <w:rsid w:val="005012F5"/>
    <w:rsid w:val="00501809"/>
    <w:rsid w:val="005020BF"/>
    <w:rsid w:val="00502154"/>
    <w:rsid w:val="00502254"/>
    <w:rsid w:val="0050244B"/>
    <w:rsid w:val="0050265F"/>
    <w:rsid w:val="00502BC8"/>
    <w:rsid w:val="005035D8"/>
    <w:rsid w:val="0050360F"/>
    <w:rsid w:val="005037F4"/>
    <w:rsid w:val="00503BF8"/>
    <w:rsid w:val="00504089"/>
    <w:rsid w:val="005042D6"/>
    <w:rsid w:val="005046FB"/>
    <w:rsid w:val="00504FC9"/>
    <w:rsid w:val="005052C3"/>
    <w:rsid w:val="00505A56"/>
    <w:rsid w:val="00505A69"/>
    <w:rsid w:val="00505DA8"/>
    <w:rsid w:val="005060AD"/>
    <w:rsid w:val="00506989"/>
    <w:rsid w:val="00506B43"/>
    <w:rsid w:val="00506C57"/>
    <w:rsid w:val="00506D20"/>
    <w:rsid w:val="005072FC"/>
    <w:rsid w:val="005075B1"/>
    <w:rsid w:val="00507624"/>
    <w:rsid w:val="00510059"/>
    <w:rsid w:val="00511319"/>
    <w:rsid w:val="00511390"/>
    <w:rsid w:val="005113D7"/>
    <w:rsid w:val="0051190D"/>
    <w:rsid w:val="00511A89"/>
    <w:rsid w:val="00511EE5"/>
    <w:rsid w:val="0051213A"/>
    <w:rsid w:val="00512F6F"/>
    <w:rsid w:val="005141F3"/>
    <w:rsid w:val="00514842"/>
    <w:rsid w:val="00514C1C"/>
    <w:rsid w:val="00515052"/>
    <w:rsid w:val="00515A93"/>
    <w:rsid w:val="00515F3D"/>
    <w:rsid w:val="0051625F"/>
    <w:rsid w:val="00516448"/>
    <w:rsid w:val="0051669C"/>
    <w:rsid w:val="00516935"/>
    <w:rsid w:val="00516968"/>
    <w:rsid w:val="00517660"/>
    <w:rsid w:val="00517E8C"/>
    <w:rsid w:val="00520299"/>
    <w:rsid w:val="00520AD3"/>
    <w:rsid w:val="005211F0"/>
    <w:rsid w:val="005213A7"/>
    <w:rsid w:val="005216D2"/>
    <w:rsid w:val="005227DE"/>
    <w:rsid w:val="00522928"/>
    <w:rsid w:val="00522B60"/>
    <w:rsid w:val="00522BF3"/>
    <w:rsid w:val="005239C7"/>
    <w:rsid w:val="00523AEE"/>
    <w:rsid w:val="00523FD2"/>
    <w:rsid w:val="005248FC"/>
    <w:rsid w:val="00524D32"/>
    <w:rsid w:val="00524E8F"/>
    <w:rsid w:val="00524EDD"/>
    <w:rsid w:val="00525512"/>
    <w:rsid w:val="005264B3"/>
    <w:rsid w:val="0052670D"/>
    <w:rsid w:val="00526C86"/>
    <w:rsid w:val="00526D08"/>
    <w:rsid w:val="00527DEE"/>
    <w:rsid w:val="00530377"/>
    <w:rsid w:val="00530E50"/>
    <w:rsid w:val="00532981"/>
    <w:rsid w:val="00532C00"/>
    <w:rsid w:val="00532FCE"/>
    <w:rsid w:val="005337A3"/>
    <w:rsid w:val="00534835"/>
    <w:rsid w:val="00534B74"/>
    <w:rsid w:val="00535258"/>
    <w:rsid w:val="00535409"/>
    <w:rsid w:val="00535AB0"/>
    <w:rsid w:val="00535B05"/>
    <w:rsid w:val="00535DA4"/>
    <w:rsid w:val="00537638"/>
    <w:rsid w:val="005377B6"/>
    <w:rsid w:val="005379D3"/>
    <w:rsid w:val="00537A95"/>
    <w:rsid w:val="00537D38"/>
    <w:rsid w:val="00537E0F"/>
    <w:rsid w:val="00537E74"/>
    <w:rsid w:val="0054012C"/>
    <w:rsid w:val="0054069C"/>
    <w:rsid w:val="005418D1"/>
    <w:rsid w:val="005419C0"/>
    <w:rsid w:val="00542459"/>
    <w:rsid w:val="00542F57"/>
    <w:rsid w:val="005431E9"/>
    <w:rsid w:val="005442ED"/>
    <w:rsid w:val="005449D1"/>
    <w:rsid w:val="005451D9"/>
    <w:rsid w:val="00545B10"/>
    <w:rsid w:val="00545B98"/>
    <w:rsid w:val="005460A3"/>
    <w:rsid w:val="00546427"/>
    <w:rsid w:val="00546EB1"/>
    <w:rsid w:val="00547226"/>
    <w:rsid w:val="00547651"/>
    <w:rsid w:val="00550312"/>
    <w:rsid w:val="005504FB"/>
    <w:rsid w:val="005505D6"/>
    <w:rsid w:val="00550B9F"/>
    <w:rsid w:val="00550D72"/>
    <w:rsid w:val="00551108"/>
    <w:rsid w:val="00551BBB"/>
    <w:rsid w:val="00552552"/>
    <w:rsid w:val="00552AE0"/>
    <w:rsid w:val="00552B94"/>
    <w:rsid w:val="00553567"/>
    <w:rsid w:val="00553593"/>
    <w:rsid w:val="00553AC8"/>
    <w:rsid w:val="00553BA6"/>
    <w:rsid w:val="00553DA7"/>
    <w:rsid w:val="005548F6"/>
    <w:rsid w:val="00554D13"/>
    <w:rsid w:val="00554E86"/>
    <w:rsid w:val="005551B1"/>
    <w:rsid w:val="00555211"/>
    <w:rsid w:val="00555D71"/>
    <w:rsid w:val="00555E8E"/>
    <w:rsid w:val="00555F74"/>
    <w:rsid w:val="00555FB4"/>
    <w:rsid w:val="005562EE"/>
    <w:rsid w:val="00556379"/>
    <w:rsid w:val="0055649A"/>
    <w:rsid w:val="00556635"/>
    <w:rsid w:val="005569E2"/>
    <w:rsid w:val="00557457"/>
    <w:rsid w:val="005577EF"/>
    <w:rsid w:val="00557F77"/>
    <w:rsid w:val="0056049E"/>
    <w:rsid w:val="00560904"/>
    <w:rsid w:val="0056107A"/>
    <w:rsid w:val="00561556"/>
    <w:rsid w:val="00561563"/>
    <w:rsid w:val="00561594"/>
    <w:rsid w:val="00561A7A"/>
    <w:rsid w:val="00561D9A"/>
    <w:rsid w:val="005620D6"/>
    <w:rsid w:val="00562344"/>
    <w:rsid w:val="00562629"/>
    <w:rsid w:val="00562A41"/>
    <w:rsid w:val="00562A57"/>
    <w:rsid w:val="0056322F"/>
    <w:rsid w:val="00563D26"/>
    <w:rsid w:val="00563EEC"/>
    <w:rsid w:val="0056474C"/>
    <w:rsid w:val="005648C7"/>
    <w:rsid w:val="00565208"/>
    <w:rsid w:val="005656D5"/>
    <w:rsid w:val="00565AE4"/>
    <w:rsid w:val="005660B0"/>
    <w:rsid w:val="00566189"/>
    <w:rsid w:val="005661D3"/>
    <w:rsid w:val="00566BB1"/>
    <w:rsid w:val="00566C9F"/>
    <w:rsid w:val="00570C87"/>
    <w:rsid w:val="0057144E"/>
    <w:rsid w:val="00571988"/>
    <w:rsid w:val="00571DF0"/>
    <w:rsid w:val="00572C77"/>
    <w:rsid w:val="00573232"/>
    <w:rsid w:val="00573AE1"/>
    <w:rsid w:val="00573AF4"/>
    <w:rsid w:val="00573CFD"/>
    <w:rsid w:val="005752C7"/>
    <w:rsid w:val="00575510"/>
    <w:rsid w:val="005773BD"/>
    <w:rsid w:val="00577B38"/>
    <w:rsid w:val="00580288"/>
    <w:rsid w:val="00580F76"/>
    <w:rsid w:val="0058175C"/>
    <w:rsid w:val="00582214"/>
    <w:rsid w:val="0058235D"/>
    <w:rsid w:val="005834FD"/>
    <w:rsid w:val="00583546"/>
    <w:rsid w:val="00583A93"/>
    <w:rsid w:val="00583F35"/>
    <w:rsid w:val="005845D1"/>
    <w:rsid w:val="0058580E"/>
    <w:rsid w:val="00585C83"/>
    <w:rsid w:val="0058674B"/>
    <w:rsid w:val="005867B1"/>
    <w:rsid w:val="00587D2C"/>
    <w:rsid w:val="00587D50"/>
    <w:rsid w:val="00587F9D"/>
    <w:rsid w:val="0059000E"/>
    <w:rsid w:val="00590B83"/>
    <w:rsid w:val="00590D37"/>
    <w:rsid w:val="00590DA4"/>
    <w:rsid w:val="00590E25"/>
    <w:rsid w:val="005914A6"/>
    <w:rsid w:val="0059172A"/>
    <w:rsid w:val="00591A30"/>
    <w:rsid w:val="00592447"/>
    <w:rsid w:val="005932D3"/>
    <w:rsid w:val="00593E0A"/>
    <w:rsid w:val="00594544"/>
    <w:rsid w:val="00594739"/>
    <w:rsid w:val="00594968"/>
    <w:rsid w:val="00595601"/>
    <w:rsid w:val="0059593D"/>
    <w:rsid w:val="00596277"/>
    <w:rsid w:val="0059645E"/>
    <w:rsid w:val="005965BA"/>
    <w:rsid w:val="00596DC6"/>
    <w:rsid w:val="00596E8A"/>
    <w:rsid w:val="00596FBE"/>
    <w:rsid w:val="00597207"/>
    <w:rsid w:val="005973BE"/>
    <w:rsid w:val="005A0394"/>
    <w:rsid w:val="005A0831"/>
    <w:rsid w:val="005A0B1A"/>
    <w:rsid w:val="005A143A"/>
    <w:rsid w:val="005A1A09"/>
    <w:rsid w:val="005A1B5B"/>
    <w:rsid w:val="005A1CDC"/>
    <w:rsid w:val="005A1FE4"/>
    <w:rsid w:val="005A21E6"/>
    <w:rsid w:val="005A26D0"/>
    <w:rsid w:val="005A28C4"/>
    <w:rsid w:val="005A32CD"/>
    <w:rsid w:val="005A3E5C"/>
    <w:rsid w:val="005A4006"/>
    <w:rsid w:val="005A4A3F"/>
    <w:rsid w:val="005A4EF3"/>
    <w:rsid w:val="005A5264"/>
    <w:rsid w:val="005A565C"/>
    <w:rsid w:val="005A6139"/>
    <w:rsid w:val="005A6B3E"/>
    <w:rsid w:val="005A7419"/>
    <w:rsid w:val="005A781A"/>
    <w:rsid w:val="005A7A84"/>
    <w:rsid w:val="005B0012"/>
    <w:rsid w:val="005B097A"/>
    <w:rsid w:val="005B0A2C"/>
    <w:rsid w:val="005B0EA6"/>
    <w:rsid w:val="005B10C9"/>
    <w:rsid w:val="005B12C9"/>
    <w:rsid w:val="005B1536"/>
    <w:rsid w:val="005B16D7"/>
    <w:rsid w:val="005B18A0"/>
    <w:rsid w:val="005B2EA5"/>
    <w:rsid w:val="005B4645"/>
    <w:rsid w:val="005B4785"/>
    <w:rsid w:val="005B4D08"/>
    <w:rsid w:val="005B4F92"/>
    <w:rsid w:val="005B549E"/>
    <w:rsid w:val="005B5F7B"/>
    <w:rsid w:val="005B698A"/>
    <w:rsid w:val="005B6C97"/>
    <w:rsid w:val="005B6E65"/>
    <w:rsid w:val="005B6F82"/>
    <w:rsid w:val="005B71FC"/>
    <w:rsid w:val="005B73C2"/>
    <w:rsid w:val="005B74A4"/>
    <w:rsid w:val="005B78D8"/>
    <w:rsid w:val="005C00F4"/>
    <w:rsid w:val="005C03DD"/>
    <w:rsid w:val="005C0477"/>
    <w:rsid w:val="005C04B6"/>
    <w:rsid w:val="005C0968"/>
    <w:rsid w:val="005C1563"/>
    <w:rsid w:val="005C1671"/>
    <w:rsid w:val="005C1830"/>
    <w:rsid w:val="005C1CAB"/>
    <w:rsid w:val="005C2035"/>
    <w:rsid w:val="005C2F90"/>
    <w:rsid w:val="005C3553"/>
    <w:rsid w:val="005C3945"/>
    <w:rsid w:val="005C3BE5"/>
    <w:rsid w:val="005C3CC6"/>
    <w:rsid w:val="005C3D43"/>
    <w:rsid w:val="005C3F66"/>
    <w:rsid w:val="005C407F"/>
    <w:rsid w:val="005C40CF"/>
    <w:rsid w:val="005C442D"/>
    <w:rsid w:val="005C4717"/>
    <w:rsid w:val="005C471A"/>
    <w:rsid w:val="005C4A2C"/>
    <w:rsid w:val="005C574B"/>
    <w:rsid w:val="005C5B09"/>
    <w:rsid w:val="005C60E9"/>
    <w:rsid w:val="005C6450"/>
    <w:rsid w:val="005C6ABB"/>
    <w:rsid w:val="005C736D"/>
    <w:rsid w:val="005C7783"/>
    <w:rsid w:val="005D008E"/>
    <w:rsid w:val="005D018B"/>
    <w:rsid w:val="005D0CBA"/>
    <w:rsid w:val="005D1D70"/>
    <w:rsid w:val="005D36EF"/>
    <w:rsid w:val="005D3A4A"/>
    <w:rsid w:val="005D4329"/>
    <w:rsid w:val="005D4637"/>
    <w:rsid w:val="005D46EE"/>
    <w:rsid w:val="005D516C"/>
    <w:rsid w:val="005D604C"/>
    <w:rsid w:val="005D65B6"/>
    <w:rsid w:val="005D65FA"/>
    <w:rsid w:val="005D66EA"/>
    <w:rsid w:val="005D685A"/>
    <w:rsid w:val="005D7821"/>
    <w:rsid w:val="005D7E85"/>
    <w:rsid w:val="005E049D"/>
    <w:rsid w:val="005E145A"/>
    <w:rsid w:val="005E1823"/>
    <w:rsid w:val="005E1C27"/>
    <w:rsid w:val="005E27BD"/>
    <w:rsid w:val="005E296F"/>
    <w:rsid w:val="005E3268"/>
    <w:rsid w:val="005E41AE"/>
    <w:rsid w:val="005E424E"/>
    <w:rsid w:val="005E49D1"/>
    <w:rsid w:val="005E506E"/>
    <w:rsid w:val="005E5310"/>
    <w:rsid w:val="005E5BFB"/>
    <w:rsid w:val="005E62F0"/>
    <w:rsid w:val="005E6F33"/>
    <w:rsid w:val="005E70BA"/>
    <w:rsid w:val="005E76E2"/>
    <w:rsid w:val="005E774E"/>
    <w:rsid w:val="005E7A64"/>
    <w:rsid w:val="005F0542"/>
    <w:rsid w:val="005F0E4D"/>
    <w:rsid w:val="005F1F62"/>
    <w:rsid w:val="005F214B"/>
    <w:rsid w:val="005F26FC"/>
    <w:rsid w:val="005F2C24"/>
    <w:rsid w:val="005F2D88"/>
    <w:rsid w:val="005F3241"/>
    <w:rsid w:val="005F3642"/>
    <w:rsid w:val="005F3A6A"/>
    <w:rsid w:val="005F3ECB"/>
    <w:rsid w:val="005F500C"/>
    <w:rsid w:val="005F5604"/>
    <w:rsid w:val="005F5BCA"/>
    <w:rsid w:val="005F68CF"/>
    <w:rsid w:val="00600A4C"/>
    <w:rsid w:val="00600CF5"/>
    <w:rsid w:val="0060148C"/>
    <w:rsid w:val="006017F6"/>
    <w:rsid w:val="00601B90"/>
    <w:rsid w:val="00602B72"/>
    <w:rsid w:val="00603079"/>
    <w:rsid w:val="006032C4"/>
    <w:rsid w:val="00603937"/>
    <w:rsid w:val="00604D26"/>
    <w:rsid w:val="0060517E"/>
    <w:rsid w:val="0060566E"/>
    <w:rsid w:val="00605AEA"/>
    <w:rsid w:val="00606214"/>
    <w:rsid w:val="00607830"/>
    <w:rsid w:val="00607880"/>
    <w:rsid w:val="0060788A"/>
    <w:rsid w:val="00607A7F"/>
    <w:rsid w:val="00607EFD"/>
    <w:rsid w:val="006106CA"/>
    <w:rsid w:val="00610A22"/>
    <w:rsid w:val="006111BA"/>
    <w:rsid w:val="00611493"/>
    <w:rsid w:val="00611FB4"/>
    <w:rsid w:val="00612809"/>
    <w:rsid w:val="0061286A"/>
    <w:rsid w:val="00612EF4"/>
    <w:rsid w:val="00613D67"/>
    <w:rsid w:val="00613FC8"/>
    <w:rsid w:val="006149E7"/>
    <w:rsid w:val="00614ABD"/>
    <w:rsid w:val="00614E2F"/>
    <w:rsid w:val="006151B0"/>
    <w:rsid w:val="0061536F"/>
    <w:rsid w:val="006156DD"/>
    <w:rsid w:val="006165C8"/>
    <w:rsid w:val="00616641"/>
    <w:rsid w:val="0061792C"/>
    <w:rsid w:val="00617A58"/>
    <w:rsid w:val="00617A61"/>
    <w:rsid w:val="00617A88"/>
    <w:rsid w:val="0062043A"/>
    <w:rsid w:val="00620B95"/>
    <w:rsid w:val="006227C0"/>
    <w:rsid w:val="006229C4"/>
    <w:rsid w:val="00622B98"/>
    <w:rsid w:val="006237A0"/>
    <w:rsid w:val="00623816"/>
    <w:rsid w:val="00623A49"/>
    <w:rsid w:val="00623C07"/>
    <w:rsid w:val="00623DCF"/>
    <w:rsid w:val="00623E7E"/>
    <w:rsid w:val="006247E5"/>
    <w:rsid w:val="00624E8A"/>
    <w:rsid w:val="00624EAA"/>
    <w:rsid w:val="00624F07"/>
    <w:rsid w:val="00625C24"/>
    <w:rsid w:val="00626644"/>
    <w:rsid w:val="006266AE"/>
    <w:rsid w:val="0062695D"/>
    <w:rsid w:val="00626ABC"/>
    <w:rsid w:val="00626BAE"/>
    <w:rsid w:val="0062733F"/>
    <w:rsid w:val="00627355"/>
    <w:rsid w:val="00627575"/>
    <w:rsid w:val="006277B0"/>
    <w:rsid w:val="00627BF9"/>
    <w:rsid w:val="006301B1"/>
    <w:rsid w:val="00630219"/>
    <w:rsid w:val="0063067E"/>
    <w:rsid w:val="0063089C"/>
    <w:rsid w:val="00630D22"/>
    <w:rsid w:val="00631298"/>
    <w:rsid w:val="006313E7"/>
    <w:rsid w:val="006317EB"/>
    <w:rsid w:val="00631A78"/>
    <w:rsid w:val="00631AA0"/>
    <w:rsid w:val="006324E0"/>
    <w:rsid w:val="00632644"/>
    <w:rsid w:val="006326BE"/>
    <w:rsid w:val="00632718"/>
    <w:rsid w:val="006330F4"/>
    <w:rsid w:val="0063310D"/>
    <w:rsid w:val="00633755"/>
    <w:rsid w:val="00633AFD"/>
    <w:rsid w:val="00634259"/>
    <w:rsid w:val="006354CE"/>
    <w:rsid w:val="00636DEA"/>
    <w:rsid w:val="00636F72"/>
    <w:rsid w:val="00637830"/>
    <w:rsid w:val="0063790B"/>
    <w:rsid w:val="00637C8D"/>
    <w:rsid w:val="00637E0A"/>
    <w:rsid w:val="00637E9B"/>
    <w:rsid w:val="00640B95"/>
    <w:rsid w:val="00640D34"/>
    <w:rsid w:val="0064100B"/>
    <w:rsid w:val="00642299"/>
    <w:rsid w:val="006429B2"/>
    <w:rsid w:val="00642CF6"/>
    <w:rsid w:val="00642D69"/>
    <w:rsid w:val="00644497"/>
    <w:rsid w:val="006444FD"/>
    <w:rsid w:val="006445E7"/>
    <w:rsid w:val="00644796"/>
    <w:rsid w:val="006449C8"/>
    <w:rsid w:val="00644CCD"/>
    <w:rsid w:val="00644FD6"/>
    <w:rsid w:val="0064511D"/>
    <w:rsid w:val="006453F8"/>
    <w:rsid w:val="006458B3"/>
    <w:rsid w:val="006458D0"/>
    <w:rsid w:val="00645CA7"/>
    <w:rsid w:val="00645CB4"/>
    <w:rsid w:val="0064685B"/>
    <w:rsid w:val="006478AD"/>
    <w:rsid w:val="00647938"/>
    <w:rsid w:val="006504BD"/>
    <w:rsid w:val="00650763"/>
    <w:rsid w:val="00650BA3"/>
    <w:rsid w:val="006514A5"/>
    <w:rsid w:val="0065170F"/>
    <w:rsid w:val="00651BD0"/>
    <w:rsid w:val="00651C2D"/>
    <w:rsid w:val="00651CF3"/>
    <w:rsid w:val="00651EAC"/>
    <w:rsid w:val="00651EDC"/>
    <w:rsid w:val="00652083"/>
    <w:rsid w:val="00652523"/>
    <w:rsid w:val="00652620"/>
    <w:rsid w:val="00652813"/>
    <w:rsid w:val="0065304E"/>
    <w:rsid w:val="006530CC"/>
    <w:rsid w:val="006538A9"/>
    <w:rsid w:val="00654DCD"/>
    <w:rsid w:val="00654F17"/>
    <w:rsid w:val="00655120"/>
    <w:rsid w:val="006551C0"/>
    <w:rsid w:val="00657F46"/>
    <w:rsid w:val="00661A39"/>
    <w:rsid w:val="006624F0"/>
    <w:rsid w:val="00662A1A"/>
    <w:rsid w:val="0066310A"/>
    <w:rsid w:val="006635D7"/>
    <w:rsid w:val="00663CED"/>
    <w:rsid w:val="00665238"/>
    <w:rsid w:val="00665AEB"/>
    <w:rsid w:val="00665B5C"/>
    <w:rsid w:val="00667253"/>
    <w:rsid w:val="006677D0"/>
    <w:rsid w:val="0066793F"/>
    <w:rsid w:val="00667B29"/>
    <w:rsid w:val="00667C14"/>
    <w:rsid w:val="00667D20"/>
    <w:rsid w:val="00670106"/>
    <w:rsid w:val="006708DF"/>
    <w:rsid w:val="00670B51"/>
    <w:rsid w:val="00670BB3"/>
    <w:rsid w:val="00670DD8"/>
    <w:rsid w:val="00671A17"/>
    <w:rsid w:val="00671F0D"/>
    <w:rsid w:val="00672286"/>
    <w:rsid w:val="006725D2"/>
    <w:rsid w:val="00673348"/>
    <w:rsid w:val="0067357A"/>
    <w:rsid w:val="00673BDA"/>
    <w:rsid w:val="00673F3B"/>
    <w:rsid w:val="006746E6"/>
    <w:rsid w:val="00675EB3"/>
    <w:rsid w:val="0067639A"/>
    <w:rsid w:val="0067656F"/>
    <w:rsid w:val="006769AE"/>
    <w:rsid w:val="00676D7C"/>
    <w:rsid w:val="00676E1E"/>
    <w:rsid w:val="0067721D"/>
    <w:rsid w:val="00677390"/>
    <w:rsid w:val="00677CEC"/>
    <w:rsid w:val="00677D8B"/>
    <w:rsid w:val="006800D7"/>
    <w:rsid w:val="0068038B"/>
    <w:rsid w:val="00680BE0"/>
    <w:rsid w:val="00681A2B"/>
    <w:rsid w:val="0068201D"/>
    <w:rsid w:val="00682207"/>
    <w:rsid w:val="006827E5"/>
    <w:rsid w:val="00683008"/>
    <w:rsid w:val="00683183"/>
    <w:rsid w:val="00683580"/>
    <w:rsid w:val="006837EB"/>
    <w:rsid w:val="00683A8D"/>
    <w:rsid w:val="00683AE0"/>
    <w:rsid w:val="006841D0"/>
    <w:rsid w:val="00684464"/>
    <w:rsid w:val="00684B73"/>
    <w:rsid w:val="0068530D"/>
    <w:rsid w:val="00685FFC"/>
    <w:rsid w:val="00686327"/>
    <w:rsid w:val="00686D15"/>
    <w:rsid w:val="00686DD6"/>
    <w:rsid w:val="0068702E"/>
    <w:rsid w:val="006873DA"/>
    <w:rsid w:val="00687D9B"/>
    <w:rsid w:val="00690E13"/>
    <w:rsid w:val="00690E7C"/>
    <w:rsid w:val="006911EB"/>
    <w:rsid w:val="00691466"/>
    <w:rsid w:val="00691496"/>
    <w:rsid w:val="0069150F"/>
    <w:rsid w:val="00691672"/>
    <w:rsid w:val="00692C7A"/>
    <w:rsid w:val="006935F4"/>
    <w:rsid w:val="0069410C"/>
    <w:rsid w:val="00694293"/>
    <w:rsid w:val="006944A1"/>
    <w:rsid w:val="00694A56"/>
    <w:rsid w:val="006950AC"/>
    <w:rsid w:val="0069573C"/>
    <w:rsid w:val="00696039"/>
    <w:rsid w:val="00696134"/>
    <w:rsid w:val="006961D4"/>
    <w:rsid w:val="00696247"/>
    <w:rsid w:val="006963AA"/>
    <w:rsid w:val="00696455"/>
    <w:rsid w:val="006967B4"/>
    <w:rsid w:val="00696AEE"/>
    <w:rsid w:val="00696D7B"/>
    <w:rsid w:val="00697447"/>
    <w:rsid w:val="0069778E"/>
    <w:rsid w:val="006A01FF"/>
    <w:rsid w:val="006A04FC"/>
    <w:rsid w:val="006A058E"/>
    <w:rsid w:val="006A0742"/>
    <w:rsid w:val="006A078E"/>
    <w:rsid w:val="006A07D6"/>
    <w:rsid w:val="006A0F69"/>
    <w:rsid w:val="006A113C"/>
    <w:rsid w:val="006A1150"/>
    <w:rsid w:val="006A13E7"/>
    <w:rsid w:val="006A1512"/>
    <w:rsid w:val="006A1797"/>
    <w:rsid w:val="006A1D2A"/>
    <w:rsid w:val="006A1E12"/>
    <w:rsid w:val="006A1F62"/>
    <w:rsid w:val="006A24F2"/>
    <w:rsid w:val="006A33F0"/>
    <w:rsid w:val="006A34E9"/>
    <w:rsid w:val="006A35FB"/>
    <w:rsid w:val="006A37F2"/>
    <w:rsid w:val="006A3F57"/>
    <w:rsid w:val="006A3F75"/>
    <w:rsid w:val="006A4048"/>
    <w:rsid w:val="006A4A04"/>
    <w:rsid w:val="006A4A0B"/>
    <w:rsid w:val="006A4F4E"/>
    <w:rsid w:val="006A512F"/>
    <w:rsid w:val="006A5259"/>
    <w:rsid w:val="006A538B"/>
    <w:rsid w:val="006A5CC3"/>
    <w:rsid w:val="006A64A2"/>
    <w:rsid w:val="006A6521"/>
    <w:rsid w:val="006A684E"/>
    <w:rsid w:val="006A69E8"/>
    <w:rsid w:val="006A6D38"/>
    <w:rsid w:val="006A6FD3"/>
    <w:rsid w:val="006A7462"/>
    <w:rsid w:val="006A7995"/>
    <w:rsid w:val="006A79F3"/>
    <w:rsid w:val="006B0996"/>
    <w:rsid w:val="006B13CB"/>
    <w:rsid w:val="006B24C3"/>
    <w:rsid w:val="006B25D0"/>
    <w:rsid w:val="006B3675"/>
    <w:rsid w:val="006B3BBA"/>
    <w:rsid w:val="006B3E0C"/>
    <w:rsid w:val="006B5367"/>
    <w:rsid w:val="006B5C30"/>
    <w:rsid w:val="006B648A"/>
    <w:rsid w:val="006B6D0D"/>
    <w:rsid w:val="006B75A4"/>
    <w:rsid w:val="006B7680"/>
    <w:rsid w:val="006B7C17"/>
    <w:rsid w:val="006B7FD1"/>
    <w:rsid w:val="006C01FE"/>
    <w:rsid w:val="006C0BEF"/>
    <w:rsid w:val="006C1E1B"/>
    <w:rsid w:val="006C1FBA"/>
    <w:rsid w:val="006C2119"/>
    <w:rsid w:val="006C2CC8"/>
    <w:rsid w:val="006C2FB3"/>
    <w:rsid w:val="006C4077"/>
    <w:rsid w:val="006C4859"/>
    <w:rsid w:val="006C4CA5"/>
    <w:rsid w:val="006C5760"/>
    <w:rsid w:val="006C63F1"/>
    <w:rsid w:val="006C643D"/>
    <w:rsid w:val="006C64F0"/>
    <w:rsid w:val="006C6894"/>
    <w:rsid w:val="006C7344"/>
    <w:rsid w:val="006C7B57"/>
    <w:rsid w:val="006D0054"/>
    <w:rsid w:val="006D0768"/>
    <w:rsid w:val="006D0CAB"/>
    <w:rsid w:val="006D1C3B"/>
    <w:rsid w:val="006D47F2"/>
    <w:rsid w:val="006D4975"/>
    <w:rsid w:val="006D4A45"/>
    <w:rsid w:val="006D538F"/>
    <w:rsid w:val="006D591F"/>
    <w:rsid w:val="006D5AC6"/>
    <w:rsid w:val="006D5D79"/>
    <w:rsid w:val="006D5D89"/>
    <w:rsid w:val="006D713C"/>
    <w:rsid w:val="006D7512"/>
    <w:rsid w:val="006D77DE"/>
    <w:rsid w:val="006E01B1"/>
    <w:rsid w:val="006E099B"/>
    <w:rsid w:val="006E0CF0"/>
    <w:rsid w:val="006E180E"/>
    <w:rsid w:val="006E1B16"/>
    <w:rsid w:val="006E2464"/>
    <w:rsid w:val="006E2705"/>
    <w:rsid w:val="006E27E9"/>
    <w:rsid w:val="006E2F27"/>
    <w:rsid w:val="006E3127"/>
    <w:rsid w:val="006E37BC"/>
    <w:rsid w:val="006E3898"/>
    <w:rsid w:val="006E3ACD"/>
    <w:rsid w:val="006E3EA4"/>
    <w:rsid w:val="006E3FF7"/>
    <w:rsid w:val="006E4782"/>
    <w:rsid w:val="006E4B78"/>
    <w:rsid w:val="006E4D43"/>
    <w:rsid w:val="006E5181"/>
    <w:rsid w:val="006E52C7"/>
    <w:rsid w:val="006E53DC"/>
    <w:rsid w:val="006E5CEB"/>
    <w:rsid w:val="006E65DD"/>
    <w:rsid w:val="006E6E0C"/>
    <w:rsid w:val="006E7A61"/>
    <w:rsid w:val="006E7D08"/>
    <w:rsid w:val="006E7E8B"/>
    <w:rsid w:val="006F02F8"/>
    <w:rsid w:val="006F175A"/>
    <w:rsid w:val="006F1788"/>
    <w:rsid w:val="006F1A7D"/>
    <w:rsid w:val="006F2BF1"/>
    <w:rsid w:val="006F2D28"/>
    <w:rsid w:val="006F2F4D"/>
    <w:rsid w:val="006F38AA"/>
    <w:rsid w:val="006F3EC3"/>
    <w:rsid w:val="006F3F76"/>
    <w:rsid w:val="006F469F"/>
    <w:rsid w:val="006F4783"/>
    <w:rsid w:val="006F4C3C"/>
    <w:rsid w:val="006F4D0C"/>
    <w:rsid w:val="006F4DA1"/>
    <w:rsid w:val="006F56CA"/>
    <w:rsid w:val="006F5D95"/>
    <w:rsid w:val="006F6112"/>
    <w:rsid w:val="006F6136"/>
    <w:rsid w:val="006F6342"/>
    <w:rsid w:val="006F64D3"/>
    <w:rsid w:val="006F6809"/>
    <w:rsid w:val="006F6DFB"/>
    <w:rsid w:val="006F74C9"/>
    <w:rsid w:val="007000A1"/>
    <w:rsid w:val="00700128"/>
    <w:rsid w:val="00700143"/>
    <w:rsid w:val="007001AC"/>
    <w:rsid w:val="007009B9"/>
    <w:rsid w:val="00700F90"/>
    <w:rsid w:val="007018AB"/>
    <w:rsid w:val="00702225"/>
    <w:rsid w:val="00702DBC"/>
    <w:rsid w:val="00702DDB"/>
    <w:rsid w:val="00703016"/>
    <w:rsid w:val="007031B4"/>
    <w:rsid w:val="00703451"/>
    <w:rsid w:val="00703804"/>
    <w:rsid w:val="007039F3"/>
    <w:rsid w:val="00703E3E"/>
    <w:rsid w:val="00703E8E"/>
    <w:rsid w:val="00703E95"/>
    <w:rsid w:val="00704221"/>
    <w:rsid w:val="007050F2"/>
    <w:rsid w:val="00705ED9"/>
    <w:rsid w:val="00705F4E"/>
    <w:rsid w:val="0070612F"/>
    <w:rsid w:val="00706156"/>
    <w:rsid w:val="007061B3"/>
    <w:rsid w:val="00706721"/>
    <w:rsid w:val="00706933"/>
    <w:rsid w:val="00706B8F"/>
    <w:rsid w:val="00706EFE"/>
    <w:rsid w:val="007079BB"/>
    <w:rsid w:val="00707ABA"/>
    <w:rsid w:val="00711292"/>
    <w:rsid w:val="00711400"/>
    <w:rsid w:val="007115AB"/>
    <w:rsid w:val="00711760"/>
    <w:rsid w:val="0071186E"/>
    <w:rsid w:val="00712000"/>
    <w:rsid w:val="00712361"/>
    <w:rsid w:val="00712505"/>
    <w:rsid w:val="00712649"/>
    <w:rsid w:val="00712EDD"/>
    <w:rsid w:val="007133E7"/>
    <w:rsid w:val="007137B1"/>
    <w:rsid w:val="00713AFD"/>
    <w:rsid w:val="00714664"/>
    <w:rsid w:val="007147D2"/>
    <w:rsid w:val="007149BC"/>
    <w:rsid w:val="00714F6A"/>
    <w:rsid w:val="007158E5"/>
    <w:rsid w:val="00715D39"/>
    <w:rsid w:val="00715E1D"/>
    <w:rsid w:val="00716053"/>
    <w:rsid w:val="00717B5D"/>
    <w:rsid w:val="00717C21"/>
    <w:rsid w:val="00717CB9"/>
    <w:rsid w:val="00717D16"/>
    <w:rsid w:val="00717D8B"/>
    <w:rsid w:val="00720446"/>
    <w:rsid w:val="0072052A"/>
    <w:rsid w:val="00720AC9"/>
    <w:rsid w:val="00720E27"/>
    <w:rsid w:val="007211B7"/>
    <w:rsid w:val="007211C4"/>
    <w:rsid w:val="00722832"/>
    <w:rsid w:val="00722BF2"/>
    <w:rsid w:val="00723530"/>
    <w:rsid w:val="00723D6C"/>
    <w:rsid w:val="00724152"/>
    <w:rsid w:val="0072416C"/>
    <w:rsid w:val="0072423C"/>
    <w:rsid w:val="00725341"/>
    <w:rsid w:val="00725A07"/>
    <w:rsid w:val="0072644B"/>
    <w:rsid w:val="00726E26"/>
    <w:rsid w:val="00726FE0"/>
    <w:rsid w:val="007304EF"/>
    <w:rsid w:val="00730C01"/>
    <w:rsid w:val="00730DB7"/>
    <w:rsid w:val="00730E8E"/>
    <w:rsid w:val="0073105E"/>
    <w:rsid w:val="007313CF"/>
    <w:rsid w:val="00731A7D"/>
    <w:rsid w:val="00731ACE"/>
    <w:rsid w:val="00732498"/>
    <w:rsid w:val="00732690"/>
    <w:rsid w:val="00733125"/>
    <w:rsid w:val="007338A6"/>
    <w:rsid w:val="00733BEE"/>
    <w:rsid w:val="007341A4"/>
    <w:rsid w:val="0073504B"/>
    <w:rsid w:val="007354FE"/>
    <w:rsid w:val="0073622E"/>
    <w:rsid w:val="0073638C"/>
    <w:rsid w:val="00736417"/>
    <w:rsid w:val="007366F7"/>
    <w:rsid w:val="007367C5"/>
    <w:rsid w:val="00736A37"/>
    <w:rsid w:val="0073744A"/>
    <w:rsid w:val="0074001E"/>
    <w:rsid w:val="007412A9"/>
    <w:rsid w:val="00741433"/>
    <w:rsid w:val="007414D8"/>
    <w:rsid w:val="00741E20"/>
    <w:rsid w:val="0074223A"/>
    <w:rsid w:val="0074254A"/>
    <w:rsid w:val="00742924"/>
    <w:rsid w:val="00742984"/>
    <w:rsid w:val="00742EDE"/>
    <w:rsid w:val="0074300A"/>
    <w:rsid w:val="007430CA"/>
    <w:rsid w:val="00743420"/>
    <w:rsid w:val="00743638"/>
    <w:rsid w:val="00743840"/>
    <w:rsid w:val="00744700"/>
    <w:rsid w:val="00744F54"/>
    <w:rsid w:val="007453DA"/>
    <w:rsid w:val="00745788"/>
    <w:rsid w:val="00745A2F"/>
    <w:rsid w:val="00745BD2"/>
    <w:rsid w:val="00745D68"/>
    <w:rsid w:val="00745F9A"/>
    <w:rsid w:val="00746374"/>
    <w:rsid w:val="00746710"/>
    <w:rsid w:val="007478C0"/>
    <w:rsid w:val="00747978"/>
    <w:rsid w:val="00747A36"/>
    <w:rsid w:val="00750334"/>
    <w:rsid w:val="007505EA"/>
    <w:rsid w:val="00751CDE"/>
    <w:rsid w:val="00751FE9"/>
    <w:rsid w:val="00752248"/>
    <w:rsid w:val="007524C8"/>
    <w:rsid w:val="00752DAC"/>
    <w:rsid w:val="00752FE4"/>
    <w:rsid w:val="00753159"/>
    <w:rsid w:val="0075321D"/>
    <w:rsid w:val="0075341F"/>
    <w:rsid w:val="00753CCF"/>
    <w:rsid w:val="00753E1A"/>
    <w:rsid w:val="007541B9"/>
    <w:rsid w:val="007541E7"/>
    <w:rsid w:val="00754827"/>
    <w:rsid w:val="00754A99"/>
    <w:rsid w:val="00754C28"/>
    <w:rsid w:val="00754F08"/>
    <w:rsid w:val="007560D9"/>
    <w:rsid w:val="0075682B"/>
    <w:rsid w:val="0075687E"/>
    <w:rsid w:val="007569D4"/>
    <w:rsid w:val="00756A34"/>
    <w:rsid w:val="00756AC8"/>
    <w:rsid w:val="00756D2C"/>
    <w:rsid w:val="007575F1"/>
    <w:rsid w:val="007576B1"/>
    <w:rsid w:val="00757C63"/>
    <w:rsid w:val="0076016E"/>
    <w:rsid w:val="00760316"/>
    <w:rsid w:val="0076033B"/>
    <w:rsid w:val="007603D0"/>
    <w:rsid w:val="007625CC"/>
    <w:rsid w:val="00762860"/>
    <w:rsid w:val="00762D73"/>
    <w:rsid w:val="0076309B"/>
    <w:rsid w:val="00763EC6"/>
    <w:rsid w:val="007641FA"/>
    <w:rsid w:val="007648AD"/>
    <w:rsid w:val="00764B6F"/>
    <w:rsid w:val="00764CC4"/>
    <w:rsid w:val="0076505F"/>
    <w:rsid w:val="00765D6F"/>
    <w:rsid w:val="00765FA8"/>
    <w:rsid w:val="0076613C"/>
    <w:rsid w:val="00766EA6"/>
    <w:rsid w:val="007674D5"/>
    <w:rsid w:val="00767A05"/>
    <w:rsid w:val="00767B33"/>
    <w:rsid w:val="00767CAE"/>
    <w:rsid w:val="00767D96"/>
    <w:rsid w:val="00770548"/>
    <w:rsid w:val="007709FB"/>
    <w:rsid w:val="00770AD3"/>
    <w:rsid w:val="00770DD8"/>
    <w:rsid w:val="007717B8"/>
    <w:rsid w:val="00772159"/>
    <w:rsid w:val="007725A8"/>
    <w:rsid w:val="00772EA8"/>
    <w:rsid w:val="0077301D"/>
    <w:rsid w:val="0077318A"/>
    <w:rsid w:val="00773898"/>
    <w:rsid w:val="007739F1"/>
    <w:rsid w:val="00773D36"/>
    <w:rsid w:val="00774557"/>
    <w:rsid w:val="00774BD3"/>
    <w:rsid w:val="00774C3D"/>
    <w:rsid w:val="00774DB5"/>
    <w:rsid w:val="00775108"/>
    <w:rsid w:val="00775E50"/>
    <w:rsid w:val="007765E1"/>
    <w:rsid w:val="00776AA7"/>
    <w:rsid w:val="00776F88"/>
    <w:rsid w:val="00776F9B"/>
    <w:rsid w:val="00777925"/>
    <w:rsid w:val="00777A61"/>
    <w:rsid w:val="00777BE6"/>
    <w:rsid w:val="00780461"/>
    <w:rsid w:val="00780D45"/>
    <w:rsid w:val="00780D67"/>
    <w:rsid w:val="00781E19"/>
    <w:rsid w:val="00782753"/>
    <w:rsid w:val="0078287D"/>
    <w:rsid w:val="00782B8F"/>
    <w:rsid w:val="00783167"/>
    <w:rsid w:val="0078362C"/>
    <w:rsid w:val="00783B65"/>
    <w:rsid w:val="00784063"/>
    <w:rsid w:val="007845C2"/>
    <w:rsid w:val="007853E9"/>
    <w:rsid w:val="007854DB"/>
    <w:rsid w:val="00785505"/>
    <w:rsid w:val="007857AE"/>
    <w:rsid w:val="007857CB"/>
    <w:rsid w:val="00785D65"/>
    <w:rsid w:val="00786819"/>
    <w:rsid w:val="00786F7F"/>
    <w:rsid w:val="00786FF8"/>
    <w:rsid w:val="0078782A"/>
    <w:rsid w:val="00790238"/>
    <w:rsid w:val="007907A3"/>
    <w:rsid w:val="007907F7"/>
    <w:rsid w:val="00790BB0"/>
    <w:rsid w:val="00790DDC"/>
    <w:rsid w:val="00791175"/>
    <w:rsid w:val="00791A05"/>
    <w:rsid w:val="00792240"/>
    <w:rsid w:val="00792A67"/>
    <w:rsid w:val="007932A3"/>
    <w:rsid w:val="00793AA2"/>
    <w:rsid w:val="00793FE2"/>
    <w:rsid w:val="0079406D"/>
    <w:rsid w:val="0079461B"/>
    <w:rsid w:val="0079562F"/>
    <w:rsid w:val="00795F2F"/>
    <w:rsid w:val="00796AF0"/>
    <w:rsid w:val="0079753D"/>
    <w:rsid w:val="00797681"/>
    <w:rsid w:val="007978E5"/>
    <w:rsid w:val="00797959"/>
    <w:rsid w:val="00797989"/>
    <w:rsid w:val="00797D28"/>
    <w:rsid w:val="007A00F1"/>
    <w:rsid w:val="007A0464"/>
    <w:rsid w:val="007A17E8"/>
    <w:rsid w:val="007A1F66"/>
    <w:rsid w:val="007A25C4"/>
    <w:rsid w:val="007A2629"/>
    <w:rsid w:val="007A2C5A"/>
    <w:rsid w:val="007A3963"/>
    <w:rsid w:val="007A4371"/>
    <w:rsid w:val="007A43F2"/>
    <w:rsid w:val="007A4DD9"/>
    <w:rsid w:val="007A4E99"/>
    <w:rsid w:val="007A5680"/>
    <w:rsid w:val="007A58B8"/>
    <w:rsid w:val="007A590C"/>
    <w:rsid w:val="007A5B13"/>
    <w:rsid w:val="007A5B8E"/>
    <w:rsid w:val="007A623F"/>
    <w:rsid w:val="007A695A"/>
    <w:rsid w:val="007A69A2"/>
    <w:rsid w:val="007A6C9D"/>
    <w:rsid w:val="007A6D2E"/>
    <w:rsid w:val="007A7359"/>
    <w:rsid w:val="007A7684"/>
    <w:rsid w:val="007A7BEB"/>
    <w:rsid w:val="007B1178"/>
    <w:rsid w:val="007B20DA"/>
    <w:rsid w:val="007B2292"/>
    <w:rsid w:val="007B27C8"/>
    <w:rsid w:val="007B2AEB"/>
    <w:rsid w:val="007B3B82"/>
    <w:rsid w:val="007B5024"/>
    <w:rsid w:val="007B584A"/>
    <w:rsid w:val="007B620F"/>
    <w:rsid w:val="007B664B"/>
    <w:rsid w:val="007B6CE7"/>
    <w:rsid w:val="007B701B"/>
    <w:rsid w:val="007B732F"/>
    <w:rsid w:val="007B77B0"/>
    <w:rsid w:val="007C0384"/>
    <w:rsid w:val="007C08D1"/>
    <w:rsid w:val="007C12EB"/>
    <w:rsid w:val="007C16E0"/>
    <w:rsid w:val="007C214E"/>
    <w:rsid w:val="007C2361"/>
    <w:rsid w:val="007C256A"/>
    <w:rsid w:val="007C32B5"/>
    <w:rsid w:val="007C33BF"/>
    <w:rsid w:val="007C3670"/>
    <w:rsid w:val="007C3FB3"/>
    <w:rsid w:val="007C4CE8"/>
    <w:rsid w:val="007C53FF"/>
    <w:rsid w:val="007C546E"/>
    <w:rsid w:val="007C59FD"/>
    <w:rsid w:val="007C5DA3"/>
    <w:rsid w:val="007C6174"/>
    <w:rsid w:val="007C663E"/>
    <w:rsid w:val="007C6A0E"/>
    <w:rsid w:val="007C7C35"/>
    <w:rsid w:val="007D051A"/>
    <w:rsid w:val="007D0A5D"/>
    <w:rsid w:val="007D0DBF"/>
    <w:rsid w:val="007D0FC0"/>
    <w:rsid w:val="007D12CA"/>
    <w:rsid w:val="007D1E63"/>
    <w:rsid w:val="007D2341"/>
    <w:rsid w:val="007D23B4"/>
    <w:rsid w:val="007D2413"/>
    <w:rsid w:val="007D2441"/>
    <w:rsid w:val="007D2507"/>
    <w:rsid w:val="007D2A36"/>
    <w:rsid w:val="007D2CB6"/>
    <w:rsid w:val="007D363C"/>
    <w:rsid w:val="007D3D76"/>
    <w:rsid w:val="007D50EA"/>
    <w:rsid w:val="007D588E"/>
    <w:rsid w:val="007D5A7E"/>
    <w:rsid w:val="007D5DA7"/>
    <w:rsid w:val="007D5EE6"/>
    <w:rsid w:val="007D6398"/>
    <w:rsid w:val="007D655A"/>
    <w:rsid w:val="007D65E5"/>
    <w:rsid w:val="007D6BA0"/>
    <w:rsid w:val="007D7397"/>
    <w:rsid w:val="007D757B"/>
    <w:rsid w:val="007D77B7"/>
    <w:rsid w:val="007D785D"/>
    <w:rsid w:val="007E0180"/>
    <w:rsid w:val="007E0241"/>
    <w:rsid w:val="007E0D49"/>
    <w:rsid w:val="007E0DB2"/>
    <w:rsid w:val="007E0F9C"/>
    <w:rsid w:val="007E1085"/>
    <w:rsid w:val="007E134F"/>
    <w:rsid w:val="007E1A57"/>
    <w:rsid w:val="007E1B7E"/>
    <w:rsid w:val="007E1FCF"/>
    <w:rsid w:val="007E250C"/>
    <w:rsid w:val="007E27CB"/>
    <w:rsid w:val="007E2B42"/>
    <w:rsid w:val="007E31D7"/>
    <w:rsid w:val="007E320F"/>
    <w:rsid w:val="007E369E"/>
    <w:rsid w:val="007E3E6D"/>
    <w:rsid w:val="007E40C6"/>
    <w:rsid w:val="007E4A99"/>
    <w:rsid w:val="007E50C1"/>
    <w:rsid w:val="007E51AD"/>
    <w:rsid w:val="007E5395"/>
    <w:rsid w:val="007E5718"/>
    <w:rsid w:val="007E575E"/>
    <w:rsid w:val="007E6DC3"/>
    <w:rsid w:val="007E75C2"/>
    <w:rsid w:val="007E7C2F"/>
    <w:rsid w:val="007E7DCF"/>
    <w:rsid w:val="007F075C"/>
    <w:rsid w:val="007F0996"/>
    <w:rsid w:val="007F11EF"/>
    <w:rsid w:val="007F1675"/>
    <w:rsid w:val="007F1B38"/>
    <w:rsid w:val="007F1FCB"/>
    <w:rsid w:val="007F2351"/>
    <w:rsid w:val="007F2A2A"/>
    <w:rsid w:val="007F2CFA"/>
    <w:rsid w:val="007F3B0A"/>
    <w:rsid w:val="007F3D1D"/>
    <w:rsid w:val="007F3E0F"/>
    <w:rsid w:val="007F40E3"/>
    <w:rsid w:val="007F42AD"/>
    <w:rsid w:val="007F47EC"/>
    <w:rsid w:val="007F4D7C"/>
    <w:rsid w:val="007F5CBE"/>
    <w:rsid w:val="007F5E0B"/>
    <w:rsid w:val="007F6646"/>
    <w:rsid w:val="007F6827"/>
    <w:rsid w:val="007F6E87"/>
    <w:rsid w:val="007F7063"/>
    <w:rsid w:val="007F7A88"/>
    <w:rsid w:val="008000A3"/>
    <w:rsid w:val="00800181"/>
    <w:rsid w:val="0080024B"/>
    <w:rsid w:val="008002A3"/>
    <w:rsid w:val="008002C9"/>
    <w:rsid w:val="00800848"/>
    <w:rsid w:val="00800B98"/>
    <w:rsid w:val="00800C1A"/>
    <w:rsid w:val="008010B1"/>
    <w:rsid w:val="008011DA"/>
    <w:rsid w:val="008014D1"/>
    <w:rsid w:val="0080159F"/>
    <w:rsid w:val="00801951"/>
    <w:rsid w:val="00801B0C"/>
    <w:rsid w:val="00802A11"/>
    <w:rsid w:val="00802A28"/>
    <w:rsid w:val="00802E86"/>
    <w:rsid w:val="008034A0"/>
    <w:rsid w:val="008045B9"/>
    <w:rsid w:val="00804E69"/>
    <w:rsid w:val="0080529A"/>
    <w:rsid w:val="008055A9"/>
    <w:rsid w:val="00805ED7"/>
    <w:rsid w:val="00805F55"/>
    <w:rsid w:val="008061C9"/>
    <w:rsid w:val="008062AF"/>
    <w:rsid w:val="0080667B"/>
    <w:rsid w:val="0080679D"/>
    <w:rsid w:val="008069D7"/>
    <w:rsid w:val="008073DC"/>
    <w:rsid w:val="008074BF"/>
    <w:rsid w:val="008075D4"/>
    <w:rsid w:val="00807AF3"/>
    <w:rsid w:val="00807B82"/>
    <w:rsid w:val="00807D4B"/>
    <w:rsid w:val="00807E23"/>
    <w:rsid w:val="008101DC"/>
    <w:rsid w:val="0081224C"/>
    <w:rsid w:val="0081265C"/>
    <w:rsid w:val="008134D6"/>
    <w:rsid w:val="008140F3"/>
    <w:rsid w:val="00814262"/>
    <w:rsid w:val="008145DB"/>
    <w:rsid w:val="008149F3"/>
    <w:rsid w:val="00814BAD"/>
    <w:rsid w:val="00815074"/>
    <w:rsid w:val="00815094"/>
    <w:rsid w:val="008155F6"/>
    <w:rsid w:val="008157A9"/>
    <w:rsid w:val="00815AF1"/>
    <w:rsid w:val="0081675F"/>
    <w:rsid w:val="00817D1E"/>
    <w:rsid w:val="00817FE7"/>
    <w:rsid w:val="00820CFE"/>
    <w:rsid w:val="00820E0A"/>
    <w:rsid w:val="00820E2C"/>
    <w:rsid w:val="00820E99"/>
    <w:rsid w:val="0082164D"/>
    <w:rsid w:val="008218C2"/>
    <w:rsid w:val="00821E64"/>
    <w:rsid w:val="00821E66"/>
    <w:rsid w:val="00822B58"/>
    <w:rsid w:val="00822E69"/>
    <w:rsid w:val="00823594"/>
    <w:rsid w:val="00823956"/>
    <w:rsid w:val="00823CF2"/>
    <w:rsid w:val="00823D35"/>
    <w:rsid w:val="00823D4D"/>
    <w:rsid w:val="00824583"/>
    <w:rsid w:val="00824603"/>
    <w:rsid w:val="008246EA"/>
    <w:rsid w:val="0082539D"/>
    <w:rsid w:val="008255B2"/>
    <w:rsid w:val="008255B6"/>
    <w:rsid w:val="008261E4"/>
    <w:rsid w:val="00826843"/>
    <w:rsid w:val="00826885"/>
    <w:rsid w:val="00826957"/>
    <w:rsid w:val="00827CE9"/>
    <w:rsid w:val="00831574"/>
    <w:rsid w:val="0083193A"/>
    <w:rsid w:val="0083235F"/>
    <w:rsid w:val="00832369"/>
    <w:rsid w:val="0083317B"/>
    <w:rsid w:val="008331DB"/>
    <w:rsid w:val="008335EF"/>
    <w:rsid w:val="00833836"/>
    <w:rsid w:val="00833954"/>
    <w:rsid w:val="00833F8D"/>
    <w:rsid w:val="00834751"/>
    <w:rsid w:val="00834B14"/>
    <w:rsid w:val="00835826"/>
    <w:rsid w:val="00835D47"/>
    <w:rsid w:val="008361BE"/>
    <w:rsid w:val="00836623"/>
    <w:rsid w:val="00836895"/>
    <w:rsid w:val="00837008"/>
    <w:rsid w:val="0083764F"/>
    <w:rsid w:val="00837B11"/>
    <w:rsid w:val="00840478"/>
    <w:rsid w:val="00840504"/>
    <w:rsid w:val="00841CC9"/>
    <w:rsid w:val="00842023"/>
    <w:rsid w:val="00842403"/>
    <w:rsid w:val="008425E9"/>
    <w:rsid w:val="0084288F"/>
    <w:rsid w:val="00842C93"/>
    <w:rsid w:val="00842E29"/>
    <w:rsid w:val="0084302E"/>
    <w:rsid w:val="00843272"/>
    <w:rsid w:val="0084329D"/>
    <w:rsid w:val="008432DC"/>
    <w:rsid w:val="008437FE"/>
    <w:rsid w:val="00843CD0"/>
    <w:rsid w:val="008440CB"/>
    <w:rsid w:val="00844205"/>
    <w:rsid w:val="00844FBD"/>
    <w:rsid w:val="0084510E"/>
    <w:rsid w:val="00845237"/>
    <w:rsid w:val="00845504"/>
    <w:rsid w:val="00845771"/>
    <w:rsid w:val="00845B46"/>
    <w:rsid w:val="0084637A"/>
    <w:rsid w:val="00846941"/>
    <w:rsid w:val="00846D99"/>
    <w:rsid w:val="00846E38"/>
    <w:rsid w:val="00847522"/>
    <w:rsid w:val="00847D70"/>
    <w:rsid w:val="00847DBC"/>
    <w:rsid w:val="008507B6"/>
    <w:rsid w:val="008507EC"/>
    <w:rsid w:val="00850AC2"/>
    <w:rsid w:val="008527F0"/>
    <w:rsid w:val="00852873"/>
    <w:rsid w:val="00852B23"/>
    <w:rsid w:val="0085384E"/>
    <w:rsid w:val="0085414D"/>
    <w:rsid w:val="00854261"/>
    <w:rsid w:val="00855656"/>
    <w:rsid w:val="0085575A"/>
    <w:rsid w:val="00855BA5"/>
    <w:rsid w:val="00855E8A"/>
    <w:rsid w:val="00856580"/>
    <w:rsid w:val="00856FCF"/>
    <w:rsid w:val="008571D9"/>
    <w:rsid w:val="008576EB"/>
    <w:rsid w:val="00857762"/>
    <w:rsid w:val="00857C6E"/>
    <w:rsid w:val="00857E94"/>
    <w:rsid w:val="00861189"/>
    <w:rsid w:val="00861A3F"/>
    <w:rsid w:val="00861B42"/>
    <w:rsid w:val="00861F1B"/>
    <w:rsid w:val="00862029"/>
    <w:rsid w:val="008621C2"/>
    <w:rsid w:val="008623A1"/>
    <w:rsid w:val="008623A6"/>
    <w:rsid w:val="008628C8"/>
    <w:rsid w:val="008637A8"/>
    <w:rsid w:val="00863ACF"/>
    <w:rsid w:val="00863CCE"/>
    <w:rsid w:val="0086431D"/>
    <w:rsid w:val="00864E8D"/>
    <w:rsid w:val="00865911"/>
    <w:rsid w:val="00865AB6"/>
    <w:rsid w:val="00865DE4"/>
    <w:rsid w:val="00865FEA"/>
    <w:rsid w:val="0086681E"/>
    <w:rsid w:val="008672C3"/>
    <w:rsid w:val="0087022F"/>
    <w:rsid w:val="00870A1D"/>
    <w:rsid w:val="00870AB6"/>
    <w:rsid w:val="00871FDA"/>
    <w:rsid w:val="0087217A"/>
    <w:rsid w:val="00872206"/>
    <w:rsid w:val="008724E6"/>
    <w:rsid w:val="0087290E"/>
    <w:rsid w:val="00874705"/>
    <w:rsid w:val="00874FE5"/>
    <w:rsid w:val="0087536E"/>
    <w:rsid w:val="00875AEE"/>
    <w:rsid w:val="00875F81"/>
    <w:rsid w:val="00877116"/>
    <w:rsid w:val="0087764C"/>
    <w:rsid w:val="008778E4"/>
    <w:rsid w:val="00877FAC"/>
    <w:rsid w:val="008801D8"/>
    <w:rsid w:val="008802E7"/>
    <w:rsid w:val="008803FA"/>
    <w:rsid w:val="00880455"/>
    <w:rsid w:val="00880647"/>
    <w:rsid w:val="008806A2"/>
    <w:rsid w:val="00880829"/>
    <w:rsid w:val="0088155C"/>
    <w:rsid w:val="00881A63"/>
    <w:rsid w:val="00881BAF"/>
    <w:rsid w:val="008822A3"/>
    <w:rsid w:val="00882D0A"/>
    <w:rsid w:val="00883181"/>
    <w:rsid w:val="00883FA0"/>
    <w:rsid w:val="00885EF3"/>
    <w:rsid w:val="00885FF5"/>
    <w:rsid w:val="00887B09"/>
    <w:rsid w:val="00887D9F"/>
    <w:rsid w:val="0089115A"/>
    <w:rsid w:val="00891364"/>
    <w:rsid w:val="00891EFE"/>
    <w:rsid w:val="00892AEA"/>
    <w:rsid w:val="00893167"/>
    <w:rsid w:val="008932FB"/>
    <w:rsid w:val="00893476"/>
    <w:rsid w:val="00893AE4"/>
    <w:rsid w:val="00893BC1"/>
    <w:rsid w:val="008945B6"/>
    <w:rsid w:val="00894A71"/>
    <w:rsid w:val="00894AB7"/>
    <w:rsid w:val="00894F02"/>
    <w:rsid w:val="00895C3D"/>
    <w:rsid w:val="008961A7"/>
    <w:rsid w:val="00896387"/>
    <w:rsid w:val="00896B34"/>
    <w:rsid w:val="00897119"/>
    <w:rsid w:val="00897120"/>
    <w:rsid w:val="00897682"/>
    <w:rsid w:val="008977D9"/>
    <w:rsid w:val="0089781B"/>
    <w:rsid w:val="00897DD4"/>
    <w:rsid w:val="00897FDD"/>
    <w:rsid w:val="008A0178"/>
    <w:rsid w:val="008A06B4"/>
    <w:rsid w:val="008A0800"/>
    <w:rsid w:val="008A0825"/>
    <w:rsid w:val="008A0CA5"/>
    <w:rsid w:val="008A1346"/>
    <w:rsid w:val="008A1E1B"/>
    <w:rsid w:val="008A1E71"/>
    <w:rsid w:val="008A2265"/>
    <w:rsid w:val="008A23ED"/>
    <w:rsid w:val="008A264A"/>
    <w:rsid w:val="008A2C32"/>
    <w:rsid w:val="008A33D8"/>
    <w:rsid w:val="008A4957"/>
    <w:rsid w:val="008A527B"/>
    <w:rsid w:val="008A5899"/>
    <w:rsid w:val="008A593F"/>
    <w:rsid w:val="008A63D7"/>
    <w:rsid w:val="008A6435"/>
    <w:rsid w:val="008A64CC"/>
    <w:rsid w:val="008A6A9D"/>
    <w:rsid w:val="008A6C21"/>
    <w:rsid w:val="008A716B"/>
    <w:rsid w:val="008A7A71"/>
    <w:rsid w:val="008B19E3"/>
    <w:rsid w:val="008B22E1"/>
    <w:rsid w:val="008B259C"/>
    <w:rsid w:val="008B28C3"/>
    <w:rsid w:val="008B3402"/>
    <w:rsid w:val="008B3C78"/>
    <w:rsid w:val="008B3D0B"/>
    <w:rsid w:val="008B4122"/>
    <w:rsid w:val="008B46BD"/>
    <w:rsid w:val="008B4FBB"/>
    <w:rsid w:val="008B5DD6"/>
    <w:rsid w:val="008B69E7"/>
    <w:rsid w:val="008B6BBB"/>
    <w:rsid w:val="008B6D17"/>
    <w:rsid w:val="008B71D8"/>
    <w:rsid w:val="008B742C"/>
    <w:rsid w:val="008B758F"/>
    <w:rsid w:val="008C0C33"/>
    <w:rsid w:val="008C0CE8"/>
    <w:rsid w:val="008C1CF9"/>
    <w:rsid w:val="008C1E0B"/>
    <w:rsid w:val="008C1E68"/>
    <w:rsid w:val="008C27CC"/>
    <w:rsid w:val="008C2CB0"/>
    <w:rsid w:val="008C31AE"/>
    <w:rsid w:val="008C39A3"/>
    <w:rsid w:val="008C3C6B"/>
    <w:rsid w:val="008C3F27"/>
    <w:rsid w:val="008C405E"/>
    <w:rsid w:val="008C5012"/>
    <w:rsid w:val="008C5119"/>
    <w:rsid w:val="008C586A"/>
    <w:rsid w:val="008C58D7"/>
    <w:rsid w:val="008C6137"/>
    <w:rsid w:val="008C6A41"/>
    <w:rsid w:val="008C7485"/>
    <w:rsid w:val="008C785B"/>
    <w:rsid w:val="008C7B7D"/>
    <w:rsid w:val="008D09FB"/>
    <w:rsid w:val="008D0B5D"/>
    <w:rsid w:val="008D11AF"/>
    <w:rsid w:val="008D1525"/>
    <w:rsid w:val="008D15AE"/>
    <w:rsid w:val="008D17BE"/>
    <w:rsid w:val="008D1F12"/>
    <w:rsid w:val="008D1F48"/>
    <w:rsid w:val="008D2E5C"/>
    <w:rsid w:val="008D30CD"/>
    <w:rsid w:val="008D384B"/>
    <w:rsid w:val="008D3C8A"/>
    <w:rsid w:val="008D4289"/>
    <w:rsid w:val="008D46EE"/>
    <w:rsid w:val="008D47C8"/>
    <w:rsid w:val="008D4954"/>
    <w:rsid w:val="008D50A4"/>
    <w:rsid w:val="008D521C"/>
    <w:rsid w:val="008D5C03"/>
    <w:rsid w:val="008D6B43"/>
    <w:rsid w:val="008D7ADD"/>
    <w:rsid w:val="008D7DBE"/>
    <w:rsid w:val="008E05BA"/>
    <w:rsid w:val="008E15B1"/>
    <w:rsid w:val="008E1B01"/>
    <w:rsid w:val="008E1D42"/>
    <w:rsid w:val="008E1DED"/>
    <w:rsid w:val="008E2BA8"/>
    <w:rsid w:val="008E2CF7"/>
    <w:rsid w:val="008E36F9"/>
    <w:rsid w:val="008E37C1"/>
    <w:rsid w:val="008E37EE"/>
    <w:rsid w:val="008E3BE0"/>
    <w:rsid w:val="008E3CB1"/>
    <w:rsid w:val="008E4007"/>
    <w:rsid w:val="008E405F"/>
    <w:rsid w:val="008E43D8"/>
    <w:rsid w:val="008E4622"/>
    <w:rsid w:val="008E4777"/>
    <w:rsid w:val="008E497E"/>
    <w:rsid w:val="008E4C41"/>
    <w:rsid w:val="008E5084"/>
    <w:rsid w:val="008E5181"/>
    <w:rsid w:val="008E5417"/>
    <w:rsid w:val="008E5685"/>
    <w:rsid w:val="008E56B5"/>
    <w:rsid w:val="008E5AE3"/>
    <w:rsid w:val="008E5B4B"/>
    <w:rsid w:val="008E5F34"/>
    <w:rsid w:val="008E77E2"/>
    <w:rsid w:val="008E7A3C"/>
    <w:rsid w:val="008E7DEC"/>
    <w:rsid w:val="008F0231"/>
    <w:rsid w:val="008F0A9F"/>
    <w:rsid w:val="008F0D0E"/>
    <w:rsid w:val="008F1443"/>
    <w:rsid w:val="008F1D65"/>
    <w:rsid w:val="008F1DCB"/>
    <w:rsid w:val="008F24A4"/>
    <w:rsid w:val="008F2A24"/>
    <w:rsid w:val="008F2DCF"/>
    <w:rsid w:val="008F3463"/>
    <w:rsid w:val="008F3F73"/>
    <w:rsid w:val="008F432A"/>
    <w:rsid w:val="008F4396"/>
    <w:rsid w:val="008F4B08"/>
    <w:rsid w:val="008F51A4"/>
    <w:rsid w:val="008F51DB"/>
    <w:rsid w:val="008F53DB"/>
    <w:rsid w:val="008F5755"/>
    <w:rsid w:val="008F6A48"/>
    <w:rsid w:val="008F6F6D"/>
    <w:rsid w:val="008F74A7"/>
    <w:rsid w:val="008F7E2D"/>
    <w:rsid w:val="008F7F2D"/>
    <w:rsid w:val="009002CF"/>
    <w:rsid w:val="009002FA"/>
    <w:rsid w:val="0090030C"/>
    <w:rsid w:val="00900544"/>
    <w:rsid w:val="00900780"/>
    <w:rsid w:val="00900C14"/>
    <w:rsid w:val="00901A63"/>
    <w:rsid w:val="00901C2F"/>
    <w:rsid w:val="0090256C"/>
    <w:rsid w:val="009025CD"/>
    <w:rsid w:val="00902692"/>
    <w:rsid w:val="00902894"/>
    <w:rsid w:val="00902BC8"/>
    <w:rsid w:val="009035A6"/>
    <w:rsid w:val="009035B0"/>
    <w:rsid w:val="00903AFF"/>
    <w:rsid w:val="00903BAE"/>
    <w:rsid w:val="00903D7C"/>
    <w:rsid w:val="00903D90"/>
    <w:rsid w:val="009048A0"/>
    <w:rsid w:val="00905701"/>
    <w:rsid w:val="00905ACB"/>
    <w:rsid w:val="00906550"/>
    <w:rsid w:val="00906601"/>
    <w:rsid w:val="009067A4"/>
    <w:rsid w:val="00906987"/>
    <w:rsid w:val="0091042B"/>
    <w:rsid w:val="009109B9"/>
    <w:rsid w:val="00910BE7"/>
    <w:rsid w:val="00910C34"/>
    <w:rsid w:val="00910DB3"/>
    <w:rsid w:val="00910F90"/>
    <w:rsid w:val="00911862"/>
    <w:rsid w:val="00911B36"/>
    <w:rsid w:val="009124BE"/>
    <w:rsid w:val="009125C3"/>
    <w:rsid w:val="009125EA"/>
    <w:rsid w:val="009129C1"/>
    <w:rsid w:val="00912F36"/>
    <w:rsid w:val="00913164"/>
    <w:rsid w:val="00913932"/>
    <w:rsid w:val="00913951"/>
    <w:rsid w:val="00913E6D"/>
    <w:rsid w:val="00913F7E"/>
    <w:rsid w:val="00914244"/>
    <w:rsid w:val="00914B42"/>
    <w:rsid w:val="00914B57"/>
    <w:rsid w:val="0091569F"/>
    <w:rsid w:val="00915B8D"/>
    <w:rsid w:val="00915BE3"/>
    <w:rsid w:val="00915FBC"/>
    <w:rsid w:val="00916965"/>
    <w:rsid w:val="00916FE6"/>
    <w:rsid w:val="009178AF"/>
    <w:rsid w:val="00920175"/>
    <w:rsid w:val="00920B46"/>
    <w:rsid w:val="00920F4D"/>
    <w:rsid w:val="0092103B"/>
    <w:rsid w:val="0092135F"/>
    <w:rsid w:val="009214DB"/>
    <w:rsid w:val="0092178C"/>
    <w:rsid w:val="00921881"/>
    <w:rsid w:val="009228B9"/>
    <w:rsid w:val="00922985"/>
    <w:rsid w:val="00922B78"/>
    <w:rsid w:val="00922BB1"/>
    <w:rsid w:val="00922EB6"/>
    <w:rsid w:val="00923D40"/>
    <w:rsid w:val="00923F4C"/>
    <w:rsid w:val="00924261"/>
    <w:rsid w:val="00924A94"/>
    <w:rsid w:val="009255CE"/>
    <w:rsid w:val="0092591B"/>
    <w:rsid w:val="00926204"/>
    <w:rsid w:val="00927130"/>
    <w:rsid w:val="0092781B"/>
    <w:rsid w:val="00927903"/>
    <w:rsid w:val="00927F1E"/>
    <w:rsid w:val="009304D9"/>
    <w:rsid w:val="009305B9"/>
    <w:rsid w:val="00932901"/>
    <w:rsid w:val="00932F98"/>
    <w:rsid w:val="0093313A"/>
    <w:rsid w:val="009332CE"/>
    <w:rsid w:val="0093389F"/>
    <w:rsid w:val="00933B77"/>
    <w:rsid w:val="009341D2"/>
    <w:rsid w:val="0093420A"/>
    <w:rsid w:val="009345C2"/>
    <w:rsid w:val="00934793"/>
    <w:rsid w:val="00934DF3"/>
    <w:rsid w:val="00936217"/>
    <w:rsid w:val="00936323"/>
    <w:rsid w:val="00936B60"/>
    <w:rsid w:val="0093794C"/>
    <w:rsid w:val="009401E6"/>
    <w:rsid w:val="00940ABC"/>
    <w:rsid w:val="00940EAF"/>
    <w:rsid w:val="009417C4"/>
    <w:rsid w:val="00941D1E"/>
    <w:rsid w:val="00941EDA"/>
    <w:rsid w:val="00942095"/>
    <w:rsid w:val="00942325"/>
    <w:rsid w:val="00942A13"/>
    <w:rsid w:val="00942AFC"/>
    <w:rsid w:val="00942B6D"/>
    <w:rsid w:val="00942BD3"/>
    <w:rsid w:val="00943E30"/>
    <w:rsid w:val="00944200"/>
    <w:rsid w:val="0094433A"/>
    <w:rsid w:val="0094459C"/>
    <w:rsid w:val="00944A36"/>
    <w:rsid w:val="00944ABB"/>
    <w:rsid w:val="00945404"/>
    <w:rsid w:val="00945D5A"/>
    <w:rsid w:val="00945FBD"/>
    <w:rsid w:val="00945FD8"/>
    <w:rsid w:val="009468C1"/>
    <w:rsid w:val="00946909"/>
    <w:rsid w:val="0094736B"/>
    <w:rsid w:val="009475D2"/>
    <w:rsid w:val="00947764"/>
    <w:rsid w:val="009478A0"/>
    <w:rsid w:val="00947ED7"/>
    <w:rsid w:val="00947F76"/>
    <w:rsid w:val="009503C7"/>
    <w:rsid w:val="0095053C"/>
    <w:rsid w:val="009507CA"/>
    <w:rsid w:val="009508F0"/>
    <w:rsid w:val="00951A63"/>
    <w:rsid w:val="00951B64"/>
    <w:rsid w:val="009520BE"/>
    <w:rsid w:val="009521C8"/>
    <w:rsid w:val="00952351"/>
    <w:rsid w:val="0095386D"/>
    <w:rsid w:val="00953B96"/>
    <w:rsid w:val="00954272"/>
    <w:rsid w:val="00954397"/>
    <w:rsid w:val="00955765"/>
    <w:rsid w:val="009558BF"/>
    <w:rsid w:val="0095594F"/>
    <w:rsid w:val="00955C30"/>
    <w:rsid w:val="00955E5C"/>
    <w:rsid w:val="00956200"/>
    <w:rsid w:val="009568A2"/>
    <w:rsid w:val="00960B55"/>
    <w:rsid w:val="00961639"/>
    <w:rsid w:val="00962602"/>
    <w:rsid w:val="009628D2"/>
    <w:rsid w:val="00962D2F"/>
    <w:rsid w:val="009633F0"/>
    <w:rsid w:val="00963C21"/>
    <w:rsid w:val="009644A4"/>
    <w:rsid w:val="00964BE6"/>
    <w:rsid w:val="00965605"/>
    <w:rsid w:val="00965735"/>
    <w:rsid w:val="009657CE"/>
    <w:rsid w:val="00965864"/>
    <w:rsid w:val="00965950"/>
    <w:rsid w:val="009660B4"/>
    <w:rsid w:val="00966ABB"/>
    <w:rsid w:val="00967573"/>
    <w:rsid w:val="00970AE3"/>
    <w:rsid w:val="00970B90"/>
    <w:rsid w:val="00970F4D"/>
    <w:rsid w:val="00971763"/>
    <w:rsid w:val="0097226D"/>
    <w:rsid w:val="00972294"/>
    <w:rsid w:val="00972829"/>
    <w:rsid w:val="00972859"/>
    <w:rsid w:val="00972896"/>
    <w:rsid w:val="00973607"/>
    <w:rsid w:val="00974405"/>
    <w:rsid w:val="00974AA0"/>
    <w:rsid w:val="00974E1C"/>
    <w:rsid w:val="0097507C"/>
    <w:rsid w:val="00975248"/>
    <w:rsid w:val="00975D60"/>
    <w:rsid w:val="00975EFE"/>
    <w:rsid w:val="0097604D"/>
    <w:rsid w:val="009764E5"/>
    <w:rsid w:val="009770D5"/>
    <w:rsid w:val="009801BE"/>
    <w:rsid w:val="00980FDF"/>
    <w:rsid w:val="00981FB8"/>
    <w:rsid w:val="0098248A"/>
    <w:rsid w:val="00982AF5"/>
    <w:rsid w:val="00982F48"/>
    <w:rsid w:val="00983743"/>
    <w:rsid w:val="009837B4"/>
    <w:rsid w:val="009837BF"/>
    <w:rsid w:val="0098395C"/>
    <w:rsid w:val="00984209"/>
    <w:rsid w:val="0098424A"/>
    <w:rsid w:val="009845C6"/>
    <w:rsid w:val="00985249"/>
    <w:rsid w:val="00985A6D"/>
    <w:rsid w:val="00985B54"/>
    <w:rsid w:val="00985C76"/>
    <w:rsid w:val="00986765"/>
    <w:rsid w:val="00986909"/>
    <w:rsid w:val="00987357"/>
    <w:rsid w:val="00987920"/>
    <w:rsid w:val="00987AF3"/>
    <w:rsid w:val="00987B90"/>
    <w:rsid w:val="00990180"/>
    <w:rsid w:val="00990267"/>
    <w:rsid w:val="00990D6A"/>
    <w:rsid w:val="009912AA"/>
    <w:rsid w:val="0099185D"/>
    <w:rsid w:val="00991980"/>
    <w:rsid w:val="00992168"/>
    <w:rsid w:val="00992B01"/>
    <w:rsid w:val="00992B56"/>
    <w:rsid w:val="00992B95"/>
    <w:rsid w:val="00992BC8"/>
    <w:rsid w:val="00992CDA"/>
    <w:rsid w:val="00992CDB"/>
    <w:rsid w:val="009934E6"/>
    <w:rsid w:val="00993F18"/>
    <w:rsid w:val="00993F1A"/>
    <w:rsid w:val="00994B6F"/>
    <w:rsid w:val="00994C4A"/>
    <w:rsid w:val="00994FF8"/>
    <w:rsid w:val="00995D8A"/>
    <w:rsid w:val="00996035"/>
    <w:rsid w:val="00996278"/>
    <w:rsid w:val="00996A50"/>
    <w:rsid w:val="009976A2"/>
    <w:rsid w:val="00997A73"/>
    <w:rsid w:val="00997D11"/>
    <w:rsid w:val="009A015F"/>
    <w:rsid w:val="009A0826"/>
    <w:rsid w:val="009A0FAA"/>
    <w:rsid w:val="009A1093"/>
    <w:rsid w:val="009A115E"/>
    <w:rsid w:val="009A20D6"/>
    <w:rsid w:val="009A256F"/>
    <w:rsid w:val="009A2A33"/>
    <w:rsid w:val="009A2BE3"/>
    <w:rsid w:val="009A2F7B"/>
    <w:rsid w:val="009A2FC7"/>
    <w:rsid w:val="009A3336"/>
    <w:rsid w:val="009A35EC"/>
    <w:rsid w:val="009A3835"/>
    <w:rsid w:val="009A4038"/>
    <w:rsid w:val="009A40EB"/>
    <w:rsid w:val="009A4E5E"/>
    <w:rsid w:val="009A4EFF"/>
    <w:rsid w:val="009A4F97"/>
    <w:rsid w:val="009A5F4F"/>
    <w:rsid w:val="009A6C58"/>
    <w:rsid w:val="009A76C8"/>
    <w:rsid w:val="009A7B59"/>
    <w:rsid w:val="009A7D96"/>
    <w:rsid w:val="009B072F"/>
    <w:rsid w:val="009B079E"/>
    <w:rsid w:val="009B0B86"/>
    <w:rsid w:val="009B0EE1"/>
    <w:rsid w:val="009B12FA"/>
    <w:rsid w:val="009B14D3"/>
    <w:rsid w:val="009B1D88"/>
    <w:rsid w:val="009B1ECE"/>
    <w:rsid w:val="009B27AD"/>
    <w:rsid w:val="009B2F68"/>
    <w:rsid w:val="009B358A"/>
    <w:rsid w:val="009B3B29"/>
    <w:rsid w:val="009B4923"/>
    <w:rsid w:val="009B49F7"/>
    <w:rsid w:val="009B4E29"/>
    <w:rsid w:val="009B5446"/>
    <w:rsid w:val="009B5582"/>
    <w:rsid w:val="009B577D"/>
    <w:rsid w:val="009B5BE0"/>
    <w:rsid w:val="009B5BFF"/>
    <w:rsid w:val="009B616B"/>
    <w:rsid w:val="009B674B"/>
    <w:rsid w:val="009B6F38"/>
    <w:rsid w:val="009B77A1"/>
    <w:rsid w:val="009C0181"/>
    <w:rsid w:val="009C0556"/>
    <w:rsid w:val="009C086F"/>
    <w:rsid w:val="009C08BB"/>
    <w:rsid w:val="009C11C6"/>
    <w:rsid w:val="009C1562"/>
    <w:rsid w:val="009C1B7A"/>
    <w:rsid w:val="009C30F8"/>
    <w:rsid w:val="009C3105"/>
    <w:rsid w:val="009C3B56"/>
    <w:rsid w:val="009C3DCC"/>
    <w:rsid w:val="009C4A8D"/>
    <w:rsid w:val="009C4E14"/>
    <w:rsid w:val="009C5F56"/>
    <w:rsid w:val="009C6411"/>
    <w:rsid w:val="009C67C2"/>
    <w:rsid w:val="009C6D50"/>
    <w:rsid w:val="009C6E8A"/>
    <w:rsid w:val="009C712D"/>
    <w:rsid w:val="009D03D1"/>
    <w:rsid w:val="009D0480"/>
    <w:rsid w:val="009D0FD1"/>
    <w:rsid w:val="009D11F2"/>
    <w:rsid w:val="009D172A"/>
    <w:rsid w:val="009D18C6"/>
    <w:rsid w:val="009D1C9F"/>
    <w:rsid w:val="009D1EF5"/>
    <w:rsid w:val="009D2380"/>
    <w:rsid w:val="009D255D"/>
    <w:rsid w:val="009D31CB"/>
    <w:rsid w:val="009D33FE"/>
    <w:rsid w:val="009D34C0"/>
    <w:rsid w:val="009D3653"/>
    <w:rsid w:val="009D37CB"/>
    <w:rsid w:val="009D387F"/>
    <w:rsid w:val="009D3C3B"/>
    <w:rsid w:val="009D3C73"/>
    <w:rsid w:val="009D3C99"/>
    <w:rsid w:val="009D4518"/>
    <w:rsid w:val="009D4B40"/>
    <w:rsid w:val="009D4BF4"/>
    <w:rsid w:val="009D543D"/>
    <w:rsid w:val="009D5443"/>
    <w:rsid w:val="009D6230"/>
    <w:rsid w:val="009D66B7"/>
    <w:rsid w:val="009D782D"/>
    <w:rsid w:val="009D7F51"/>
    <w:rsid w:val="009E04B1"/>
    <w:rsid w:val="009E0853"/>
    <w:rsid w:val="009E0B89"/>
    <w:rsid w:val="009E153C"/>
    <w:rsid w:val="009E1D85"/>
    <w:rsid w:val="009E238F"/>
    <w:rsid w:val="009E3078"/>
    <w:rsid w:val="009E3548"/>
    <w:rsid w:val="009E3B65"/>
    <w:rsid w:val="009E4E13"/>
    <w:rsid w:val="009E4F4D"/>
    <w:rsid w:val="009E593E"/>
    <w:rsid w:val="009E6C0D"/>
    <w:rsid w:val="009E6C9E"/>
    <w:rsid w:val="009E6CCC"/>
    <w:rsid w:val="009E7B10"/>
    <w:rsid w:val="009F09F5"/>
    <w:rsid w:val="009F0DEA"/>
    <w:rsid w:val="009F0F1B"/>
    <w:rsid w:val="009F11B5"/>
    <w:rsid w:val="009F168A"/>
    <w:rsid w:val="009F1824"/>
    <w:rsid w:val="009F1A7D"/>
    <w:rsid w:val="009F1BBC"/>
    <w:rsid w:val="009F1CDE"/>
    <w:rsid w:val="009F20D7"/>
    <w:rsid w:val="009F263B"/>
    <w:rsid w:val="009F41D9"/>
    <w:rsid w:val="009F488D"/>
    <w:rsid w:val="009F4A3E"/>
    <w:rsid w:val="009F5423"/>
    <w:rsid w:val="009F5ACD"/>
    <w:rsid w:val="009F5C32"/>
    <w:rsid w:val="009F628B"/>
    <w:rsid w:val="009F6292"/>
    <w:rsid w:val="009F63D4"/>
    <w:rsid w:val="009F6524"/>
    <w:rsid w:val="009F71FC"/>
    <w:rsid w:val="009F7902"/>
    <w:rsid w:val="009F792E"/>
    <w:rsid w:val="009F79A1"/>
    <w:rsid w:val="00A005D3"/>
    <w:rsid w:val="00A005FA"/>
    <w:rsid w:val="00A00CD8"/>
    <w:rsid w:val="00A01367"/>
    <w:rsid w:val="00A01510"/>
    <w:rsid w:val="00A01E85"/>
    <w:rsid w:val="00A02047"/>
    <w:rsid w:val="00A0213D"/>
    <w:rsid w:val="00A023E7"/>
    <w:rsid w:val="00A024BD"/>
    <w:rsid w:val="00A02934"/>
    <w:rsid w:val="00A03486"/>
    <w:rsid w:val="00A035D5"/>
    <w:rsid w:val="00A04222"/>
    <w:rsid w:val="00A043AA"/>
    <w:rsid w:val="00A04CC7"/>
    <w:rsid w:val="00A04E58"/>
    <w:rsid w:val="00A0520A"/>
    <w:rsid w:val="00A05242"/>
    <w:rsid w:val="00A05442"/>
    <w:rsid w:val="00A0544F"/>
    <w:rsid w:val="00A054F6"/>
    <w:rsid w:val="00A0566B"/>
    <w:rsid w:val="00A0598B"/>
    <w:rsid w:val="00A05BED"/>
    <w:rsid w:val="00A061C0"/>
    <w:rsid w:val="00A06BE9"/>
    <w:rsid w:val="00A07155"/>
    <w:rsid w:val="00A072AE"/>
    <w:rsid w:val="00A0775B"/>
    <w:rsid w:val="00A07BA3"/>
    <w:rsid w:val="00A07ECF"/>
    <w:rsid w:val="00A1036E"/>
    <w:rsid w:val="00A1040C"/>
    <w:rsid w:val="00A11825"/>
    <w:rsid w:val="00A11AF8"/>
    <w:rsid w:val="00A122D7"/>
    <w:rsid w:val="00A126EF"/>
    <w:rsid w:val="00A128B1"/>
    <w:rsid w:val="00A128B7"/>
    <w:rsid w:val="00A1322F"/>
    <w:rsid w:val="00A133F2"/>
    <w:rsid w:val="00A13DA4"/>
    <w:rsid w:val="00A13DB5"/>
    <w:rsid w:val="00A14F80"/>
    <w:rsid w:val="00A163B2"/>
    <w:rsid w:val="00A167F8"/>
    <w:rsid w:val="00A16F4B"/>
    <w:rsid w:val="00A1721C"/>
    <w:rsid w:val="00A173DA"/>
    <w:rsid w:val="00A17850"/>
    <w:rsid w:val="00A17FB5"/>
    <w:rsid w:val="00A2006F"/>
    <w:rsid w:val="00A20390"/>
    <w:rsid w:val="00A2049B"/>
    <w:rsid w:val="00A20B58"/>
    <w:rsid w:val="00A210BF"/>
    <w:rsid w:val="00A2199E"/>
    <w:rsid w:val="00A21B48"/>
    <w:rsid w:val="00A21BAC"/>
    <w:rsid w:val="00A21BE3"/>
    <w:rsid w:val="00A21DD3"/>
    <w:rsid w:val="00A22125"/>
    <w:rsid w:val="00A223D8"/>
    <w:rsid w:val="00A22451"/>
    <w:rsid w:val="00A22565"/>
    <w:rsid w:val="00A22621"/>
    <w:rsid w:val="00A22707"/>
    <w:rsid w:val="00A227A5"/>
    <w:rsid w:val="00A22B98"/>
    <w:rsid w:val="00A232F5"/>
    <w:rsid w:val="00A23626"/>
    <w:rsid w:val="00A23696"/>
    <w:rsid w:val="00A23742"/>
    <w:rsid w:val="00A2380B"/>
    <w:rsid w:val="00A23B2B"/>
    <w:rsid w:val="00A23E26"/>
    <w:rsid w:val="00A2404E"/>
    <w:rsid w:val="00A245DA"/>
    <w:rsid w:val="00A24618"/>
    <w:rsid w:val="00A24A53"/>
    <w:rsid w:val="00A25348"/>
    <w:rsid w:val="00A2550A"/>
    <w:rsid w:val="00A2569B"/>
    <w:rsid w:val="00A2594B"/>
    <w:rsid w:val="00A25995"/>
    <w:rsid w:val="00A25AE6"/>
    <w:rsid w:val="00A260A4"/>
    <w:rsid w:val="00A265CB"/>
    <w:rsid w:val="00A26BAD"/>
    <w:rsid w:val="00A271AB"/>
    <w:rsid w:val="00A273C3"/>
    <w:rsid w:val="00A27509"/>
    <w:rsid w:val="00A279AF"/>
    <w:rsid w:val="00A27CBD"/>
    <w:rsid w:val="00A30FEA"/>
    <w:rsid w:val="00A31092"/>
    <w:rsid w:val="00A31ECB"/>
    <w:rsid w:val="00A320EB"/>
    <w:rsid w:val="00A3256F"/>
    <w:rsid w:val="00A325EA"/>
    <w:rsid w:val="00A34065"/>
    <w:rsid w:val="00A348E5"/>
    <w:rsid w:val="00A35805"/>
    <w:rsid w:val="00A35ECA"/>
    <w:rsid w:val="00A35FDE"/>
    <w:rsid w:val="00A360BD"/>
    <w:rsid w:val="00A36D4E"/>
    <w:rsid w:val="00A36F4A"/>
    <w:rsid w:val="00A37855"/>
    <w:rsid w:val="00A37858"/>
    <w:rsid w:val="00A37B50"/>
    <w:rsid w:val="00A37CF9"/>
    <w:rsid w:val="00A4081A"/>
    <w:rsid w:val="00A40A3D"/>
    <w:rsid w:val="00A41060"/>
    <w:rsid w:val="00A414D1"/>
    <w:rsid w:val="00A421A8"/>
    <w:rsid w:val="00A43159"/>
    <w:rsid w:val="00A436E7"/>
    <w:rsid w:val="00A43F62"/>
    <w:rsid w:val="00A44042"/>
    <w:rsid w:val="00A442C8"/>
    <w:rsid w:val="00A4495A"/>
    <w:rsid w:val="00A44C01"/>
    <w:rsid w:val="00A44E0D"/>
    <w:rsid w:val="00A44FA3"/>
    <w:rsid w:val="00A45018"/>
    <w:rsid w:val="00A45506"/>
    <w:rsid w:val="00A461F8"/>
    <w:rsid w:val="00A46207"/>
    <w:rsid w:val="00A46DFA"/>
    <w:rsid w:val="00A470BD"/>
    <w:rsid w:val="00A472C5"/>
    <w:rsid w:val="00A474C4"/>
    <w:rsid w:val="00A476AD"/>
    <w:rsid w:val="00A47B30"/>
    <w:rsid w:val="00A500C2"/>
    <w:rsid w:val="00A5113C"/>
    <w:rsid w:val="00A52920"/>
    <w:rsid w:val="00A5293C"/>
    <w:rsid w:val="00A52AEB"/>
    <w:rsid w:val="00A5314F"/>
    <w:rsid w:val="00A533E7"/>
    <w:rsid w:val="00A539D2"/>
    <w:rsid w:val="00A539E1"/>
    <w:rsid w:val="00A53A9C"/>
    <w:rsid w:val="00A5430C"/>
    <w:rsid w:val="00A5431D"/>
    <w:rsid w:val="00A54403"/>
    <w:rsid w:val="00A54598"/>
    <w:rsid w:val="00A54C2B"/>
    <w:rsid w:val="00A551AE"/>
    <w:rsid w:val="00A55BC0"/>
    <w:rsid w:val="00A55CED"/>
    <w:rsid w:val="00A56528"/>
    <w:rsid w:val="00A56784"/>
    <w:rsid w:val="00A56D9E"/>
    <w:rsid w:val="00A56F94"/>
    <w:rsid w:val="00A57418"/>
    <w:rsid w:val="00A57706"/>
    <w:rsid w:val="00A57D8F"/>
    <w:rsid w:val="00A57E4E"/>
    <w:rsid w:val="00A603F2"/>
    <w:rsid w:val="00A608BC"/>
    <w:rsid w:val="00A60A43"/>
    <w:rsid w:val="00A623A1"/>
    <w:rsid w:val="00A630BF"/>
    <w:rsid w:val="00A631F9"/>
    <w:rsid w:val="00A63A45"/>
    <w:rsid w:val="00A63CB8"/>
    <w:rsid w:val="00A6404A"/>
    <w:rsid w:val="00A645F1"/>
    <w:rsid w:val="00A64A09"/>
    <w:rsid w:val="00A64E8B"/>
    <w:rsid w:val="00A66261"/>
    <w:rsid w:val="00A66572"/>
    <w:rsid w:val="00A66960"/>
    <w:rsid w:val="00A66D0E"/>
    <w:rsid w:val="00A679B2"/>
    <w:rsid w:val="00A67A7A"/>
    <w:rsid w:val="00A67BFD"/>
    <w:rsid w:val="00A700B6"/>
    <w:rsid w:val="00A707B2"/>
    <w:rsid w:val="00A70AB8"/>
    <w:rsid w:val="00A71665"/>
    <w:rsid w:val="00A72513"/>
    <w:rsid w:val="00A72681"/>
    <w:rsid w:val="00A72E21"/>
    <w:rsid w:val="00A7363B"/>
    <w:rsid w:val="00A73E06"/>
    <w:rsid w:val="00A73E7F"/>
    <w:rsid w:val="00A741BF"/>
    <w:rsid w:val="00A7441F"/>
    <w:rsid w:val="00A745F0"/>
    <w:rsid w:val="00A7465F"/>
    <w:rsid w:val="00A7470F"/>
    <w:rsid w:val="00A74773"/>
    <w:rsid w:val="00A74AFE"/>
    <w:rsid w:val="00A74FFA"/>
    <w:rsid w:val="00A75414"/>
    <w:rsid w:val="00A754B6"/>
    <w:rsid w:val="00A759B4"/>
    <w:rsid w:val="00A75D10"/>
    <w:rsid w:val="00A7653A"/>
    <w:rsid w:val="00A77020"/>
    <w:rsid w:val="00A778C1"/>
    <w:rsid w:val="00A800D6"/>
    <w:rsid w:val="00A804ED"/>
    <w:rsid w:val="00A80722"/>
    <w:rsid w:val="00A807A2"/>
    <w:rsid w:val="00A80A5C"/>
    <w:rsid w:val="00A80A99"/>
    <w:rsid w:val="00A80B03"/>
    <w:rsid w:val="00A80C6E"/>
    <w:rsid w:val="00A814D3"/>
    <w:rsid w:val="00A821CB"/>
    <w:rsid w:val="00A82833"/>
    <w:rsid w:val="00A8289A"/>
    <w:rsid w:val="00A828E6"/>
    <w:rsid w:val="00A82F7A"/>
    <w:rsid w:val="00A834DB"/>
    <w:rsid w:val="00A8370A"/>
    <w:rsid w:val="00A8532C"/>
    <w:rsid w:val="00A85910"/>
    <w:rsid w:val="00A85D03"/>
    <w:rsid w:val="00A86088"/>
    <w:rsid w:val="00A86351"/>
    <w:rsid w:val="00A86584"/>
    <w:rsid w:val="00A869B7"/>
    <w:rsid w:val="00A86CF6"/>
    <w:rsid w:val="00A87B1E"/>
    <w:rsid w:val="00A9049C"/>
    <w:rsid w:val="00A907C4"/>
    <w:rsid w:val="00A9084C"/>
    <w:rsid w:val="00A90A9B"/>
    <w:rsid w:val="00A9119A"/>
    <w:rsid w:val="00A915F8"/>
    <w:rsid w:val="00A9180B"/>
    <w:rsid w:val="00A926D6"/>
    <w:rsid w:val="00A93191"/>
    <w:rsid w:val="00A9391A"/>
    <w:rsid w:val="00A93B02"/>
    <w:rsid w:val="00A93CAF"/>
    <w:rsid w:val="00A946DC"/>
    <w:rsid w:val="00A94BB0"/>
    <w:rsid w:val="00A94DDF"/>
    <w:rsid w:val="00A95205"/>
    <w:rsid w:val="00A95933"/>
    <w:rsid w:val="00A9613B"/>
    <w:rsid w:val="00A9641B"/>
    <w:rsid w:val="00A967A1"/>
    <w:rsid w:val="00A967B8"/>
    <w:rsid w:val="00A96850"/>
    <w:rsid w:val="00A96B6F"/>
    <w:rsid w:val="00A96BA8"/>
    <w:rsid w:val="00A978FC"/>
    <w:rsid w:val="00A97948"/>
    <w:rsid w:val="00AA042F"/>
    <w:rsid w:val="00AA0761"/>
    <w:rsid w:val="00AA0C04"/>
    <w:rsid w:val="00AA1372"/>
    <w:rsid w:val="00AA1A71"/>
    <w:rsid w:val="00AA1DC4"/>
    <w:rsid w:val="00AA1EB4"/>
    <w:rsid w:val="00AA28D4"/>
    <w:rsid w:val="00AA35BB"/>
    <w:rsid w:val="00AA4242"/>
    <w:rsid w:val="00AA4247"/>
    <w:rsid w:val="00AA437A"/>
    <w:rsid w:val="00AA43FC"/>
    <w:rsid w:val="00AA442C"/>
    <w:rsid w:val="00AA536F"/>
    <w:rsid w:val="00AA587F"/>
    <w:rsid w:val="00AA589C"/>
    <w:rsid w:val="00AA5AF1"/>
    <w:rsid w:val="00AA6ECB"/>
    <w:rsid w:val="00AA726A"/>
    <w:rsid w:val="00AA798D"/>
    <w:rsid w:val="00AA7DA1"/>
    <w:rsid w:val="00AA7E37"/>
    <w:rsid w:val="00AB05CE"/>
    <w:rsid w:val="00AB0AB2"/>
    <w:rsid w:val="00AB11A4"/>
    <w:rsid w:val="00AB2179"/>
    <w:rsid w:val="00AB26AE"/>
    <w:rsid w:val="00AB30D3"/>
    <w:rsid w:val="00AB3696"/>
    <w:rsid w:val="00AB46F6"/>
    <w:rsid w:val="00AB4764"/>
    <w:rsid w:val="00AB63AC"/>
    <w:rsid w:val="00AB68A0"/>
    <w:rsid w:val="00AB68E9"/>
    <w:rsid w:val="00AB6B04"/>
    <w:rsid w:val="00AB7571"/>
    <w:rsid w:val="00AB7A0D"/>
    <w:rsid w:val="00AC000F"/>
    <w:rsid w:val="00AC0430"/>
    <w:rsid w:val="00AC0580"/>
    <w:rsid w:val="00AC0658"/>
    <w:rsid w:val="00AC0A8F"/>
    <w:rsid w:val="00AC0CF3"/>
    <w:rsid w:val="00AC19A4"/>
    <w:rsid w:val="00AC2126"/>
    <w:rsid w:val="00AC2869"/>
    <w:rsid w:val="00AC28D1"/>
    <w:rsid w:val="00AC29F7"/>
    <w:rsid w:val="00AC2D1E"/>
    <w:rsid w:val="00AC335F"/>
    <w:rsid w:val="00AC37E8"/>
    <w:rsid w:val="00AC40E2"/>
    <w:rsid w:val="00AC41C3"/>
    <w:rsid w:val="00AC4669"/>
    <w:rsid w:val="00AC4FF1"/>
    <w:rsid w:val="00AC5F78"/>
    <w:rsid w:val="00AC6000"/>
    <w:rsid w:val="00AC6BFE"/>
    <w:rsid w:val="00AC6D55"/>
    <w:rsid w:val="00AC7DAF"/>
    <w:rsid w:val="00AD0127"/>
    <w:rsid w:val="00AD0324"/>
    <w:rsid w:val="00AD0530"/>
    <w:rsid w:val="00AD05CF"/>
    <w:rsid w:val="00AD0823"/>
    <w:rsid w:val="00AD0F27"/>
    <w:rsid w:val="00AD117E"/>
    <w:rsid w:val="00AD1420"/>
    <w:rsid w:val="00AD143B"/>
    <w:rsid w:val="00AD1AF1"/>
    <w:rsid w:val="00AD1CBE"/>
    <w:rsid w:val="00AD2451"/>
    <w:rsid w:val="00AD30CD"/>
    <w:rsid w:val="00AD31B4"/>
    <w:rsid w:val="00AD33BD"/>
    <w:rsid w:val="00AD39B9"/>
    <w:rsid w:val="00AD405B"/>
    <w:rsid w:val="00AD5E3B"/>
    <w:rsid w:val="00AD629C"/>
    <w:rsid w:val="00AD6624"/>
    <w:rsid w:val="00AD6745"/>
    <w:rsid w:val="00AD6996"/>
    <w:rsid w:val="00AD7731"/>
    <w:rsid w:val="00AD79CA"/>
    <w:rsid w:val="00AE004A"/>
    <w:rsid w:val="00AE0115"/>
    <w:rsid w:val="00AE0178"/>
    <w:rsid w:val="00AE040A"/>
    <w:rsid w:val="00AE08D9"/>
    <w:rsid w:val="00AE0B7D"/>
    <w:rsid w:val="00AE0C23"/>
    <w:rsid w:val="00AE0E46"/>
    <w:rsid w:val="00AE0EC2"/>
    <w:rsid w:val="00AE0FAC"/>
    <w:rsid w:val="00AE124F"/>
    <w:rsid w:val="00AE12E2"/>
    <w:rsid w:val="00AE15FE"/>
    <w:rsid w:val="00AE17F8"/>
    <w:rsid w:val="00AE1B7E"/>
    <w:rsid w:val="00AE1DA6"/>
    <w:rsid w:val="00AE20CA"/>
    <w:rsid w:val="00AE26BF"/>
    <w:rsid w:val="00AE2809"/>
    <w:rsid w:val="00AE2B7C"/>
    <w:rsid w:val="00AE2F44"/>
    <w:rsid w:val="00AE2FEE"/>
    <w:rsid w:val="00AE31A0"/>
    <w:rsid w:val="00AE3BEA"/>
    <w:rsid w:val="00AE4881"/>
    <w:rsid w:val="00AE5430"/>
    <w:rsid w:val="00AE6665"/>
    <w:rsid w:val="00AE69B8"/>
    <w:rsid w:val="00AE72EA"/>
    <w:rsid w:val="00AE771D"/>
    <w:rsid w:val="00AF04A4"/>
    <w:rsid w:val="00AF05A6"/>
    <w:rsid w:val="00AF0F0F"/>
    <w:rsid w:val="00AF1920"/>
    <w:rsid w:val="00AF1F99"/>
    <w:rsid w:val="00AF2212"/>
    <w:rsid w:val="00AF23AE"/>
    <w:rsid w:val="00AF248F"/>
    <w:rsid w:val="00AF2B2E"/>
    <w:rsid w:val="00AF30E6"/>
    <w:rsid w:val="00AF3A4C"/>
    <w:rsid w:val="00AF42B7"/>
    <w:rsid w:val="00AF42E9"/>
    <w:rsid w:val="00AF436E"/>
    <w:rsid w:val="00AF4845"/>
    <w:rsid w:val="00AF499C"/>
    <w:rsid w:val="00AF49A1"/>
    <w:rsid w:val="00AF4D40"/>
    <w:rsid w:val="00AF5553"/>
    <w:rsid w:val="00AF59E1"/>
    <w:rsid w:val="00AF5B84"/>
    <w:rsid w:val="00AF6154"/>
    <w:rsid w:val="00AF6B95"/>
    <w:rsid w:val="00B0115B"/>
    <w:rsid w:val="00B03305"/>
    <w:rsid w:val="00B03B2B"/>
    <w:rsid w:val="00B03F78"/>
    <w:rsid w:val="00B04999"/>
    <w:rsid w:val="00B049EB"/>
    <w:rsid w:val="00B04EFA"/>
    <w:rsid w:val="00B04F0A"/>
    <w:rsid w:val="00B05506"/>
    <w:rsid w:val="00B059D7"/>
    <w:rsid w:val="00B05AB8"/>
    <w:rsid w:val="00B05BD3"/>
    <w:rsid w:val="00B05D20"/>
    <w:rsid w:val="00B05EAB"/>
    <w:rsid w:val="00B060E4"/>
    <w:rsid w:val="00B0688E"/>
    <w:rsid w:val="00B0699F"/>
    <w:rsid w:val="00B06C33"/>
    <w:rsid w:val="00B06E92"/>
    <w:rsid w:val="00B078B2"/>
    <w:rsid w:val="00B07932"/>
    <w:rsid w:val="00B079FD"/>
    <w:rsid w:val="00B101F5"/>
    <w:rsid w:val="00B110D4"/>
    <w:rsid w:val="00B11793"/>
    <w:rsid w:val="00B11C0A"/>
    <w:rsid w:val="00B1220B"/>
    <w:rsid w:val="00B12569"/>
    <w:rsid w:val="00B127FE"/>
    <w:rsid w:val="00B12B41"/>
    <w:rsid w:val="00B12C9B"/>
    <w:rsid w:val="00B130AA"/>
    <w:rsid w:val="00B130AD"/>
    <w:rsid w:val="00B13A57"/>
    <w:rsid w:val="00B141B4"/>
    <w:rsid w:val="00B14435"/>
    <w:rsid w:val="00B15094"/>
    <w:rsid w:val="00B16587"/>
    <w:rsid w:val="00B16A03"/>
    <w:rsid w:val="00B16C7C"/>
    <w:rsid w:val="00B16F38"/>
    <w:rsid w:val="00B207B4"/>
    <w:rsid w:val="00B20A12"/>
    <w:rsid w:val="00B2168D"/>
    <w:rsid w:val="00B22BA8"/>
    <w:rsid w:val="00B22DDC"/>
    <w:rsid w:val="00B2300B"/>
    <w:rsid w:val="00B2306C"/>
    <w:rsid w:val="00B231D7"/>
    <w:rsid w:val="00B233CD"/>
    <w:rsid w:val="00B239AF"/>
    <w:rsid w:val="00B23CF1"/>
    <w:rsid w:val="00B23E71"/>
    <w:rsid w:val="00B246CF"/>
    <w:rsid w:val="00B248D8"/>
    <w:rsid w:val="00B252AA"/>
    <w:rsid w:val="00B25671"/>
    <w:rsid w:val="00B257EA"/>
    <w:rsid w:val="00B25AA4"/>
    <w:rsid w:val="00B260EB"/>
    <w:rsid w:val="00B2687D"/>
    <w:rsid w:val="00B26D7D"/>
    <w:rsid w:val="00B26E34"/>
    <w:rsid w:val="00B26FFB"/>
    <w:rsid w:val="00B2781B"/>
    <w:rsid w:val="00B30743"/>
    <w:rsid w:val="00B31434"/>
    <w:rsid w:val="00B319F3"/>
    <w:rsid w:val="00B31EAC"/>
    <w:rsid w:val="00B32372"/>
    <w:rsid w:val="00B32501"/>
    <w:rsid w:val="00B325CD"/>
    <w:rsid w:val="00B32E27"/>
    <w:rsid w:val="00B32FBF"/>
    <w:rsid w:val="00B333D3"/>
    <w:rsid w:val="00B3384A"/>
    <w:rsid w:val="00B347C9"/>
    <w:rsid w:val="00B34C8B"/>
    <w:rsid w:val="00B352C0"/>
    <w:rsid w:val="00B352C3"/>
    <w:rsid w:val="00B3558D"/>
    <w:rsid w:val="00B35EB5"/>
    <w:rsid w:val="00B3621E"/>
    <w:rsid w:val="00B3672F"/>
    <w:rsid w:val="00B3675D"/>
    <w:rsid w:val="00B37599"/>
    <w:rsid w:val="00B37A6A"/>
    <w:rsid w:val="00B37EC3"/>
    <w:rsid w:val="00B407A3"/>
    <w:rsid w:val="00B409F8"/>
    <w:rsid w:val="00B40BCB"/>
    <w:rsid w:val="00B41604"/>
    <w:rsid w:val="00B41896"/>
    <w:rsid w:val="00B42026"/>
    <w:rsid w:val="00B42211"/>
    <w:rsid w:val="00B4238A"/>
    <w:rsid w:val="00B42AEF"/>
    <w:rsid w:val="00B43012"/>
    <w:rsid w:val="00B438B9"/>
    <w:rsid w:val="00B44078"/>
    <w:rsid w:val="00B44511"/>
    <w:rsid w:val="00B44EA3"/>
    <w:rsid w:val="00B45BCE"/>
    <w:rsid w:val="00B46117"/>
    <w:rsid w:val="00B462BB"/>
    <w:rsid w:val="00B46544"/>
    <w:rsid w:val="00B47100"/>
    <w:rsid w:val="00B471DF"/>
    <w:rsid w:val="00B47391"/>
    <w:rsid w:val="00B47926"/>
    <w:rsid w:val="00B47AEC"/>
    <w:rsid w:val="00B47DB3"/>
    <w:rsid w:val="00B50BBB"/>
    <w:rsid w:val="00B5103B"/>
    <w:rsid w:val="00B51062"/>
    <w:rsid w:val="00B52497"/>
    <w:rsid w:val="00B52CB5"/>
    <w:rsid w:val="00B53B2B"/>
    <w:rsid w:val="00B53CE5"/>
    <w:rsid w:val="00B53EEF"/>
    <w:rsid w:val="00B5446B"/>
    <w:rsid w:val="00B54EF1"/>
    <w:rsid w:val="00B54F87"/>
    <w:rsid w:val="00B5525E"/>
    <w:rsid w:val="00B555C4"/>
    <w:rsid w:val="00B55660"/>
    <w:rsid w:val="00B558D3"/>
    <w:rsid w:val="00B55E2E"/>
    <w:rsid w:val="00B55E43"/>
    <w:rsid w:val="00B5704B"/>
    <w:rsid w:val="00B57282"/>
    <w:rsid w:val="00B575AB"/>
    <w:rsid w:val="00B601B8"/>
    <w:rsid w:val="00B60320"/>
    <w:rsid w:val="00B6056D"/>
    <w:rsid w:val="00B606BF"/>
    <w:rsid w:val="00B613B5"/>
    <w:rsid w:val="00B61640"/>
    <w:rsid w:val="00B61788"/>
    <w:rsid w:val="00B61C37"/>
    <w:rsid w:val="00B62013"/>
    <w:rsid w:val="00B62048"/>
    <w:rsid w:val="00B62603"/>
    <w:rsid w:val="00B62D0D"/>
    <w:rsid w:val="00B63BAF"/>
    <w:rsid w:val="00B646CD"/>
    <w:rsid w:val="00B64C3D"/>
    <w:rsid w:val="00B65FB5"/>
    <w:rsid w:val="00B660AC"/>
    <w:rsid w:val="00B6622A"/>
    <w:rsid w:val="00B67893"/>
    <w:rsid w:val="00B6797F"/>
    <w:rsid w:val="00B67B00"/>
    <w:rsid w:val="00B7049D"/>
    <w:rsid w:val="00B713A3"/>
    <w:rsid w:val="00B715C8"/>
    <w:rsid w:val="00B71D5C"/>
    <w:rsid w:val="00B71EBF"/>
    <w:rsid w:val="00B71EF7"/>
    <w:rsid w:val="00B729DA"/>
    <w:rsid w:val="00B72B47"/>
    <w:rsid w:val="00B72EC5"/>
    <w:rsid w:val="00B72FF0"/>
    <w:rsid w:val="00B73FCF"/>
    <w:rsid w:val="00B74367"/>
    <w:rsid w:val="00B74645"/>
    <w:rsid w:val="00B754C7"/>
    <w:rsid w:val="00B75589"/>
    <w:rsid w:val="00B75BA2"/>
    <w:rsid w:val="00B765DC"/>
    <w:rsid w:val="00B76902"/>
    <w:rsid w:val="00B77507"/>
    <w:rsid w:val="00B77D2E"/>
    <w:rsid w:val="00B80182"/>
    <w:rsid w:val="00B80AE5"/>
    <w:rsid w:val="00B80C82"/>
    <w:rsid w:val="00B80E91"/>
    <w:rsid w:val="00B81262"/>
    <w:rsid w:val="00B812CE"/>
    <w:rsid w:val="00B824C7"/>
    <w:rsid w:val="00B8259B"/>
    <w:rsid w:val="00B8295C"/>
    <w:rsid w:val="00B82F0B"/>
    <w:rsid w:val="00B833C6"/>
    <w:rsid w:val="00B83401"/>
    <w:rsid w:val="00B8355E"/>
    <w:rsid w:val="00B849B4"/>
    <w:rsid w:val="00B84D96"/>
    <w:rsid w:val="00B86B55"/>
    <w:rsid w:val="00B86E97"/>
    <w:rsid w:val="00B87184"/>
    <w:rsid w:val="00B8722D"/>
    <w:rsid w:val="00B878F1"/>
    <w:rsid w:val="00B87E12"/>
    <w:rsid w:val="00B9006A"/>
    <w:rsid w:val="00B90BDE"/>
    <w:rsid w:val="00B90EC8"/>
    <w:rsid w:val="00B90F24"/>
    <w:rsid w:val="00B91228"/>
    <w:rsid w:val="00B91663"/>
    <w:rsid w:val="00B9172F"/>
    <w:rsid w:val="00B91A59"/>
    <w:rsid w:val="00B91AC8"/>
    <w:rsid w:val="00B91EB9"/>
    <w:rsid w:val="00B91F20"/>
    <w:rsid w:val="00B9223C"/>
    <w:rsid w:val="00B9240D"/>
    <w:rsid w:val="00B925A0"/>
    <w:rsid w:val="00B92E4C"/>
    <w:rsid w:val="00B93028"/>
    <w:rsid w:val="00B93490"/>
    <w:rsid w:val="00B93516"/>
    <w:rsid w:val="00B93D9B"/>
    <w:rsid w:val="00B94198"/>
    <w:rsid w:val="00B94590"/>
    <w:rsid w:val="00B94FB7"/>
    <w:rsid w:val="00B95D7B"/>
    <w:rsid w:val="00B95EC6"/>
    <w:rsid w:val="00B96108"/>
    <w:rsid w:val="00B965FE"/>
    <w:rsid w:val="00B967DC"/>
    <w:rsid w:val="00B968CE"/>
    <w:rsid w:val="00B971D7"/>
    <w:rsid w:val="00B97DB3"/>
    <w:rsid w:val="00BA03CC"/>
    <w:rsid w:val="00BA092B"/>
    <w:rsid w:val="00BA09C5"/>
    <w:rsid w:val="00BA0FE9"/>
    <w:rsid w:val="00BA117D"/>
    <w:rsid w:val="00BA3DF6"/>
    <w:rsid w:val="00BA46FE"/>
    <w:rsid w:val="00BA49DC"/>
    <w:rsid w:val="00BA4AC3"/>
    <w:rsid w:val="00BA4E0F"/>
    <w:rsid w:val="00BA527D"/>
    <w:rsid w:val="00BA5371"/>
    <w:rsid w:val="00BA56BD"/>
    <w:rsid w:val="00BA5F51"/>
    <w:rsid w:val="00BA649C"/>
    <w:rsid w:val="00BA667D"/>
    <w:rsid w:val="00BA7340"/>
    <w:rsid w:val="00BB0342"/>
    <w:rsid w:val="00BB03EF"/>
    <w:rsid w:val="00BB128F"/>
    <w:rsid w:val="00BB1553"/>
    <w:rsid w:val="00BB15A8"/>
    <w:rsid w:val="00BB1E39"/>
    <w:rsid w:val="00BB205B"/>
    <w:rsid w:val="00BB2AA7"/>
    <w:rsid w:val="00BB2EB7"/>
    <w:rsid w:val="00BB342C"/>
    <w:rsid w:val="00BB367E"/>
    <w:rsid w:val="00BB370D"/>
    <w:rsid w:val="00BB3AB8"/>
    <w:rsid w:val="00BB3CA2"/>
    <w:rsid w:val="00BB4167"/>
    <w:rsid w:val="00BB4EF8"/>
    <w:rsid w:val="00BB52AC"/>
    <w:rsid w:val="00BB58A8"/>
    <w:rsid w:val="00BB5AC4"/>
    <w:rsid w:val="00BB65CB"/>
    <w:rsid w:val="00BB69E0"/>
    <w:rsid w:val="00BB6ADF"/>
    <w:rsid w:val="00BB6C98"/>
    <w:rsid w:val="00BB6F02"/>
    <w:rsid w:val="00BB7234"/>
    <w:rsid w:val="00BB7279"/>
    <w:rsid w:val="00BB7627"/>
    <w:rsid w:val="00BB7BE7"/>
    <w:rsid w:val="00BC03CF"/>
    <w:rsid w:val="00BC03D2"/>
    <w:rsid w:val="00BC04C4"/>
    <w:rsid w:val="00BC0C0E"/>
    <w:rsid w:val="00BC0C40"/>
    <w:rsid w:val="00BC10A8"/>
    <w:rsid w:val="00BC1373"/>
    <w:rsid w:val="00BC1B3C"/>
    <w:rsid w:val="00BC1BDC"/>
    <w:rsid w:val="00BC2D7D"/>
    <w:rsid w:val="00BC332F"/>
    <w:rsid w:val="00BC36B4"/>
    <w:rsid w:val="00BC36E6"/>
    <w:rsid w:val="00BC42B8"/>
    <w:rsid w:val="00BC43C6"/>
    <w:rsid w:val="00BC4646"/>
    <w:rsid w:val="00BC49BD"/>
    <w:rsid w:val="00BC579D"/>
    <w:rsid w:val="00BC5A27"/>
    <w:rsid w:val="00BC5BFC"/>
    <w:rsid w:val="00BC5CE8"/>
    <w:rsid w:val="00BC5E7A"/>
    <w:rsid w:val="00BC64A1"/>
    <w:rsid w:val="00BC6B34"/>
    <w:rsid w:val="00BC7174"/>
    <w:rsid w:val="00BC7200"/>
    <w:rsid w:val="00BC7860"/>
    <w:rsid w:val="00BC78F4"/>
    <w:rsid w:val="00BC7FDE"/>
    <w:rsid w:val="00BD0280"/>
    <w:rsid w:val="00BD0304"/>
    <w:rsid w:val="00BD0B48"/>
    <w:rsid w:val="00BD0BBB"/>
    <w:rsid w:val="00BD0F0C"/>
    <w:rsid w:val="00BD0F58"/>
    <w:rsid w:val="00BD144D"/>
    <w:rsid w:val="00BD1842"/>
    <w:rsid w:val="00BD19D9"/>
    <w:rsid w:val="00BD1A3D"/>
    <w:rsid w:val="00BD1D3C"/>
    <w:rsid w:val="00BD1F69"/>
    <w:rsid w:val="00BD20A2"/>
    <w:rsid w:val="00BD2257"/>
    <w:rsid w:val="00BD22C9"/>
    <w:rsid w:val="00BD26DF"/>
    <w:rsid w:val="00BD2A05"/>
    <w:rsid w:val="00BD46CF"/>
    <w:rsid w:val="00BD52F4"/>
    <w:rsid w:val="00BD5811"/>
    <w:rsid w:val="00BD58C3"/>
    <w:rsid w:val="00BD6013"/>
    <w:rsid w:val="00BD610C"/>
    <w:rsid w:val="00BD6281"/>
    <w:rsid w:val="00BD64EE"/>
    <w:rsid w:val="00BD6F58"/>
    <w:rsid w:val="00BE02D4"/>
    <w:rsid w:val="00BE0642"/>
    <w:rsid w:val="00BE0911"/>
    <w:rsid w:val="00BE0EEE"/>
    <w:rsid w:val="00BE1386"/>
    <w:rsid w:val="00BE1664"/>
    <w:rsid w:val="00BE26EE"/>
    <w:rsid w:val="00BE2E31"/>
    <w:rsid w:val="00BE41EE"/>
    <w:rsid w:val="00BE42F1"/>
    <w:rsid w:val="00BE43B4"/>
    <w:rsid w:val="00BE46D7"/>
    <w:rsid w:val="00BE4970"/>
    <w:rsid w:val="00BE5360"/>
    <w:rsid w:val="00BE5386"/>
    <w:rsid w:val="00BE55EC"/>
    <w:rsid w:val="00BE59A0"/>
    <w:rsid w:val="00BE660C"/>
    <w:rsid w:val="00BE6DF5"/>
    <w:rsid w:val="00BE708F"/>
    <w:rsid w:val="00BE710F"/>
    <w:rsid w:val="00BE71B1"/>
    <w:rsid w:val="00BE781A"/>
    <w:rsid w:val="00BF1815"/>
    <w:rsid w:val="00BF1E44"/>
    <w:rsid w:val="00BF2620"/>
    <w:rsid w:val="00BF2A95"/>
    <w:rsid w:val="00BF2B6C"/>
    <w:rsid w:val="00BF2BC7"/>
    <w:rsid w:val="00BF2E2A"/>
    <w:rsid w:val="00BF3190"/>
    <w:rsid w:val="00BF39EA"/>
    <w:rsid w:val="00BF3B82"/>
    <w:rsid w:val="00BF3D17"/>
    <w:rsid w:val="00BF459E"/>
    <w:rsid w:val="00BF4AF9"/>
    <w:rsid w:val="00BF4B00"/>
    <w:rsid w:val="00BF4B2E"/>
    <w:rsid w:val="00BF5245"/>
    <w:rsid w:val="00BF5EFB"/>
    <w:rsid w:val="00BF67A4"/>
    <w:rsid w:val="00BF693D"/>
    <w:rsid w:val="00BF7547"/>
    <w:rsid w:val="00BF77E5"/>
    <w:rsid w:val="00BF7887"/>
    <w:rsid w:val="00BF7CA8"/>
    <w:rsid w:val="00C008EB"/>
    <w:rsid w:val="00C00B80"/>
    <w:rsid w:val="00C00C43"/>
    <w:rsid w:val="00C00EAB"/>
    <w:rsid w:val="00C01346"/>
    <w:rsid w:val="00C0134C"/>
    <w:rsid w:val="00C0134D"/>
    <w:rsid w:val="00C018D5"/>
    <w:rsid w:val="00C019AF"/>
    <w:rsid w:val="00C019B8"/>
    <w:rsid w:val="00C025DB"/>
    <w:rsid w:val="00C02C82"/>
    <w:rsid w:val="00C02F73"/>
    <w:rsid w:val="00C03449"/>
    <w:rsid w:val="00C03891"/>
    <w:rsid w:val="00C040BC"/>
    <w:rsid w:val="00C045FD"/>
    <w:rsid w:val="00C04962"/>
    <w:rsid w:val="00C054DD"/>
    <w:rsid w:val="00C05884"/>
    <w:rsid w:val="00C05E7F"/>
    <w:rsid w:val="00C06072"/>
    <w:rsid w:val="00C063DA"/>
    <w:rsid w:val="00C063EF"/>
    <w:rsid w:val="00C064BF"/>
    <w:rsid w:val="00C06589"/>
    <w:rsid w:val="00C06ACA"/>
    <w:rsid w:val="00C06E1B"/>
    <w:rsid w:val="00C07530"/>
    <w:rsid w:val="00C07A8E"/>
    <w:rsid w:val="00C07BF5"/>
    <w:rsid w:val="00C07CB7"/>
    <w:rsid w:val="00C101BD"/>
    <w:rsid w:val="00C107DC"/>
    <w:rsid w:val="00C10B00"/>
    <w:rsid w:val="00C10F0F"/>
    <w:rsid w:val="00C10F5E"/>
    <w:rsid w:val="00C112F8"/>
    <w:rsid w:val="00C112FF"/>
    <w:rsid w:val="00C11558"/>
    <w:rsid w:val="00C11FAD"/>
    <w:rsid w:val="00C1257A"/>
    <w:rsid w:val="00C125F3"/>
    <w:rsid w:val="00C12EF4"/>
    <w:rsid w:val="00C130A8"/>
    <w:rsid w:val="00C13227"/>
    <w:rsid w:val="00C1347F"/>
    <w:rsid w:val="00C13B07"/>
    <w:rsid w:val="00C13D00"/>
    <w:rsid w:val="00C14094"/>
    <w:rsid w:val="00C141B4"/>
    <w:rsid w:val="00C14802"/>
    <w:rsid w:val="00C14BCD"/>
    <w:rsid w:val="00C15F37"/>
    <w:rsid w:val="00C16108"/>
    <w:rsid w:val="00C16331"/>
    <w:rsid w:val="00C16382"/>
    <w:rsid w:val="00C16CE4"/>
    <w:rsid w:val="00C16D13"/>
    <w:rsid w:val="00C17346"/>
    <w:rsid w:val="00C17DB9"/>
    <w:rsid w:val="00C200AC"/>
    <w:rsid w:val="00C2062A"/>
    <w:rsid w:val="00C20B68"/>
    <w:rsid w:val="00C21050"/>
    <w:rsid w:val="00C21A20"/>
    <w:rsid w:val="00C21C26"/>
    <w:rsid w:val="00C21CD6"/>
    <w:rsid w:val="00C22084"/>
    <w:rsid w:val="00C22794"/>
    <w:rsid w:val="00C22C5D"/>
    <w:rsid w:val="00C23392"/>
    <w:rsid w:val="00C234CD"/>
    <w:rsid w:val="00C23760"/>
    <w:rsid w:val="00C246D1"/>
    <w:rsid w:val="00C25667"/>
    <w:rsid w:val="00C2571D"/>
    <w:rsid w:val="00C26C3A"/>
    <w:rsid w:val="00C26F01"/>
    <w:rsid w:val="00C27B4D"/>
    <w:rsid w:val="00C30B1A"/>
    <w:rsid w:val="00C30DCD"/>
    <w:rsid w:val="00C313D2"/>
    <w:rsid w:val="00C33AC8"/>
    <w:rsid w:val="00C33B82"/>
    <w:rsid w:val="00C33F7A"/>
    <w:rsid w:val="00C34090"/>
    <w:rsid w:val="00C344EA"/>
    <w:rsid w:val="00C34B44"/>
    <w:rsid w:val="00C34B75"/>
    <w:rsid w:val="00C34BB5"/>
    <w:rsid w:val="00C350F1"/>
    <w:rsid w:val="00C357ED"/>
    <w:rsid w:val="00C36503"/>
    <w:rsid w:val="00C368FC"/>
    <w:rsid w:val="00C37083"/>
    <w:rsid w:val="00C37822"/>
    <w:rsid w:val="00C378EC"/>
    <w:rsid w:val="00C378F7"/>
    <w:rsid w:val="00C37B5B"/>
    <w:rsid w:val="00C37F44"/>
    <w:rsid w:val="00C4094E"/>
    <w:rsid w:val="00C40AD7"/>
    <w:rsid w:val="00C415A6"/>
    <w:rsid w:val="00C419CD"/>
    <w:rsid w:val="00C41D8E"/>
    <w:rsid w:val="00C420C8"/>
    <w:rsid w:val="00C422EA"/>
    <w:rsid w:val="00C42720"/>
    <w:rsid w:val="00C42760"/>
    <w:rsid w:val="00C42977"/>
    <w:rsid w:val="00C431A5"/>
    <w:rsid w:val="00C4578B"/>
    <w:rsid w:val="00C459B9"/>
    <w:rsid w:val="00C45A0C"/>
    <w:rsid w:val="00C45AB0"/>
    <w:rsid w:val="00C46276"/>
    <w:rsid w:val="00C4643E"/>
    <w:rsid w:val="00C46D86"/>
    <w:rsid w:val="00C46FC2"/>
    <w:rsid w:val="00C473C9"/>
    <w:rsid w:val="00C47CAD"/>
    <w:rsid w:val="00C47DCE"/>
    <w:rsid w:val="00C47DDA"/>
    <w:rsid w:val="00C502E1"/>
    <w:rsid w:val="00C50370"/>
    <w:rsid w:val="00C5039E"/>
    <w:rsid w:val="00C50E9D"/>
    <w:rsid w:val="00C50F68"/>
    <w:rsid w:val="00C51621"/>
    <w:rsid w:val="00C5172A"/>
    <w:rsid w:val="00C51F33"/>
    <w:rsid w:val="00C5223D"/>
    <w:rsid w:val="00C52B6E"/>
    <w:rsid w:val="00C530E7"/>
    <w:rsid w:val="00C53181"/>
    <w:rsid w:val="00C532F1"/>
    <w:rsid w:val="00C53308"/>
    <w:rsid w:val="00C53CD0"/>
    <w:rsid w:val="00C54069"/>
    <w:rsid w:val="00C54764"/>
    <w:rsid w:val="00C54DBE"/>
    <w:rsid w:val="00C54F5B"/>
    <w:rsid w:val="00C55049"/>
    <w:rsid w:val="00C5586C"/>
    <w:rsid w:val="00C55CD1"/>
    <w:rsid w:val="00C55DEE"/>
    <w:rsid w:val="00C56298"/>
    <w:rsid w:val="00C562DC"/>
    <w:rsid w:val="00C564F6"/>
    <w:rsid w:val="00C56BF3"/>
    <w:rsid w:val="00C56DAD"/>
    <w:rsid w:val="00C5704D"/>
    <w:rsid w:val="00C57F02"/>
    <w:rsid w:val="00C57F05"/>
    <w:rsid w:val="00C60A67"/>
    <w:rsid w:val="00C60A7C"/>
    <w:rsid w:val="00C60CF9"/>
    <w:rsid w:val="00C615F0"/>
    <w:rsid w:val="00C61C53"/>
    <w:rsid w:val="00C61EF1"/>
    <w:rsid w:val="00C62060"/>
    <w:rsid w:val="00C62B9A"/>
    <w:rsid w:val="00C6344B"/>
    <w:rsid w:val="00C636CD"/>
    <w:rsid w:val="00C63749"/>
    <w:rsid w:val="00C63E3A"/>
    <w:rsid w:val="00C63F39"/>
    <w:rsid w:val="00C642D9"/>
    <w:rsid w:val="00C65F64"/>
    <w:rsid w:val="00C6602D"/>
    <w:rsid w:val="00C662A4"/>
    <w:rsid w:val="00C6632D"/>
    <w:rsid w:val="00C6729E"/>
    <w:rsid w:val="00C673C9"/>
    <w:rsid w:val="00C6747A"/>
    <w:rsid w:val="00C6795C"/>
    <w:rsid w:val="00C7047F"/>
    <w:rsid w:val="00C7055B"/>
    <w:rsid w:val="00C70B74"/>
    <w:rsid w:val="00C70DCE"/>
    <w:rsid w:val="00C71DBA"/>
    <w:rsid w:val="00C727B1"/>
    <w:rsid w:val="00C72845"/>
    <w:rsid w:val="00C73C98"/>
    <w:rsid w:val="00C74735"/>
    <w:rsid w:val="00C74948"/>
    <w:rsid w:val="00C74D82"/>
    <w:rsid w:val="00C75109"/>
    <w:rsid w:val="00C75617"/>
    <w:rsid w:val="00C75658"/>
    <w:rsid w:val="00C76688"/>
    <w:rsid w:val="00C771BA"/>
    <w:rsid w:val="00C77615"/>
    <w:rsid w:val="00C77933"/>
    <w:rsid w:val="00C77B06"/>
    <w:rsid w:val="00C80AF9"/>
    <w:rsid w:val="00C80EAC"/>
    <w:rsid w:val="00C81336"/>
    <w:rsid w:val="00C8170F"/>
    <w:rsid w:val="00C8196D"/>
    <w:rsid w:val="00C820CF"/>
    <w:rsid w:val="00C82297"/>
    <w:rsid w:val="00C82514"/>
    <w:rsid w:val="00C82A51"/>
    <w:rsid w:val="00C835B5"/>
    <w:rsid w:val="00C836E0"/>
    <w:rsid w:val="00C837F3"/>
    <w:rsid w:val="00C8557F"/>
    <w:rsid w:val="00C864D1"/>
    <w:rsid w:val="00C866F2"/>
    <w:rsid w:val="00C86798"/>
    <w:rsid w:val="00C86D0B"/>
    <w:rsid w:val="00C86DDE"/>
    <w:rsid w:val="00C86FF3"/>
    <w:rsid w:val="00C870A7"/>
    <w:rsid w:val="00C87D89"/>
    <w:rsid w:val="00C900D5"/>
    <w:rsid w:val="00C901B3"/>
    <w:rsid w:val="00C90A06"/>
    <w:rsid w:val="00C90C3A"/>
    <w:rsid w:val="00C90F56"/>
    <w:rsid w:val="00C91624"/>
    <w:rsid w:val="00C91DFC"/>
    <w:rsid w:val="00C925E5"/>
    <w:rsid w:val="00C92A44"/>
    <w:rsid w:val="00C9335E"/>
    <w:rsid w:val="00C93653"/>
    <w:rsid w:val="00C93B73"/>
    <w:rsid w:val="00C941EC"/>
    <w:rsid w:val="00C94344"/>
    <w:rsid w:val="00C94756"/>
    <w:rsid w:val="00C94E6F"/>
    <w:rsid w:val="00C951BD"/>
    <w:rsid w:val="00C952F9"/>
    <w:rsid w:val="00C9585F"/>
    <w:rsid w:val="00C95E25"/>
    <w:rsid w:val="00C962C4"/>
    <w:rsid w:val="00C974D6"/>
    <w:rsid w:val="00C9767B"/>
    <w:rsid w:val="00C977D9"/>
    <w:rsid w:val="00C97AF3"/>
    <w:rsid w:val="00C97B68"/>
    <w:rsid w:val="00CA02D0"/>
    <w:rsid w:val="00CA02D1"/>
    <w:rsid w:val="00CA0C1E"/>
    <w:rsid w:val="00CA0CE2"/>
    <w:rsid w:val="00CA129F"/>
    <w:rsid w:val="00CA14BF"/>
    <w:rsid w:val="00CA1831"/>
    <w:rsid w:val="00CA19CA"/>
    <w:rsid w:val="00CA1B66"/>
    <w:rsid w:val="00CA1CF2"/>
    <w:rsid w:val="00CA27A8"/>
    <w:rsid w:val="00CA30E3"/>
    <w:rsid w:val="00CA3B44"/>
    <w:rsid w:val="00CA3D38"/>
    <w:rsid w:val="00CA40DE"/>
    <w:rsid w:val="00CA4313"/>
    <w:rsid w:val="00CA447D"/>
    <w:rsid w:val="00CA4D3A"/>
    <w:rsid w:val="00CA4F81"/>
    <w:rsid w:val="00CA54A2"/>
    <w:rsid w:val="00CA5825"/>
    <w:rsid w:val="00CA6054"/>
    <w:rsid w:val="00CA6251"/>
    <w:rsid w:val="00CA6836"/>
    <w:rsid w:val="00CA6C8B"/>
    <w:rsid w:val="00CA7464"/>
    <w:rsid w:val="00CA7557"/>
    <w:rsid w:val="00CA757E"/>
    <w:rsid w:val="00CB014A"/>
    <w:rsid w:val="00CB02CE"/>
    <w:rsid w:val="00CB0BAF"/>
    <w:rsid w:val="00CB114B"/>
    <w:rsid w:val="00CB1382"/>
    <w:rsid w:val="00CB1499"/>
    <w:rsid w:val="00CB1635"/>
    <w:rsid w:val="00CB1C73"/>
    <w:rsid w:val="00CB1DE7"/>
    <w:rsid w:val="00CB2509"/>
    <w:rsid w:val="00CB28CE"/>
    <w:rsid w:val="00CB2CE8"/>
    <w:rsid w:val="00CB374A"/>
    <w:rsid w:val="00CB3E9A"/>
    <w:rsid w:val="00CB43A3"/>
    <w:rsid w:val="00CB4E19"/>
    <w:rsid w:val="00CB4E5B"/>
    <w:rsid w:val="00CB5300"/>
    <w:rsid w:val="00CB5EFC"/>
    <w:rsid w:val="00CB5F0D"/>
    <w:rsid w:val="00CB6183"/>
    <w:rsid w:val="00CB6B60"/>
    <w:rsid w:val="00CB6B8F"/>
    <w:rsid w:val="00CB720D"/>
    <w:rsid w:val="00CB7445"/>
    <w:rsid w:val="00CB7920"/>
    <w:rsid w:val="00CB7AF1"/>
    <w:rsid w:val="00CB7B2F"/>
    <w:rsid w:val="00CC062B"/>
    <w:rsid w:val="00CC0AC5"/>
    <w:rsid w:val="00CC1AB9"/>
    <w:rsid w:val="00CC1CD7"/>
    <w:rsid w:val="00CC22F7"/>
    <w:rsid w:val="00CC3844"/>
    <w:rsid w:val="00CC3B85"/>
    <w:rsid w:val="00CC3DD5"/>
    <w:rsid w:val="00CC43BA"/>
    <w:rsid w:val="00CC43E9"/>
    <w:rsid w:val="00CC4E58"/>
    <w:rsid w:val="00CC5812"/>
    <w:rsid w:val="00CC5851"/>
    <w:rsid w:val="00CC610B"/>
    <w:rsid w:val="00CC718B"/>
    <w:rsid w:val="00CC7357"/>
    <w:rsid w:val="00CC76DF"/>
    <w:rsid w:val="00CC7EBA"/>
    <w:rsid w:val="00CD005B"/>
    <w:rsid w:val="00CD06CE"/>
    <w:rsid w:val="00CD077A"/>
    <w:rsid w:val="00CD1828"/>
    <w:rsid w:val="00CD1987"/>
    <w:rsid w:val="00CD1F5D"/>
    <w:rsid w:val="00CD2C69"/>
    <w:rsid w:val="00CD30AC"/>
    <w:rsid w:val="00CD3216"/>
    <w:rsid w:val="00CD4D3F"/>
    <w:rsid w:val="00CD4D8B"/>
    <w:rsid w:val="00CD554C"/>
    <w:rsid w:val="00CD61B6"/>
    <w:rsid w:val="00CD626B"/>
    <w:rsid w:val="00CD66B5"/>
    <w:rsid w:val="00CD6A9D"/>
    <w:rsid w:val="00CD772C"/>
    <w:rsid w:val="00CD7A89"/>
    <w:rsid w:val="00CE03AB"/>
    <w:rsid w:val="00CE1ECD"/>
    <w:rsid w:val="00CE22ED"/>
    <w:rsid w:val="00CE29B8"/>
    <w:rsid w:val="00CE308A"/>
    <w:rsid w:val="00CE3680"/>
    <w:rsid w:val="00CE406F"/>
    <w:rsid w:val="00CE458F"/>
    <w:rsid w:val="00CE4A52"/>
    <w:rsid w:val="00CE59BC"/>
    <w:rsid w:val="00CE5C4B"/>
    <w:rsid w:val="00CE5D03"/>
    <w:rsid w:val="00CE6AE9"/>
    <w:rsid w:val="00CE6DFE"/>
    <w:rsid w:val="00CE7283"/>
    <w:rsid w:val="00CE72AF"/>
    <w:rsid w:val="00CE75BC"/>
    <w:rsid w:val="00CE78D0"/>
    <w:rsid w:val="00CE78F1"/>
    <w:rsid w:val="00CE7C04"/>
    <w:rsid w:val="00CE7F97"/>
    <w:rsid w:val="00CF01EE"/>
    <w:rsid w:val="00CF0AC7"/>
    <w:rsid w:val="00CF0C99"/>
    <w:rsid w:val="00CF1119"/>
    <w:rsid w:val="00CF1E4E"/>
    <w:rsid w:val="00CF1F5E"/>
    <w:rsid w:val="00CF2036"/>
    <w:rsid w:val="00CF3573"/>
    <w:rsid w:val="00CF3931"/>
    <w:rsid w:val="00CF468C"/>
    <w:rsid w:val="00CF4792"/>
    <w:rsid w:val="00CF5075"/>
    <w:rsid w:val="00CF5125"/>
    <w:rsid w:val="00CF54EA"/>
    <w:rsid w:val="00CF556D"/>
    <w:rsid w:val="00CF5B99"/>
    <w:rsid w:val="00CF5BB7"/>
    <w:rsid w:val="00CF5C56"/>
    <w:rsid w:val="00CF642A"/>
    <w:rsid w:val="00CF6CD3"/>
    <w:rsid w:val="00CF79CB"/>
    <w:rsid w:val="00D00687"/>
    <w:rsid w:val="00D00A80"/>
    <w:rsid w:val="00D00B2C"/>
    <w:rsid w:val="00D00E40"/>
    <w:rsid w:val="00D013B3"/>
    <w:rsid w:val="00D01C37"/>
    <w:rsid w:val="00D0291D"/>
    <w:rsid w:val="00D02BB2"/>
    <w:rsid w:val="00D02F49"/>
    <w:rsid w:val="00D03316"/>
    <w:rsid w:val="00D03422"/>
    <w:rsid w:val="00D0347A"/>
    <w:rsid w:val="00D03864"/>
    <w:rsid w:val="00D03AAA"/>
    <w:rsid w:val="00D04222"/>
    <w:rsid w:val="00D04357"/>
    <w:rsid w:val="00D04A22"/>
    <w:rsid w:val="00D04E16"/>
    <w:rsid w:val="00D050B0"/>
    <w:rsid w:val="00D05DE1"/>
    <w:rsid w:val="00D06481"/>
    <w:rsid w:val="00D0682D"/>
    <w:rsid w:val="00D06D62"/>
    <w:rsid w:val="00D06FE9"/>
    <w:rsid w:val="00D07639"/>
    <w:rsid w:val="00D078A1"/>
    <w:rsid w:val="00D07BF2"/>
    <w:rsid w:val="00D10A54"/>
    <w:rsid w:val="00D10AA1"/>
    <w:rsid w:val="00D10EC2"/>
    <w:rsid w:val="00D1176D"/>
    <w:rsid w:val="00D11814"/>
    <w:rsid w:val="00D118E8"/>
    <w:rsid w:val="00D13684"/>
    <w:rsid w:val="00D13B18"/>
    <w:rsid w:val="00D13C82"/>
    <w:rsid w:val="00D14968"/>
    <w:rsid w:val="00D14A4A"/>
    <w:rsid w:val="00D14C0A"/>
    <w:rsid w:val="00D15062"/>
    <w:rsid w:val="00D153FD"/>
    <w:rsid w:val="00D15A36"/>
    <w:rsid w:val="00D15D76"/>
    <w:rsid w:val="00D1612E"/>
    <w:rsid w:val="00D16478"/>
    <w:rsid w:val="00D16B4E"/>
    <w:rsid w:val="00D16CFB"/>
    <w:rsid w:val="00D16F0D"/>
    <w:rsid w:val="00D171E5"/>
    <w:rsid w:val="00D1781A"/>
    <w:rsid w:val="00D209AA"/>
    <w:rsid w:val="00D20E7E"/>
    <w:rsid w:val="00D214B3"/>
    <w:rsid w:val="00D2274A"/>
    <w:rsid w:val="00D22B48"/>
    <w:rsid w:val="00D233B2"/>
    <w:rsid w:val="00D23878"/>
    <w:rsid w:val="00D23DEF"/>
    <w:rsid w:val="00D24F84"/>
    <w:rsid w:val="00D252E1"/>
    <w:rsid w:val="00D25385"/>
    <w:rsid w:val="00D2589F"/>
    <w:rsid w:val="00D25A61"/>
    <w:rsid w:val="00D25E35"/>
    <w:rsid w:val="00D26019"/>
    <w:rsid w:val="00D2620C"/>
    <w:rsid w:val="00D2678F"/>
    <w:rsid w:val="00D27525"/>
    <w:rsid w:val="00D27668"/>
    <w:rsid w:val="00D276A8"/>
    <w:rsid w:val="00D2787A"/>
    <w:rsid w:val="00D27AA8"/>
    <w:rsid w:val="00D27C44"/>
    <w:rsid w:val="00D3034C"/>
    <w:rsid w:val="00D30DA0"/>
    <w:rsid w:val="00D3249F"/>
    <w:rsid w:val="00D32724"/>
    <w:rsid w:val="00D33CB7"/>
    <w:rsid w:val="00D33CDC"/>
    <w:rsid w:val="00D34018"/>
    <w:rsid w:val="00D34780"/>
    <w:rsid w:val="00D3485C"/>
    <w:rsid w:val="00D34D61"/>
    <w:rsid w:val="00D34F98"/>
    <w:rsid w:val="00D36869"/>
    <w:rsid w:val="00D36945"/>
    <w:rsid w:val="00D4037E"/>
    <w:rsid w:val="00D404C5"/>
    <w:rsid w:val="00D40953"/>
    <w:rsid w:val="00D40FFC"/>
    <w:rsid w:val="00D41156"/>
    <w:rsid w:val="00D411FC"/>
    <w:rsid w:val="00D41481"/>
    <w:rsid w:val="00D419BE"/>
    <w:rsid w:val="00D4281F"/>
    <w:rsid w:val="00D42889"/>
    <w:rsid w:val="00D4380E"/>
    <w:rsid w:val="00D43E36"/>
    <w:rsid w:val="00D445C4"/>
    <w:rsid w:val="00D44652"/>
    <w:rsid w:val="00D44815"/>
    <w:rsid w:val="00D453AB"/>
    <w:rsid w:val="00D45D9F"/>
    <w:rsid w:val="00D46077"/>
    <w:rsid w:val="00D46D28"/>
    <w:rsid w:val="00D473AA"/>
    <w:rsid w:val="00D474E8"/>
    <w:rsid w:val="00D47A5B"/>
    <w:rsid w:val="00D50FCC"/>
    <w:rsid w:val="00D51E7F"/>
    <w:rsid w:val="00D52AE1"/>
    <w:rsid w:val="00D52B55"/>
    <w:rsid w:val="00D5311C"/>
    <w:rsid w:val="00D53122"/>
    <w:rsid w:val="00D537C3"/>
    <w:rsid w:val="00D539FD"/>
    <w:rsid w:val="00D53D33"/>
    <w:rsid w:val="00D53F18"/>
    <w:rsid w:val="00D53F63"/>
    <w:rsid w:val="00D546F5"/>
    <w:rsid w:val="00D549CB"/>
    <w:rsid w:val="00D5518B"/>
    <w:rsid w:val="00D555C9"/>
    <w:rsid w:val="00D55D85"/>
    <w:rsid w:val="00D55E8F"/>
    <w:rsid w:val="00D5664B"/>
    <w:rsid w:val="00D579AC"/>
    <w:rsid w:val="00D57AAA"/>
    <w:rsid w:val="00D57CC7"/>
    <w:rsid w:val="00D57FDE"/>
    <w:rsid w:val="00D6037A"/>
    <w:rsid w:val="00D609ED"/>
    <w:rsid w:val="00D60B59"/>
    <w:rsid w:val="00D60DD0"/>
    <w:rsid w:val="00D61A91"/>
    <w:rsid w:val="00D61C15"/>
    <w:rsid w:val="00D61EDC"/>
    <w:rsid w:val="00D62A72"/>
    <w:rsid w:val="00D62B7C"/>
    <w:rsid w:val="00D62C05"/>
    <w:rsid w:val="00D63089"/>
    <w:rsid w:val="00D63A7A"/>
    <w:rsid w:val="00D63D48"/>
    <w:rsid w:val="00D63F92"/>
    <w:rsid w:val="00D648E2"/>
    <w:rsid w:val="00D64A94"/>
    <w:rsid w:val="00D64F2D"/>
    <w:rsid w:val="00D64F45"/>
    <w:rsid w:val="00D6552C"/>
    <w:rsid w:val="00D65862"/>
    <w:rsid w:val="00D65B41"/>
    <w:rsid w:val="00D6612B"/>
    <w:rsid w:val="00D66265"/>
    <w:rsid w:val="00D66543"/>
    <w:rsid w:val="00D665CA"/>
    <w:rsid w:val="00D67AF1"/>
    <w:rsid w:val="00D67B4B"/>
    <w:rsid w:val="00D67CB5"/>
    <w:rsid w:val="00D67D75"/>
    <w:rsid w:val="00D70AEA"/>
    <w:rsid w:val="00D71131"/>
    <w:rsid w:val="00D7176C"/>
    <w:rsid w:val="00D7189B"/>
    <w:rsid w:val="00D71DD3"/>
    <w:rsid w:val="00D72FB4"/>
    <w:rsid w:val="00D73736"/>
    <w:rsid w:val="00D73769"/>
    <w:rsid w:val="00D73F0A"/>
    <w:rsid w:val="00D73F92"/>
    <w:rsid w:val="00D74165"/>
    <w:rsid w:val="00D74416"/>
    <w:rsid w:val="00D74512"/>
    <w:rsid w:val="00D7547C"/>
    <w:rsid w:val="00D75593"/>
    <w:rsid w:val="00D759C7"/>
    <w:rsid w:val="00D77375"/>
    <w:rsid w:val="00D77A66"/>
    <w:rsid w:val="00D77AA2"/>
    <w:rsid w:val="00D77FC5"/>
    <w:rsid w:val="00D8097A"/>
    <w:rsid w:val="00D812E4"/>
    <w:rsid w:val="00D8188B"/>
    <w:rsid w:val="00D81D61"/>
    <w:rsid w:val="00D81FC6"/>
    <w:rsid w:val="00D82222"/>
    <w:rsid w:val="00D82E9B"/>
    <w:rsid w:val="00D832D6"/>
    <w:rsid w:val="00D8366D"/>
    <w:rsid w:val="00D8370B"/>
    <w:rsid w:val="00D83B4A"/>
    <w:rsid w:val="00D83C51"/>
    <w:rsid w:val="00D843A1"/>
    <w:rsid w:val="00D84794"/>
    <w:rsid w:val="00D84837"/>
    <w:rsid w:val="00D84D97"/>
    <w:rsid w:val="00D85A00"/>
    <w:rsid w:val="00D86918"/>
    <w:rsid w:val="00D86BFF"/>
    <w:rsid w:val="00D86C78"/>
    <w:rsid w:val="00D912F5"/>
    <w:rsid w:val="00D91612"/>
    <w:rsid w:val="00D91E71"/>
    <w:rsid w:val="00D92215"/>
    <w:rsid w:val="00D925B9"/>
    <w:rsid w:val="00D92AB2"/>
    <w:rsid w:val="00D92B1E"/>
    <w:rsid w:val="00D9358F"/>
    <w:rsid w:val="00D9415C"/>
    <w:rsid w:val="00D94A61"/>
    <w:rsid w:val="00D94D26"/>
    <w:rsid w:val="00D95098"/>
    <w:rsid w:val="00D954F3"/>
    <w:rsid w:val="00D956B7"/>
    <w:rsid w:val="00D95C46"/>
    <w:rsid w:val="00D95C73"/>
    <w:rsid w:val="00D962A9"/>
    <w:rsid w:val="00D972E7"/>
    <w:rsid w:val="00D976E7"/>
    <w:rsid w:val="00DA0241"/>
    <w:rsid w:val="00DA0ED2"/>
    <w:rsid w:val="00DA12FA"/>
    <w:rsid w:val="00DA1444"/>
    <w:rsid w:val="00DA1607"/>
    <w:rsid w:val="00DA1FA8"/>
    <w:rsid w:val="00DA25BA"/>
    <w:rsid w:val="00DA2AA1"/>
    <w:rsid w:val="00DA3104"/>
    <w:rsid w:val="00DA3509"/>
    <w:rsid w:val="00DA3527"/>
    <w:rsid w:val="00DA3823"/>
    <w:rsid w:val="00DA3A67"/>
    <w:rsid w:val="00DA3FA9"/>
    <w:rsid w:val="00DA4B1E"/>
    <w:rsid w:val="00DA5283"/>
    <w:rsid w:val="00DA566C"/>
    <w:rsid w:val="00DA61E1"/>
    <w:rsid w:val="00DA62FD"/>
    <w:rsid w:val="00DA6FDF"/>
    <w:rsid w:val="00DA7CEF"/>
    <w:rsid w:val="00DA7FD9"/>
    <w:rsid w:val="00DB0032"/>
    <w:rsid w:val="00DB03BA"/>
    <w:rsid w:val="00DB0888"/>
    <w:rsid w:val="00DB0C90"/>
    <w:rsid w:val="00DB0D69"/>
    <w:rsid w:val="00DB14D5"/>
    <w:rsid w:val="00DB1B50"/>
    <w:rsid w:val="00DB1CFE"/>
    <w:rsid w:val="00DB1D55"/>
    <w:rsid w:val="00DB1DF0"/>
    <w:rsid w:val="00DB229F"/>
    <w:rsid w:val="00DB2F58"/>
    <w:rsid w:val="00DB3288"/>
    <w:rsid w:val="00DB3385"/>
    <w:rsid w:val="00DB33BA"/>
    <w:rsid w:val="00DB356A"/>
    <w:rsid w:val="00DB3DD4"/>
    <w:rsid w:val="00DB4350"/>
    <w:rsid w:val="00DB489C"/>
    <w:rsid w:val="00DB48CB"/>
    <w:rsid w:val="00DB4945"/>
    <w:rsid w:val="00DB5353"/>
    <w:rsid w:val="00DB53C7"/>
    <w:rsid w:val="00DB5735"/>
    <w:rsid w:val="00DB5B40"/>
    <w:rsid w:val="00DB6827"/>
    <w:rsid w:val="00DB6E94"/>
    <w:rsid w:val="00DB7126"/>
    <w:rsid w:val="00DB72B2"/>
    <w:rsid w:val="00DB792C"/>
    <w:rsid w:val="00DB7E9F"/>
    <w:rsid w:val="00DC0114"/>
    <w:rsid w:val="00DC05B7"/>
    <w:rsid w:val="00DC09E8"/>
    <w:rsid w:val="00DC13D0"/>
    <w:rsid w:val="00DC2A05"/>
    <w:rsid w:val="00DC2A15"/>
    <w:rsid w:val="00DC2F8C"/>
    <w:rsid w:val="00DC31AD"/>
    <w:rsid w:val="00DC33E4"/>
    <w:rsid w:val="00DC4622"/>
    <w:rsid w:val="00DC48E0"/>
    <w:rsid w:val="00DC492A"/>
    <w:rsid w:val="00DC4CC5"/>
    <w:rsid w:val="00DC4DF6"/>
    <w:rsid w:val="00DC4F5E"/>
    <w:rsid w:val="00DC58BA"/>
    <w:rsid w:val="00DC5D26"/>
    <w:rsid w:val="00DC60A4"/>
    <w:rsid w:val="00DC6B2A"/>
    <w:rsid w:val="00DC6C6F"/>
    <w:rsid w:val="00DC6E4F"/>
    <w:rsid w:val="00DC6FB5"/>
    <w:rsid w:val="00DC7039"/>
    <w:rsid w:val="00DC78EB"/>
    <w:rsid w:val="00DC7C8B"/>
    <w:rsid w:val="00DD0155"/>
    <w:rsid w:val="00DD0B4B"/>
    <w:rsid w:val="00DD198A"/>
    <w:rsid w:val="00DD1EAF"/>
    <w:rsid w:val="00DD1FF9"/>
    <w:rsid w:val="00DD206B"/>
    <w:rsid w:val="00DD2A40"/>
    <w:rsid w:val="00DD31AB"/>
    <w:rsid w:val="00DD3475"/>
    <w:rsid w:val="00DD3A32"/>
    <w:rsid w:val="00DD3B2A"/>
    <w:rsid w:val="00DD3FCF"/>
    <w:rsid w:val="00DD41DC"/>
    <w:rsid w:val="00DD43DF"/>
    <w:rsid w:val="00DD4416"/>
    <w:rsid w:val="00DD47B0"/>
    <w:rsid w:val="00DD4923"/>
    <w:rsid w:val="00DD4FDD"/>
    <w:rsid w:val="00DD538E"/>
    <w:rsid w:val="00DD565D"/>
    <w:rsid w:val="00DD5AA4"/>
    <w:rsid w:val="00DD7330"/>
    <w:rsid w:val="00DD7633"/>
    <w:rsid w:val="00DD7E3D"/>
    <w:rsid w:val="00DE0466"/>
    <w:rsid w:val="00DE05AC"/>
    <w:rsid w:val="00DE0C94"/>
    <w:rsid w:val="00DE1849"/>
    <w:rsid w:val="00DE1B53"/>
    <w:rsid w:val="00DE2D4A"/>
    <w:rsid w:val="00DE31E9"/>
    <w:rsid w:val="00DE3596"/>
    <w:rsid w:val="00DE373E"/>
    <w:rsid w:val="00DE3BB5"/>
    <w:rsid w:val="00DE6203"/>
    <w:rsid w:val="00DE6718"/>
    <w:rsid w:val="00DE69ED"/>
    <w:rsid w:val="00DE6D81"/>
    <w:rsid w:val="00DE6E99"/>
    <w:rsid w:val="00DE73A3"/>
    <w:rsid w:val="00DE74D4"/>
    <w:rsid w:val="00DE7878"/>
    <w:rsid w:val="00DF017A"/>
    <w:rsid w:val="00DF0394"/>
    <w:rsid w:val="00DF0555"/>
    <w:rsid w:val="00DF14E4"/>
    <w:rsid w:val="00DF1617"/>
    <w:rsid w:val="00DF1890"/>
    <w:rsid w:val="00DF2B5C"/>
    <w:rsid w:val="00DF33FF"/>
    <w:rsid w:val="00DF3640"/>
    <w:rsid w:val="00DF3701"/>
    <w:rsid w:val="00DF407C"/>
    <w:rsid w:val="00DF464B"/>
    <w:rsid w:val="00DF4E1F"/>
    <w:rsid w:val="00DF51A8"/>
    <w:rsid w:val="00DF53C2"/>
    <w:rsid w:val="00DF57C0"/>
    <w:rsid w:val="00DF593A"/>
    <w:rsid w:val="00DF659D"/>
    <w:rsid w:val="00DF6642"/>
    <w:rsid w:val="00DF6A99"/>
    <w:rsid w:val="00DF7986"/>
    <w:rsid w:val="00E00CB8"/>
    <w:rsid w:val="00E00EE4"/>
    <w:rsid w:val="00E01117"/>
    <w:rsid w:val="00E01ACB"/>
    <w:rsid w:val="00E01DA6"/>
    <w:rsid w:val="00E0249E"/>
    <w:rsid w:val="00E025DC"/>
    <w:rsid w:val="00E02AD5"/>
    <w:rsid w:val="00E02B63"/>
    <w:rsid w:val="00E02F6C"/>
    <w:rsid w:val="00E03B28"/>
    <w:rsid w:val="00E03C7E"/>
    <w:rsid w:val="00E04562"/>
    <w:rsid w:val="00E04CD5"/>
    <w:rsid w:val="00E04DA0"/>
    <w:rsid w:val="00E054BC"/>
    <w:rsid w:val="00E0616C"/>
    <w:rsid w:val="00E066AC"/>
    <w:rsid w:val="00E06875"/>
    <w:rsid w:val="00E06D44"/>
    <w:rsid w:val="00E07A2F"/>
    <w:rsid w:val="00E10B4D"/>
    <w:rsid w:val="00E10E25"/>
    <w:rsid w:val="00E11260"/>
    <w:rsid w:val="00E11379"/>
    <w:rsid w:val="00E12160"/>
    <w:rsid w:val="00E12736"/>
    <w:rsid w:val="00E129A1"/>
    <w:rsid w:val="00E136C4"/>
    <w:rsid w:val="00E137FC"/>
    <w:rsid w:val="00E14510"/>
    <w:rsid w:val="00E14599"/>
    <w:rsid w:val="00E1461F"/>
    <w:rsid w:val="00E14906"/>
    <w:rsid w:val="00E14C75"/>
    <w:rsid w:val="00E14E55"/>
    <w:rsid w:val="00E15624"/>
    <w:rsid w:val="00E1580C"/>
    <w:rsid w:val="00E15939"/>
    <w:rsid w:val="00E1622E"/>
    <w:rsid w:val="00E165EF"/>
    <w:rsid w:val="00E17074"/>
    <w:rsid w:val="00E17367"/>
    <w:rsid w:val="00E173E8"/>
    <w:rsid w:val="00E20077"/>
    <w:rsid w:val="00E207C6"/>
    <w:rsid w:val="00E20EC2"/>
    <w:rsid w:val="00E215B1"/>
    <w:rsid w:val="00E222B5"/>
    <w:rsid w:val="00E22544"/>
    <w:rsid w:val="00E22730"/>
    <w:rsid w:val="00E229E7"/>
    <w:rsid w:val="00E22F4C"/>
    <w:rsid w:val="00E23351"/>
    <w:rsid w:val="00E23435"/>
    <w:rsid w:val="00E235AD"/>
    <w:rsid w:val="00E23B02"/>
    <w:rsid w:val="00E23B57"/>
    <w:rsid w:val="00E23D57"/>
    <w:rsid w:val="00E24014"/>
    <w:rsid w:val="00E24217"/>
    <w:rsid w:val="00E272F4"/>
    <w:rsid w:val="00E27584"/>
    <w:rsid w:val="00E277C5"/>
    <w:rsid w:val="00E27B2E"/>
    <w:rsid w:val="00E27DF2"/>
    <w:rsid w:val="00E30638"/>
    <w:rsid w:val="00E30AF8"/>
    <w:rsid w:val="00E31D3F"/>
    <w:rsid w:val="00E31F2F"/>
    <w:rsid w:val="00E32D44"/>
    <w:rsid w:val="00E331FB"/>
    <w:rsid w:val="00E3366D"/>
    <w:rsid w:val="00E3368F"/>
    <w:rsid w:val="00E33D1F"/>
    <w:rsid w:val="00E340F4"/>
    <w:rsid w:val="00E3444C"/>
    <w:rsid w:val="00E344ED"/>
    <w:rsid w:val="00E34EF9"/>
    <w:rsid w:val="00E357B3"/>
    <w:rsid w:val="00E35A87"/>
    <w:rsid w:val="00E364E9"/>
    <w:rsid w:val="00E36C1B"/>
    <w:rsid w:val="00E373EA"/>
    <w:rsid w:val="00E37FB4"/>
    <w:rsid w:val="00E401CA"/>
    <w:rsid w:val="00E40E6F"/>
    <w:rsid w:val="00E410E2"/>
    <w:rsid w:val="00E4148E"/>
    <w:rsid w:val="00E416AA"/>
    <w:rsid w:val="00E41805"/>
    <w:rsid w:val="00E41858"/>
    <w:rsid w:val="00E41C01"/>
    <w:rsid w:val="00E41C76"/>
    <w:rsid w:val="00E420A3"/>
    <w:rsid w:val="00E42348"/>
    <w:rsid w:val="00E42816"/>
    <w:rsid w:val="00E42B1F"/>
    <w:rsid w:val="00E43955"/>
    <w:rsid w:val="00E439C7"/>
    <w:rsid w:val="00E43EF4"/>
    <w:rsid w:val="00E43F28"/>
    <w:rsid w:val="00E43F32"/>
    <w:rsid w:val="00E45293"/>
    <w:rsid w:val="00E45467"/>
    <w:rsid w:val="00E45F2A"/>
    <w:rsid w:val="00E46660"/>
    <w:rsid w:val="00E50411"/>
    <w:rsid w:val="00E50C45"/>
    <w:rsid w:val="00E51979"/>
    <w:rsid w:val="00E519EA"/>
    <w:rsid w:val="00E51A1C"/>
    <w:rsid w:val="00E527E6"/>
    <w:rsid w:val="00E52A47"/>
    <w:rsid w:val="00E53321"/>
    <w:rsid w:val="00E534C5"/>
    <w:rsid w:val="00E539A0"/>
    <w:rsid w:val="00E543DB"/>
    <w:rsid w:val="00E54B5B"/>
    <w:rsid w:val="00E54DC3"/>
    <w:rsid w:val="00E553CA"/>
    <w:rsid w:val="00E556C7"/>
    <w:rsid w:val="00E56554"/>
    <w:rsid w:val="00E56862"/>
    <w:rsid w:val="00E574EA"/>
    <w:rsid w:val="00E5772D"/>
    <w:rsid w:val="00E57A56"/>
    <w:rsid w:val="00E57CF3"/>
    <w:rsid w:val="00E60119"/>
    <w:rsid w:val="00E6024E"/>
    <w:rsid w:val="00E61DD3"/>
    <w:rsid w:val="00E62510"/>
    <w:rsid w:val="00E62E16"/>
    <w:rsid w:val="00E632F4"/>
    <w:rsid w:val="00E633F8"/>
    <w:rsid w:val="00E634AD"/>
    <w:rsid w:val="00E63739"/>
    <w:rsid w:val="00E638AC"/>
    <w:rsid w:val="00E63AFF"/>
    <w:rsid w:val="00E63E21"/>
    <w:rsid w:val="00E64359"/>
    <w:rsid w:val="00E6527E"/>
    <w:rsid w:val="00E65590"/>
    <w:rsid w:val="00E657E6"/>
    <w:rsid w:val="00E65F2C"/>
    <w:rsid w:val="00E661EB"/>
    <w:rsid w:val="00E6631A"/>
    <w:rsid w:val="00E668A9"/>
    <w:rsid w:val="00E66929"/>
    <w:rsid w:val="00E67779"/>
    <w:rsid w:val="00E67DAC"/>
    <w:rsid w:val="00E67F2F"/>
    <w:rsid w:val="00E704B1"/>
    <w:rsid w:val="00E711AD"/>
    <w:rsid w:val="00E714E9"/>
    <w:rsid w:val="00E7193E"/>
    <w:rsid w:val="00E71EA5"/>
    <w:rsid w:val="00E71EC2"/>
    <w:rsid w:val="00E72379"/>
    <w:rsid w:val="00E72870"/>
    <w:rsid w:val="00E73AC6"/>
    <w:rsid w:val="00E73C7D"/>
    <w:rsid w:val="00E73CBD"/>
    <w:rsid w:val="00E741C6"/>
    <w:rsid w:val="00E743B9"/>
    <w:rsid w:val="00E74FA9"/>
    <w:rsid w:val="00E76931"/>
    <w:rsid w:val="00E773AD"/>
    <w:rsid w:val="00E77C2F"/>
    <w:rsid w:val="00E803AA"/>
    <w:rsid w:val="00E80AA0"/>
    <w:rsid w:val="00E814F5"/>
    <w:rsid w:val="00E81511"/>
    <w:rsid w:val="00E81E2D"/>
    <w:rsid w:val="00E825B8"/>
    <w:rsid w:val="00E829A7"/>
    <w:rsid w:val="00E83A14"/>
    <w:rsid w:val="00E83BC4"/>
    <w:rsid w:val="00E83EA7"/>
    <w:rsid w:val="00E84CD7"/>
    <w:rsid w:val="00E85330"/>
    <w:rsid w:val="00E85349"/>
    <w:rsid w:val="00E85465"/>
    <w:rsid w:val="00E856AD"/>
    <w:rsid w:val="00E85824"/>
    <w:rsid w:val="00E859D8"/>
    <w:rsid w:val="00E85BCE"/>
    <w:rsid w:val="00E85CD9"/>
    <w:rsid w:val="00E85DBF"/>
    <w:rsid w:val="00E85F92"/>
    <w:rsid w:val="00E86E74"/>
    <w:rsid w:val="00E8711F"/>
    <w:rsid w:val="00E874B1"/>
    <w:rsid w:val="00E87D47"/>
    <w:rsid w:val="00E9018C"/>
    <w:rsid w:val="00E90C7E"/>
    <w:rsid w:val="00E91DAC"/>
    <w:rsid w:val="00E9293B"/>
    <w:rsid w:val="00E93215"/>
    <w:rsid w:val="00E933B0"/>
    <w:rsid w:val="00E93A21"/>
    <w:rsid w:val="00E94630"/>
    <w:rsid w:val="00E946C1"/>
    <w:rsid w:val="00E946DA"/>
    <w:rsid w:val="00E94F77"/>
    <w:rsid w:val="00E9534D"/>
    <w:rsid w:val="00E960B0"/>
    <w:rsid w:val="00E960ED"/>
    <w:rsid w:val="00E96CD0"/>
    <w:rsid w:val="00E96EA0"/>
    <w:rsid w:val="00E976DE"/>
    <w:rsid w:val="00E97734"/>
    <w:rsid w:val="00E9789E"/>
    <w:rsid w:val="00EA0061"/>
    <w:rsid w:val="00EA00DD"/>
    <w:rsid w:val="00EA0164"/>
    <w:rsid w:val="00EA093A"/>
    <w:rsid w:val="00EA1EA7"/>
    <w:rsid w:val="00EA1F81"/>
    <w:rsid w:val="00EA2C78"/>
    <w:rsid w:val="00EA3891"/>
    <w:rsid w:val="00EA3C68"/>
    <w:rsid w:val="00EA3F72"/>
    <w:rsid w:val="00EA47E0"/>
    <w:rsid w:val="00EA538D"/>
    <w:rsid w:val="00EA5F33"/>
    <w:rsid w:val="00EA6B23"/>
    <w:rsid w:val="00EA6E23"/>
    <w:rsid w:val="00EA7DD0"/>
    <w:rsid w:val="00EB021A"/>
    <w:rsid w:val="00EB0D8B"/>
    <w:rsid w:val="00EB0DAD"/>
    <w:rsid w:val="00EB201B"/>
    <w:rsid w:val="00EB24A8"/>
    <w:rsid w:val="00EB2AAF"/>
    <w:rsid w:val="00EB3091"/>
    <w:rsid w:val="00EB38F2"/>
    <w:rsid w:val="00EB4344"/>
    <w:rsid w:val="00EB527E"/>
    <w:rsid w:val="00EB52C3"/>
    <w:rsid w:val="00EB591A"/>
    <w:rsid w:val="00EB63B7"/>
    <w:rsid w:val="00EB6A31"/>
    <w:rsid w:val="00EB6E1B"/>
    <w:rsid w:val="00EB706A"/>
    <w:rsid w:val="00EB70CA"/>
    <w:rsid w:val="00EB72B7"/>
    <w:rsid w:val="00EB73D1"/>
    <w:rsid w:val="00EB7741"/>
    <w:rsid w:val="00EB7A7B"/>
    <w:rsid w:val="00EC012C"/>
    <w:rsid w:val="00EC0602"/>
    <w:rsid w:val="00EC1C75"/>
    <w:rsid w:val="00EC1DD2"/>
    <w:rsid w:val="00EC249A"/>
    <w:rsid w:val="00EC29A4"/>
    <w:rsid w:val="00EC38F8"/>
    <w:rsid w:val="00EC3CCB"/>
    <w:rsid w:val="00EC49D6"/>
    <w:rsid w:val="00EC539C"/>
    <w:rsid w:val="00EC54EC"/>
    <w:rsid w:val="00EC665D"/>
    <w:rsid w:val="00EC72C7"/>
    <w:rsid w:val="00EC75F5"/>
    <w:rsid w:val="00ED0927"/>
    <w:rsid w:val="00ED1249"/>
    <w:rsid w:val="00ED141D"/>
    <w:rsid w:val="00ED225A"/>
    <w:rsid w:val="00ED280B"/>
    <w:rsid w:val="00ED3F66"/>
    <w:rsid w:val="00ED3F86"/>
    <w:rsid w:val="00ED40BF"/>
    <w:rsid w:val="00ED495D"/>
    <w:rsid w:val="00ED4960"/>
    <w:rsid w:val="00ED4DA4"/>
    <w:rsid w:val="00ED4E18"/>
    <w:rsid w:val="00ED5159"/>
    <w:rsid w:val="00ED522F"/>
    <w:rsid w:val="00ED580A"/>
    <w:rsid w:val="00ED5898"/>
    <w:rsid w:val="00ED6059"/>
    <w:rsid w:val="00ED672A"/>
    <w:rsid w:val="00ED6A2D"/>
    <w:rsid w:val="00ED6BE1"/>
    <w:rsid w:val="00ED6C04"/>
    <w:rsid w:val="00ED6FBB"/>
    <w:rsid w:val="00ED757B"/>
    <w:rsid w:val="00ED764F"/>
    <w:rsid w:val="00ED7756"/>
    <w:rsid w:val="00EE03D4"/>
    <w:rsid w:val="00EE0843"/>
    <w:rsid w:val="00EE0DBF"/>
    <w:rsid w:val="00EE11E6"/>
    <w:rsid w:val="00EE16CB"/>
    <w:rsid w:val="00EE182D"/>
    <w:rsid w:val="00EE1892"/>
    <w:rsid w:val="00EE1AE7"/>
    <w:rsid w:val="00EE1E50"/>
    <w:rsid w:val="00EE268B"/>
    <w:rsid w:val="00EE2F0A"/>
    <w:rsid w:val="00EE35C6"/>
    <w:rsid w:val="00EE379B"/>
    <w:rsid w:val="00EE391F"/>
    <w:rsid w:val="00EE3A3D"/>
    <w:rsid w:val="00EE3BE5"/>
    <w:rsid w:val="00EE3DDD"/>
    <w:rsid w:val="00EE4A71"/>
    <w:rsid w:val="00EE4CA2"/>
    <w:rsid w:val="00EE53C7"/>
    <w:rsid w:val="00EE5594"/>
    <w:rsid w:val="00EE5B68"/>
    <w:rsid w:val="00EE5B73"/>
    <w:rsid w:val="00EE605D"/>
    <w:rsid w:val="00EE60D8"/>
    <w:rsid w:val="00EE65AC"/>
    <w:rsid w:val="00EE6A33"/>
    <w:rsid w:val="00EE76B8"/>
    <w:rsid w:val="00EE76D7"/>
    <w:rsid w:val="00EE79E2"/>
    <w:rsid w:val="00EF0ADC"/>
    <w:rsid w:val="00EF0FBE"/>
    <w:rsid w:val="00EF12BF"/>
    <w:rsid w:val="00EF1512"/>
    <w:rsid w:val="00EF1573"/>
    <w:rsid w:val="00EF15EC"/>
    <w:rsid w:val="00EF1661"/>
    <w:rsid w:val="00EF1C4C"/>
    <w:rsid w:val="00EF2256"/>
    <w:rsid w:val="00EF22DF"/>
    <w:rsid w:val="00EF2420"/>
    <w:rsid w:val="00EF247F"/>
    <w:rsid w:val="00EF257B"/>
    <w:rsid w:val="00EF3162"/>
    <w:rsid w:val="00EF3AB3"/>
    <w:rsid w:val="00EF3C8C"/>
    <w:rsid w:val="00EF4884"/>
    <w:rsid w:val="00EF4AA9"/>
    <w:rsid w:val="00EF68CE"/>
    <w:rsid w:val="00EF6C2A"/>
    <w:rsid w:val="00EF6C82"/>
    <w:rsid w:val="00EF6EBB"/>
    <w:rsid w:val="00EF6F2C"/>
    <w:rsid w:val="00EF793B"/>
    <w:rsid w:val="00EF7B7E"/>
    <w:rsid w:val="00EF7D62"/>
    <w:rsid w:val="00EF7E5C"/>
    <w:rsid w:val="00EF7FAF"/>
    <w:rsid w:val="00F00265"/>
    <w:rsid w:val="00F00357"/>
    <w:rsid w:val="00F008D9"/>
    <w:rsid w:val="00F00B4F"/>
    <w:rsid w:val="00F00C9D"/>
    <w:rsid w:val="00F02232"/>
    <w:rsid w:val="00F0244D"/>
    <w:rsid w:val="00F02A85"/>
    <w:rsid w:val="00F03074"/>
    <w:rsid w:val="00F053AA"/>
    <w:rsid w:val="00F055DD"/>
    <w:rsid w:val="00F05B85"/>
    <w:rsid w:val="00F05C18"/>
    <w:rsid w:val="00F0645A"/>
    <w:rsid w:val="00F068CC"/>
    <w:rsid w:val="00F068DE"/>
    <w:rsid w:val="00F06A89"/>
    <w:rsid w:val="00F06E64"/>
    <w:rsid w:val="00F06FB5"/>
    <w:rsid w:val="00F07034"/>
    <w:rsid w:val="00F071C5"/>
    <w:rsid w:val="00F07FFD"/>
    <w:rsid w:val="00F104A7"/>
    <w:rsid w:val="00F104DC"/>
    <w:rsid w:val="00F10E88"/>
    <w:rsid w:val="00F10F71"/>
    <w:rsid w:val="00F10FCC"/>
    <w:rsid w:val="00F110FD"/>
    <w:rsid w:val="00F11134"/>
    <w:rsid w:val="00F11437"/>
    <w:rsid w:val="00F11598"/>
    <w:rsid w:val="00F119DA"/>
    <w:rsid w:val="00F11B0F"/>
    <w:rsid w:val="00F11CE8"/>
    <w:rsid w:val="00F11F25"/>
    <w:rsid w:val="00F125CA"/>
    <w:rsid w:val="00F12F10"/>
    <w:rsid w:val="00F13237"/>
    <w:rsid w:val="00F13421"/>
    <w:rsid w:val="00F13494"/>
    <w:rsid w:val="00F134C4"/>
    <w:rsid w:val="00F1388A"/>
    <w:rsid w:val="00F13E3F"/>
    <w:rsid w:val="00F140A6"/>
    <w:rsid w:val="00F1482C"/>
    <w:rsid w:val="00F149F0"/>
    <w:rsid w:val="00F14ACE"/>
    <w:rsid w:val="00F14ADA"/>
    <w:rsid w:val="00F150C3"/>
    <w:rsid w:val="00F15734"/>
    <w:rsid w:val="00F15E28"/>
    <w:rsid w:val="00F16250"/>
    <w:rsid w:val="00F165BC"/>
    <w:rsid w:val="00F178B8"/>
    <w:rsid w:val="00F17B41"/>
    <w:rsid w:val="00F17DC6"/>
    <w:rsid w:val="00F2003F"/>
    <w:rsid w:val="00F20D3F"/>
    <w:rsid w:val="00F21744"/>
    <w:rsid w:val="00F21757"/>
    <w:rsid w:val="00F22372"/>
    <w:rsid w:val="00F224FD"/>
    <w:rsid w:val="00F2285E"/>
    <w:rsid w:val="00F22886"/>
    <w:rsid w:val="00F22FB9"/>
    <w:rsid w:val="00F2303B"/>
    <w:rsid w:val="00F23F78"/>
    <w:rsid w:val="00F24398"/>
    <w:rsid w:val="00F24754"/>
    <w:rsid w:val="00F250CA"/>
    <w:rsid w:val="00F25AE9"/>
    <w:rsid w:val="00F2677E"/>
    <w:rsid w:val="00F268A5"/>
    <w:rsid w:val="00F268E1"/>
    <w:rsid w:val="00F269AA"/>
    <w:rsid w:val="00F269DD"/>
    <w:rsid w:val="00F27749"/>
    <w:rsid w:val="00F302AD"/>
    <w:rsid w:val="00F3065F"/>
    <w:rsid w:val="00F31A6E"/>
    <w:rsid w:val="00F31E13"/>
    <w:rsid w:val="00F31F4B"/>
    <w:rsid w:val="00F321E4"/>
    <w:rsid w:val="00F32D58"/>
    <w:rsid w:val="00F32F19"/>
    <w:rsid w:val="00F33373"/>
    <w:rsid w:val="00F34015"/>
    <w:rsid w:val="00F344CF"/>
    <w:rsid w:val="00F34546"/>
    <w:rsid w:val="00F34EA4"/>
    <w:rsid w:val="00F356AF"/>
    <w:rsid w:val="00F3595E"/>
    <w:rsid w:val="00F361E6"/>
    <w:rsid w:val="00F36B3A"/>
    <w:rsid w:val="00F36B7E"/>
    <w:rsid w:val="00F36BBC"/>
    <w:rsid w:val="00F36BF7"/>
    <w:rsid w:val="00F36D91"/>
    <w:rsid w:val="00F36F4E"/>
    <w:rsid w:val="00F37253"/>
    <w:rsid w:val="00F373AE"/>
    <w:rsid w:val="00F37669"/>
    <w:rsid w:val="00F37C6C"/>
    <w:rsid w:val="00F4009D"/>
    <w:rsid w:val="00F4017C"/>
    <w:rsid w:val="00F40510"/>
    <w:rsid w:val="00F40C73"/>
    <w:rsid w:val="00F41048"/>
    <w:rsid w:val="00F4136B"/>
    <w:rsid w:val="00F418A3"/>
    <w:rsid w:val="00F41E15"/>
    <w:rsid w:val="00F42334"/>
    <w:rsid w:val="00F42F40"/>
    <w:rsid w:val="00F43427"/>
    <w:rsid w:val="00F44C7B"/>
    <w:rsid w:val="00F45048"/>
    <w:rsid w:val="00F45231"/>
    <w:rsid w:val="00F45951"/>
    <w:rsid w:val="00F45F52"/>
    <w:rsid w:val="00F46209"/>
    <w:rsid w:val="00F46799"/>
    <w:rsid w:val="00F46C82"/>
    <w:rsid w:val="00F4716A"/>
    <w:rsid w:val="00F476C9"/>
    <w:rsid w:val="00F47A48"/>
    <w:rsid w:val="00F47A75"/>
    <w:rsid w:val="00F50093"/>
    <w:rsid w:val="00F5033C"/>
    <w:rsid w:val="00F50837"/>
    <w:rsid w:val="00F509AB"/>
    <w:rsid w:val="00F50A31"/>
    <w:rsid w:val="00F515AA"/>
    <w:rsid w:val="00F51823"/>
    <w:rsid w:val="00F51A3A"/>
    <w:rsid w:val="00F51E91"/>
    <w:rsid w:val="00F52046"/>
    <w:rsid w:val="00F52184"/>
    <w:rsid w:val="00F52593"/>
    <w:rsid w:val="00F52B94"/>
    <w:rsid w:val="00F530FD"/>
    <w:rsid w:val="00F5313B"/>
    <w:rsid w:val="00F531CA"/>
    <w:rsid w:val="00F532FA"/>
    <w:rsid w:val="00F53315"/>
    <w:rsid w:val="00F53944"/>
    <w:rsid w:val="00F53BA4"/>
    <w:rsid w:val="00F5408E"/>
    <w:rsid w:val="00F55295"/>
    <w:rsid w:val="00F5554E"/>
    <w:rsid w:val="00F558F1"/>
    <w:rsid w:val="00F55BDC"/>
    <w:rsid w:val="00F56544"/>
    <w:rsid w:val="00F573DE"/>
    <w:rsid w:val="00F57554"/>
    <w:rsid w:val="00F578D2"/>
    <w:rsid w:val="00F579B5"/>
    <w:rsid w:val="00F600B0"/>
    <w:rsid w:val="00F609A1"/>
    <w:rsid w:val="00F61672"/>
    <w:rsid w:val="00F628C6"/>
    <w:rsid w:val="00F62C24"/>
    <w:rsid w:val="00F62CE0"/>
    <w:rsid w:val="00F63259"/>
    <w:rsid w:val="00F635AE"/>
    <w:rsid w:val="00F638DC"/>
    <w:rsid w:val="00F64095"/>
    <w:rsid w:val="00F6444B"/>
    <w:rsid w:val="00F64C68"/>
    <w:rsid w:val="00F65342"/>
    <w:rsid w:val="00F65480"/>
    <w:rsid w:val="00F6549A"/>
    <w:rsid w:val="00F6549C"/>
    <w:rsid w:val="00F6579F"/>
    <w:rsid w:val="00F665E8"/>
    <w:rsid w:val="00F66913"/>
    <w:rsid w:val="00F66F4A"/>
    <w:rsid w:val="00F67D38"/>
    <w:rsid w:val="00F705DB"/>
    <w:rsid w:val="00F7169C"/>
    <w:rsid w:val="00F7185B"/>
    <w:rsid w:val="00F71E06"/>
    <w:rsid w:val="00F72850"/>
    <w:rsid w:val="00F72FFE"/>
    <w:rsid w:val="00F732FD"/>
    <w:rsid w:val="00F73396"/>
    <w:rsid w:val="00F734DE"/>
    <w:rsid w:val="00F741C6"/>
    <w:rsid w:val="00F7519D"/>
    <w:rsid w:val="00F75E50"/>
    <w:rsid w:val="00F75F39"/>
    <w:rsid w:val="00F768D7"/>
    <w:rsid w:val="00F76CCA"/>
    <w:rsid w:val="00F76D66"/>
    <w:rsid w:val="00F76F70"/>
    <w:rsid w:val="00F7707C"/>
    <w:rsid w:val="00F7762F"/>
    <w:rsid w:val="00F77A7D"/>
    <w:rsid w:val="00F77B3F"/>
    <w:rsid w:val="00F8039B"/>
    <w:rsid w:val="00F803F8"/>
    <w:rsid w:val="00F80ADC"/>
    <w:rsid w:val="00F80B24"/>
    <w:rsid w:val="00F811BC"/>
    <w:rsid w:val="00F81537"/>
    <w:rsid w:val="00F82391"/>
    <w:rsid w:val="00F82559"/>
    <w:rsid w:val="00F826CA"/>
    <w:rsid w:val="00F82FEE"/>
    <w:rsid w:val="00F8320C"/>
    <w:rsid w:val="00F83546"/>
    <w:rsid w:val="00F83785"/>
    <w:rsid w:val="00F83853"/>
    <w:rsid w:val="00F839D8"/>
    <w:rsid w:val="00F84270"/>
    <w:rsid w:val="00F85334"/>
    <w:rsid w:val="00F8547E"/>
    <w:rsid w:val="00F8567E"/>
    <w:rsid w:val="00F8578F"/>
    <w:rsid w:val="00F85DA7"/>
    <w:rsid w:val="00F85DFF"/>
    <w:rsid w:val="00F86275"/>
    <w:rsid w:val="00F867D6"/>
    <w:rsid w:val="00F87225"/>
    <w:rsid w:val="00F87742"/>
    <w:rsid w:val="00F904A8"/>
    <w:rsid w:val="00F90C7B"/>
    <w:rsid w:val="00F90D0E"/>
    <w:rsid w:val="00F913D5"/>
    <w:rsid w:val="00F924BF"/>
    <w:rsid w:val="00F930CA"/>
    <w:rsid w:val="00F934B8"/>
    <w:rsid w:val="00F93538"/>
    <w:rsid w:val="00F939F2"/>
    <w:rsid w:val="00F93AE2"/>
    <w:rsid w:val="00F9402C"/>
    <w:rsid w:val="00F946BF"/>
    <w:rsid w:val="00F94C69"/>
    <w:rsid w:val="00F94DFB"/>
    <w:rsid w:val="00F95156"/>
    <w:rsid w:val="00F960F0"/>
    <w:rsid w:val="00F96431"/>
    <w:rsid w:val="00F96438"/>
    <w:rsid w:val="00F96B9F"/>
    <w:rsid w:val="00F97683"/>
    <w:rsid w:val="00FA05F3"/>
    <w:rsid w:val="00FA075C"/>
    <w:rsid w:val="00FA19E1"/>
    <w:rsid w:val="00FA1D89"/>
    <w:rsid w:val="00FA2A96"/>
    <w:rsid w:val="00FA2EB1"/>
    <w:rsid w:val="00FA3892"/>
    <w:rsid w:val="00FA3F71"/>
    <w:rsid w:val="00FA46E7"/>
    <w:rsid w:val="00FA5DFA"/>
    <w:rsid w:val="00FA67BB"/>
    <w:rsid w:val="00FA67C6"/>
    <w:rsid w:val="00FA6994"/>
    <w:rsid w:val="00FA70ED"/>
    <w:rsid w:val="00FA7CA2"/>
    <w:rsid w:val="00FB03D7"/>
    <w:rsid w:val="00FB1B6F"/>
    <w:rsid w:val="00FB1C50"/>
    <w:rsid w:val="00FB330D"/>
    <w:rsid w:val="00FB33BA"/>
    <w:rsid w:val="00FB3705"/>
    <w:rsid w:val="00FB44C2"/>
    <w:rsid w:val="00FB47E9"/>
    <w:rsid w:val="00FB4961"/>
    <w:rsid w:val="00FB4FCD"/>
    <w:rsid w:val="00FB57E7"/>
    <w:rsid w:val="00FB59E8"/>
    <w:rsid w:val="00FB5D25"/>
    <w:rsid w:val="00FB667D"/>
    <w:rsid w:val="00FB7727"/>
    <w:rsid w:val="00FC00AD"/>
    <w:rsid w:val="00FC09A3"/>
    <w:rsid w:val="00FC1096"/>
    <w:rsid w:val="00FC163E"/>
    <w:rsid w:val="00FC1D3D"/>
    <w:rsid w:val="00FC1D5E"/>
    <w:rsid w:val="00FC28AE"/>
    <w:rsid w:val="00FC2A12"/>
    <w:rsid w:val="00FC2B8E"/>
    <w:rsid w:val="00FC2E23"/>
    <w:rsid w:val="00FC2F43"/>
    <w:rsid w:val="00FC3422"/>
    <w:rsid w:val="00FC3449"/>
    <w:rsid w:val="00FC36B4"/>
    <w:rsid w:val="00FC3779"/>
    <w:rsid w:val="00FC396C"/>
    <w:rsid w:val="00FC3B0B"/>
    <w:rsid w:val="00FC3B73"/>
    <w:rsid w:val="00FC4048"/>
    <w:rsid w:val="00FC4145"/>
    <w:rsid w:val="00FC42C7"/>
    <w:rsid w:val="00FC482C"/>
    <w:rsid w:val="00FC48C7"/>
    <w:rsid w:val="00FC48D2"/>
    <w:rsid w:val="00FC4B4B"/>
    <w:rsid w:val="00FC5949"/>
    <w:rsid w:val="00FC6152"/>
    <w:rsid w:val="00FC690B"/>
    <w:rsid w:val="00FC780F"/>
    <w:rsid w:val="00FC7F15"/>
    <w:rsid w:val="00FD008F"/>
    <w:rsid w:val="00FD07D9"/>
    <w:rsid w:val="00FD0823"/>
    <w:rsid w:val="00FD083D"/>
    <w:rsid w:val="00FD090E"/>
    <w:rsid w:val="00FD0912"/>
    <w:rsid w:val="00FD0C33"/>
    <w:rsid w:val="00FD0D26"/>
    <w:rsid w:val="00FD0D43"/>
    <w:rsid w:val="00FD0DBD"/>
    <w:rsid w:val="00FD14BE"/>
    <w:rsid w:val="00FD2401"/>
    <w:rsid w:val="00FD2749"/>
    <w:rsid w:val="00FD2AAA"/>
    <w:rsid w:val="00FD2ABF"/>
    <w:rsid w:val="00FD432D"/>
    <w:rsid w:val="00FD4748"/>
    <w:rsid w:val="00FD4B49"/>
    <w:rsid w:val="00FD4D15"/>
    <w:rsid w:val="00FD51AE"/>
    <w:rsid w:val="00FD5A97"/>
    <w:rsid w:val="00FD71DF"/>
    <w:rsid w:val="00FD74FA"/>
    <w:rsid w:val="00FD7838"/>
    <w:rsid w:val="00FD7A83"/>
    <w:rsid w:val="00FD7EF8"/>
    <w:rsid w:val="00FE0080"/>
    <w:rsid w:val="00FE0891"/>
    <w:rsid w:val="00FE1116"/>
    <w:rsid w:val="00FE18E4"/>
    <w:rsid w:val="00FE1B19"/>
    <w:rsid w:val="00FE1B9F"/>
    <w:rsid w:val="00FE1EA3"/>
    <w:rsid w:val="00FE2033"/>
    <w:rsid w:val="00FE2A2F"/>
    <w:rsid w:val="00FE2C01"/>
    <w:rsid w:val="00FE365E"/>
    <w:rsid w:val="00FE43EC"/>
    <w:rsid w:val="00FE44F7"/>
    <w:rsid w:val="00FE472E"/>
    <w:rsid w:val="00FE4D82"/>
    <w:rsid w:val="00FE580A"/>
    <w:rsid w:val="00FE6946"/>
    <w:rsid w:val="00FE7057"/>
    <w:rsid w:val="00FE7484"/>
    <w:rsid w:val="00FF0645"/>
    <w:rsid w:val="00FF09B1"/>
    <w:rsid w:val="00FF0B79"/>
    <w:rsid w:val="00FF1909"/>
    <w:rsid w:val="00FF1A1C"/>
    <w:rsid w:val="00FF23DC"/>
    <w:rsid w:val="00FF2BFF"/>
    <w:rsid w:val="00FF2FE3"/>
    <w:rsid w:val="00FF3823"/>
    <w:rsid w:val="00FF38DF"/>
    <w:rsid w:val="00FF3EBE"/>
    <w:rsid w:val="00FF4958"/>
    <w:rsid w:val="00FF4E0E"/>
    <w:rsid w:val="00FF4E3F"/>
    <w:rsid w:val="00FF5162"/>
    <w:rsid w:val="00FF57F7"/>
    <w:rsid w:val="00FF5828"/>
    <w:rsid w:val="00FF6796"/>
    <w:rsid w:val="00FF7114"/>
    <w:rsid w:val="00FF761D"/>
    <w:rsid w:val="00FF77FE"/>
    <w:rsid w:val="00FF791E"/>
    <w:rsid w:val="00FF79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8F84909"/>
  <w15:docId w15:val="{DCD9730E-C4F9-4026-AA26-43E9EDB8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C73"/>
    <w:pPr>
      <w:overflowPunct w:val="0"/>
      <w:autoSpaceDE w:val="0"/>
      <w:autoSpaceDN w:val="0"/>
      <w:adjustRightInd w:val="0"/>
      <w:textAlignment w:val="baseline"/>
    </w:pPr>
    <w:rPr>
      <w:rFonts w:ascii="TimesLT" w:hAnsi="TimesLT"/>
      <w:sz w:val="24"/>
      <w:lang w:eastAsia="en-US"/>
    </w:rPr>
  </w:style>
  <w:style w:type="paragraph" w:styleId="Heading1">
    <w:name w:val="heading 1"/>
    <w:basedOn w:val="Normal"/>
    <w:next w:val="Normal"/>
    <w:link w:val="Heading1Char"/>
    <w:uiPriority w:val="9"/>
    <w:qFormat/>
    <w:rsid w:val="003F1908"/>
    <w:pPr>
      <w:keepNext/>
      <w:overflowPunct/>
      <w:autoSpaceDE/>
      <w:autoSpaceDN/>
      <w:adjustRightInd/>
      <w:spacing w:after="240"/>
      <w:textAlignment w:val="auto"/>
      <w:outlineLvl w:val="0"/>
    </w:pPr>
    <w:rPr>
      <w:rFonts w:ascii="Times New Roman" w:hAnsi="Times New Roman"/>
      <w:b/>
      <w:snapToGrid w:val="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56580"/>
  </w:style>
  <w:style w:type="paragraph" w:styleId="Footer">
    <w:name w:val="footer"/>
    <w:basedOn w:val="Normal"/>
    <w:link w:val="FooterChar"/>
    <w:rsid w:val="00856580"/>
    <w:pPr>
      <w:tabs>
        <w:tab w:val="center" w:pos="4320"/>
        <w:tab w:val="right" w:pos="8640"/>
      </w:tabs>
    </w:pPr>
  </w:style>
  <w:style w:type="paragraph" w:styleId="Header">
    <w:name w:val="header"/>
    <w:basedOn w:val="Normal"/>
    <w:link w:val="HeaderChar"/>
    <w:uiPriority w:val="99"/>
    <w:rsid w:val="00856580"/>
    <w:pPr>
      <w:tabs>
        <w:tab w:val="center" w:pos="4986"/>
        <w:tab w:val="right" w:pos="9972"/>
      </w:tabs>
    </w:pPr>
  </w:style>
  <w:style w:type="character" w:styleId="Hyperlink">
    <w:name w:val="Hyperlink"/>
    <w:rsid w:val="00856580"/>
    <w:rPr>
      <w:color w:val="0000FF"/>
      <w:u w:val="single"/>
    </w:rPr>
  </w:style>
  <w:style w:type="paragraph" w:styleId="NormalWeb">
    <w:name w:val="Normal (Web)"/>
    <w:basedOn w:val="Normal"/>
    <w:rsid w:val="00856580"/>
    <w:pPr>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FollowedHyperlink">
    <w:name w:val="FollowedHyperlink"/>
    <w:rsid w:val="00856580"/>
    <w:rPr>
      <w:color w:val="800080"/>
      <w:u w:val="single"/>
    </w:rPr>
  </w:style>
  <w:style w:type="character" w:customStyle="1" w:styleId="Title1">
    <w:name w:val="Title1"/>
    <w:basedOn w:val="DefaultParagraphFont"/>
    <w:rsid w:val="00856580"/>
  </w:style>
  <w:style w:type="paragraph" w:customStyle="1" w:styleId="BodyText1">
    <w:name w:val="Body Text1"/>
    <w:rsid w:val="00856580"/>
    <w:pPr>
      <w:ind w:firstLine="312"/>
      <w:jc w:val="both"/>
    </w:pPr>
    <w:rPr>
      <w:rFonts w:ascii="TimesLT" w:hAnsi="TimesLT"/>
      <w:snapToGrid w:val="0"/>
      <w:lang w:val="en-US" w:eastAsia="en-US"/>
    </w:rPr>
  </w:style>
  <w:style w:type="paragraph" w:styleId="BodyTextIndent">
    <w:name w:val="Body Text Indent"/>
    <w:basedOn w:val="Normal"/>
    <w:link w:val="BodyTextIndentChar"/>
    <w:rsid w:val="00856580"/>
    <w:pPr>
      <w:overflowPunct/>
      <w:autoSpaceDE/>
      <w:autoSpaceDN/>
      <w:adjustRightInd/>
      <w:ind w:firstLine="720"/>
      <w:jc w:val="both"/>
      <w:textAlignment w:val="auto"/>
    </w:pPr>
    <w:rPr>
      <w:rFonts w:ascii="Times New Roman" w:hAnsi="Times New Roman"/>
      <w:szCs w:val="24"/>
    </w:rPr>
  </w:style>
  <w:style w:type="character" w:customStyle="1" w:styleId="BodyTextIndentChar">
    <w:name w:val="Body Text Indent Char"/>
    <w:link w:val="BodyTextIndent"/>
    <w:rsid w:val="00856580"/>
    <w:rPr>
      <w:sz w:val="24"/>
      <w:szCs w:val="24"/>
      <w:lang w:val="lt-LT" w:eastAsia="en-US" w:bidi="ar-SA"/>
    </w:rPr>
  </w:style>
  <w:style w:type="paragraph" w:customStyle="1" w:styleId="Patvirtinta">
    <w:name w:val="Patvirtinta"/>
    <w:rsid w:val="00856580"/>
    <w:pPr>
      <w:tabs>
        <w:tab w:val="left" w:pos="1304"/>
        <w:tab w:val="left" w:pos="1457"/>
        <w:tab w:val="left" w:pos="1604"/>
        <w:tab w:val="left" w:pos="1757"/>
      </w:tabs>
      <w:ind w:left="5953"/>
      <w:jc w:val="center"/>
    </w:pPr>
    <w:rPr>
      <w:rFonts w:ascii="TimesLT" w:hAnsi="TimesLT"/>
      <w:snapToGrid w:val="0"/>
      <w:lang w:val="en-US" w:eastAsia="en-US"/>
    </w:rPr>
  </w:style>
  <w:style w:type="paragraph" w:styleId="Title">
    <w:name w:val="Title"/>
    <w:basedOn w:val="Normal"/>
    <w:qFormat/>
    <w:rsid w:val="00856580"/>
    <w:pPr>
      <w:overflowPunct/>
      <w:autoSpaceDE/>
      <w:autoSpaceDN/>
      <w:adjustRightInd/>
      <w:jc w:val="center"/>
      <w:textAlignment w:val="auto"/>
    </w:pPr>
    <w:rPr>
      <w:rFonts w:ascii="Times New Roman" w:hAnsi="Times New Roman"/>
      <w:b/>
      <w:sz w:val="28"/>
      <w:lang w:val="en-GB" w:eastAsia="lt-LT"/>
    </w:rPr>
  </w:style>
  <w:style w:type="character" w:styleId="CommentReference">
    <w:name w:val="annotation reference"/>
    <w:semiHidden/>
    <w:rsid w:val="0050244B"/>
    <w:rPr>
      <w:sz w:val="16"/>
      <w:szCs w:val="16"/>
    </w:rPr>
  </w:style>
  <w:style w:type="paragraph" w:styleId="CommentText">
    <w:name w:val="annotation text"/>
    <w:basedOn w:val="Normal"/>
    <w:link w:val="CommentTextChar"/>
    <w:rsid w:val="0050244B"/>
    <w:rPr>
      <w:sz w:val="20"/>
      <w:lang w:val="x-none"/>
    </w:rPr>
  </w:style>
  <w:style w:type="paragraph" w:styleId="CommentSubject">
    <w:name w:val="annotation subject"/>
    <w:basedOn w:val="CommentText"/>
    <w:next w:val="CommentText"/>
    <w:semiHidden/>
    <w:rsid w:val="0050244B"/>
    <w:rPr>
      <w:b/>
      <w:bCs/>
    </w:rPr>
  </w:style>
  <w:style w:type="paragraph" w:styleId="BalloonText">
    <w:name w:val="Balloon Text"/>
    <w:basedOn w:val="Normal"/>
    <w:semiHidden/>
    <w:rsid w:val="0050244B"/>
    <w:rPr>
      <w:rFonts w:ascii="Tahoma" w:hAnsi="Tahoma" w:cs="Tahoma"/>
      <w:sz w:val="16"/>
      <w:szCs w:val="16"/>
    </w:rPr>
  </w:style>
  <w:style w:type="paragraph" w:customStyle="1" w:styleId="CharCharDiagramaDiagramaCharChar">
    <w:name w:val="Char Char Diagrama Diagrama Char Char"/>
    <w:basedOn w:val="Normal"/>
    <w:rsid w:val="00247C08"/>
    <w:pPr>
      <w:overflowPunct/>
      <w:autoSpaceDE/>
      <w:autoSpaceDN/>
      <w:adjustRightInd/>
      <w:spacing w:after="160" w:line="240" w:lineRule="exact"/>
      <w:textAlignment w:val="auto"/>
    </w:pPr>
    <w:rPr>
      <w:rFonts w:ascii="Tahoma" w:hAnsi="Tahoma"/>
      <w:sz w:val="20"/>
      <w:lang w:val="en-US"/>
    </w:rPr>
  </w:style>
  <w:style w:type="paragraph" w:customStyle="1" w:styleId="MediumList2-Accent21">
    <w:name w:val="Medium List 2 - Accent 21"/>
    <w:hidden/>
    <w:uiPriority w:val="99"/>
    <w:semiHidden/>
    <w:rsid w:val="002324D3"/>
    <w:rPr>
      <w:rFonts w:ascii="TimesLT" w:hAnsi="TimesLT"/>
      <w:sz w:val="24"/>
      <w:lang w:eastAsia="en-US"/>
    </w:rPr>
  </w:style>
  <w:style w:type="paragraph" w:customStyle="1" w:styleId="MediumGrid1-Accent21">
    <w:name w:val="Medium Grid 1 - Accent 21"/>
    <w:basedOn w:val="Normal"/>
    <w:uiPriority w:val="34"/>
    <w:qFormat/>
    <w:rsid w:val="00B606BF"/>
    <w:pPr>
      <w:ind w:left="720"/>
      <w:contextualSpacing/>
    </w:pPr>
  </w:style>
  <w:style w:type="character" w:customStyle="1" w:styleId="CommentTextChar">
    <w:name w:val="Comment Text Char"/>
    <w:link w:val="CommentText"/>
    <w:rsid w:val="006B13CB"/>
    <w:rPr>
      <w:rFonts w:ascii="TimesLT" w:hAnsi="TimesLT"/>
      <w:lang w:eastAsia="en-US"/>
    </w:rPr>
  </w:style>
  <w:style w:type="paragraph" w:customStyle="1" w:styleId="ColorfulShading-Accent11">
    <w:name w:val="Colorful Shading - Accent 11"/>
    <w:hidden/>
    <w:uiPriority w:val="99"/>
    <w:semiHidden/>
    <w:rsid w:val="00D71131"/>
    <w:rPr>
      <w:rFonts w:ascii="TimesLT" w:hAnsi="TimesLT"/>
      <w:sz w:val="24"/>
      <w:lang w:eastAsia="en-US"/>
    </w:rPr>
  </w:style>
  <w:style w:type="character" w:customStyle="1" w:styleId="HeaderChar">
    <w:name w:val="Header Char"/>
    <w:link w:val="Header"/>
    <w:uiPriority w:val="99"/>
    <w:rsid w:val="005F3642"/>
    <w:rPr>
      <w:rFonts w:ascii="TimesLT" w:hAnsi="TimesLT"/>
      <w:sz w:val="24"/>
      <w:lang w:eastAsia="en-US"/>
    </w:rPr>
  </w:style>
  <w:style w:type="character" w:styleId="Strong">
    <w:name w:val="Strong"/>
    <w:uiPriority w:val="22"/>
    <w:qFormat/>
    <w:rsid w:val="009F20D7"/>
    <w:rPr>
      <w:rFonts w:cs="Times New Roman"/>
      <w:b/>
      <w:bCs/>
    </w:rPr>
  </w:style>
  <w:style w:type="paragraph" w:customStyle="1" w:styleId="Pagrindinistekstas1">
    <w:name w:val="Pagrindinis tekstas1"/>
    <w:rsid w:val="00914244"/>
    <w:pPr>
      <w:autoSpaceDE w:val="0"/>
      <w:autoSpaceDN w:val="0"/>
      <w:adjustRightInd w:val="0"/>
      <w:ind w:firstLine="312"/>
      <w:jc w:val="both"/>
    </w:pPr>
    <w:rPr>
      <w:rFonts w:ascii="TimesLT" w:hAnsi="TimesLT"/>
      <w:lang w:val="en-US" w:eastAsia="en-US"/>
    </w:rPr>
  </w:style>
  <w:style w:type="character" w:customStyle="1" w:styleId="Heading1Char">
    <w:name w:val="Heading 1 Char"/>
    <w:link w:val="Heading1"/>
    <w:uiPriority w:val="9"/>
    <w:rsid w:val="003F1908"/>
    <w:rPr>
      <w:rFonts w:eastAsia="MS Mincho"/>
      <w:b/>
      <w:snapToGrid w:val="0"/>
      <w:sz w:val="24"/>
      <w:szCs w:val="22"/>
      <w:lang w:val="en-GB" w:eastAsia="ja-JP"/>
    </w:rPr>
  </w:style>
  <w:style w:type="character" w:customStyle="1" w:styleId="CommentTextChar1">
    <w:name w:val="Comment Text Char1"/>
    <w:uiPriority w:val="99"/>
    <w:rsid w:val="003F1908"/>
    <w:rPr>
      <w:rFonts w:ascii="Times New Roman" w:eastAsia="MS Mincho" w:hAnsi="Times New Roman" w:cs="Times New Roman"/>
      <w:snapToGrid w:val="0"/>
      <w:sz w:val="20"/>
      <w:szCs w:val="20"/>
      <w:lang w:val="en-GB" w:eastAsia="ja-JP"/>
    </w:rPr>
  </w:style>
  <w:style w:type="character" w:customStyle="1" w:styleId="apple-converted-space">
    <w:name w:val="apple-converted-space"/>
    <w:rsid w:val="003F1908"/>
  </w:style>
  <w:style w:type="paragraph" w:customStyle="1" w:styleId="tactip">
    <w:name w:val="tactip"/>
    <w:basedOn w:val="Normal"/>
    <w:rsid w:val="00C112F8"/>
    <w:pPr>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Emphasis">
    <w:name w:val="Emphasis"/>
    <w:uiPriority w:val="20"/>
    <w:qFormat/>
    <w:rsid w:val="00311889"/>
    <w:rPr>
      <w:i/>
      <w:iCs/>
    </w:rPr>
  </w:style>
  <w:style w:type="paragraph" w:styleId="ListParagraph">
    <w:name w:val="List Paragraph"/>
    <w:aliases w:val="Bullet EY,List Paragraph2,ERP-List Paragraph,List Paragraph1,List Paragraph11,List Paragraph Red,Table of contents numbered,Colorful List - Accent 11"/>
    <w:basedOn w:val="Normal"/>
    <w:link w:val="ListParagraphChar"/>
    <w:uiPriority w:val="34"/>
    <w:qFormat/>
    <w:rsid w:val="00BF3B82"/>
    <w:pPr>
      <w:overflowPunct/>
      <w:autoSpaceDE/>
      <w:autoSpaceDN/>
      <w:adjustRightInd/>
      <w:spacing w:after="200" w:line="276" w:lineRule="auto"/>
      <w:ind w:left="720"/>
      <w:contextualSpacing/>
      <w:textAlignment w:val="auto"/>
    </w:pPr>
    <w:rPr>
      <w:rFonts w:ascii="Times New Roman" w:hAnsi="Times New Roman"/>
      <w:snapToGrid w:val="0"/>
      <w:sz w:val="22"/>
      <w:szCs w:val="22"/>
      <w:lang w:val="es-ES" w:eastAsia="ja-JP"/>
    </w:rPr>
  </w:style>
  <w:style w:type="character" w:customStyle="1" w:styleId="ListParagraphChar">
    <w:name w:val="List Paragraph Char"/>
    <w:aliases w:val="Bullet EY Char,List Paragraph2 Char,ERP-List Paragraph Char,List Paragraph1 Char,List Paragraph11 Char,List Paragraph Red Char,Table of contents numbered Char,Colorful List - Accent 11 Char"/>
    <w:link w:val="ListParagraph"/>
    <w:uiPriority w:val="34"/>
    <w:locked/>
    <w:rsid w:val="00BF3B82"/>
    <w:rPr>
      <w:rFonts w:eastAsia="MS Mincho"/>
      <w:snapToGrid w:val="0"/>
      <w:sz w:val="22"/>
      <w:szCs w:val="22"/>
      <w:lang w:val="es-ES" w:eastAsia="ja-JP"/>
    </w:rPr>
  </w:style>
  <w:style w:type="table" w:customStyle="1" w:styleId="TableGrid1">
    <w:name w:val="Table Grid1"/>
    <w:basedOn w:val="TableNormal"/>
    <w:next w:val="TableGrid"/>
    <w:uiPriority w:val="59"/>
    <w:rsid w:val="00BF3B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F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549A"/>
    <w:rPr>
      <w:rFonts w:ascii="TimesLT" w:hAnsi="TimesLT"/>
      <w:sz w:val="24"/>
      <w:lang w:eastAsia="en-US"/>
    </w:rPr>
  </w:style>
  <w:style w:type="paragraph" w:customStyle="1" w:styleId="CM1">
    <w:name w:val="CM1"/>
    <w:basedOn w:val="Normal"/>
    <w:next w:val="Normal"/>
    <w:uiPriority w:val="99"/>
    <w:rsid w:val="004075AD"/>
    <w:pPr>
      <w:overflowPunct/>
      <w:textAlignment w:val="auto"/>
    </w:pPr>
    <w:rPr>
      <w:rFonts w:ascii="EUAlbertina" w:hAnsi="EUAlbertina"/>
      <w:szCs w:val="24"/>
      <w:lang w:eastAsia="lt-LT"/>
    </w:rPr>
  </w:style>
  <w:style w:type="paragraph" w:customStyle="1" w:styleId="CM3">
    <w:name w:val="CM3"/>
    <w:basedOn w:val="Normal"/>
    <w:next w:val="Normal"/>
    <w:uiPriority w:val="99"/>
    <w:rsid w:val="004075AD"/>
    <w:pPr>
      <w:overflowPunct/>
      <w:textAlignment w:val="auto"/>
    </w:pPr>
    <w:rPr>
      <w:rFonts w:ascii="EUAlbertina" w:hAnsi="EUAlbertina"/>
      <w:szCs w:val="24"/>
      <w:lang w:eastAsia="lt-LT"/>
    </w:rPr>
  </w:style>
  <w:style w:type="paragraph" w:styleId="List4">
    <w:name w:val="List 4"/>
    <w:basedOn w:val="Normal"/>
    <w:rsid w:val="00041863"/>
    <w:pPr>
      <w:ind w:left="1132" w:hanging="283"/>
      <w:contextualSpacing/>
    </w:pPr>
  </w:style>
  <w:style w:type="character" w:customStyle="1" w:styleId="Title2">
    <w:name w:val="Title2"/>
    <w:basedOn w:val="DefaultParagraphFont"/>
    <w:rsid w:val="0080667B"/>
  </w:style>
  <w:style w:type="paragraph" w:customStyle="1" w:styleId="BodyText2">
    <w:name w:val="Body Text2"/>
    <w:rsid w:val="0080667B"/>
    <w:pPr>
      <w:ind w:firstLine="312"/>
      <w:jc w:val="both"/>
    </w:pPr>
    <w:rPr>
      <w:rFonts w:ascii="TimesLT" w:hAnsi="TimesLT"/>
      <w:snapToGrid w:val="0"/>
      <w:lang w:val="en-US" w:eastAsia="en-US"/>
    </w:rPr>
  </w:style>
  <w:style w:type="paragraph" w:styleId="List2">
    <w:name w:val="List 2"/>
    <w:basedOn w:val="Normal"/>
    <w:rsid w:val="0011673E"/>
    <w:pPr>
      <w:ind w:left="566" w:hanging="283"/>
      <w:contextualSpacing/>
    </w:pPr>
  </w:style>
  <w:style w:type="paragraph" w:styleId="List">
    <w:name w:val="List"/>
    <w:basedOn w:val="Normal"/>
    <w:rsid w:val="00D14968"/>
    <w:pPr>
      <w:ind w:left="283" w:hanging="283"/>
      <w:contextualSpacing/>
    </w:pPr>
  </w:style>
  <w:style w:type="character" w:customStyle="1" w:styleId="FooterChar">
    <w:name w:val="Footer Char"/>
    <w:basedOn w:val="DefaultParagraphFont"/>
    <w:link w:val="Footer"/>
    <w:rsid w:val="00A0775B"/>
    <w:rPr>
      <w:rFonts w:ascii="TimesLT" w:hAnsi="TimesLT"/>
      <w:sz w:val="24"/>
      <w:lang w:eastAsia="en-US"/>
    </w:rPr>
  </w:style>
  <w:style w:type="numbering" w:customStyle="1" w:styleId="Style4">
    <w:name w:val="Style4"/>
    <w:uiPriority w:val="99"/>
    <w:rsid w:val="003F563F"/>
    <w:pPr>
      <w:numPr>
        <w:numId w:val="14"/>
      </w:numPr>
    </w:pPr>
  </w:style>
  <w:style w:type="numbering" w:customStyle="1" w:styleId="Style1">
    <w:name w:val="Style1"/>
    <w:uiPriority w:val="99"/>
    <w:rsid w:val="0021036F"/>
    <w:pPr>
      <w:numPr>
        <w:numId w:val="15"/>
      </w:numPr>
    </w:pPr>
  </w:style>
  <w:style w:type="character" w:customStyle="1" w:styleId="Mention1">
    <w:name w:val="Mention1"/>
    <w:basedOn w:val="DefaultParagraphFont"/>
    <w:uiPriority w:val="99"/>
    <w:semiHidden/>
    <w:unhideWhenUsed/>
    <w:rsid w:val="00B14435"/>
    <w:rPr>
      <w:color w:val="2B579A"/>
      <w:shd w:val="clear" w:color="auto" w:fill="E6E6E6"/>
    </w:rPr>
  </w:style>
  <w:style w:type="character" w:customStyle="1" w:styleId="Mention2">
    <w:name w:val="Mention2"/>
    <w:basedOn w:val="DefaultParagraphFont"/>
    <w:uiPriority w:val="99"/>
    <w:semiHidden/>
    <w:unhideWhenUsed/>
    <w:rsid w:val="0036797D"/>
    <w:rPr>
      <w:color w:val="2B579A"/>
      <w:shd w:val="clear" w:color="auto" w:fill="E6E6E6"/>
    </w:rPr>
  </w:style>
  <w:style w:type="character" w:customStyle="1" w:styleId="Mention3">
    <w:name w:val="Mention3"/>
    <w:basedOn w:val="DefaultParagraphFont"/>
    <w:uiPriority w:val="99"/>
    <w:semiHidden/>
    <w:unhideWhenUsed/>
    <w:rsid w:val="008361BE"/>
    <w:rPr>
      <w:color w:val="2B579A"/>
      <w:shd w:val="clear" w:color="auto" w:fill="E6E6E6"/>
    </w:rPr>
  </w:style>
  <w:style w:type="character" w:customStyle="1" w:styleId="Mention4">
    <w:name w:val="Mention4"/>
    <w:basedOn w:val="DefaultParagraphFont"/>
    <w:uiPriority w:val="99"/>
    <w:semiHidden/>
    <w:unhideWhenUsed/>
    <w:rsid w:val="00D92215"/>
    <w:rPr>
      <w:color w:val="2B579A"/>
      <w:shd w:val="clear" w:color="auto" w:fill="E6E6E6"/>
    </w:rPr>
  </w:style>
  <w:style w:type="numbering" w:customStyle="1" w:styleId="Style2">
    <w:name w:val="Style2"/>
    <w:uiPriority w:val="99"/>
    <w:rsid w:val="00EA0164"/>
    <w:pPr>
      <w:numPr>
        <w:numId w:val="18"/>
      </w:numPr>
    </w:pPr>
  </w:style>
  <w:style w:type="character" w:customStyle="1" w:styleId="ms-tablecell">
    <w:name w:val="ms-tablecell"/>
    <w:basedOn w:val="DefaultParagraphFont"/>
    <w:rsid w:val="00F37669"/>
  </w:style>
  <w:style w:type="paragraph" w:styleId="List3">
    <w:name w:val="List 3"/>
    <w:basedOn w:val="Normal"/>
    <w:rsid w:val="00017A76"/>
    <w:pPr>
      <w:ind w:left="849" w:hanging="283"/>
      <w:contextualSpacing/>
    </w:pPr>
  </w:style>
  <w:style w:type="paragraph" w:customStyle="1" w:styleId="Default">
    <w:name w:val="Default"/>
    <w:rsid w:val="00AC4669"/>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DD206B"/>
    <w:rPr>
      <w:color w:val="605E5C"/>
      <w:shd w:val="clear" w:color="auto" w:fill="E1DFDD"/>
    </w:rPr>
  </w:style>
  <w:style w:type="character" w:customStyle="1" w:styleId="UnresolvedMention2">
    <w:name w:val="Unresolved Mention2"/>
    <w:basedOn w:val="DefaultParagraphFont"/>
    <w:uiPriority w:val="99"/>
    <w:semiHidden/>
    <w:unhideWhenUsed/>
    <w:rsid w:val="00774557"/>
    <w:rPr>
      <w:color w:val="605E5C"/>
      <w:shd w:val="clear" w:color="auto" w:fill="E1DFDD"/>
    </w:rPr>
  </w:style>
  <w:style w:type="numbering" w:customStyle="1" w:styleId="Style6">
    <w:name w:val="Style6"/>
    <w:uiPriority w:val="99"/>
    <w:rsid w:val="00626ABC"/>
    <w:pPr>
      <w:numPr>
        <w:numId w:val="43"/>
      </w:numPr>
    </w:pPr>
  </w:style>
  <w:style w:type="numbering" w:customStyle="1" w:styleId="Style61">
    <w:name w:val="Style61"/>
    <w:uiPriority w:val="99"/>
    <w:rsid w:val="005E506E"/>
  </w:style>
  <w:style w:type="numbering" w:customStyle="1" w:styleId="Style62">
    <w:name w:val="Style62"/>
    <w:uiPriority w:val="99"/>
    <w:rsid w:val="00ED0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881">
      <w:bodyDiv w:val="1"/>
      <w:marLeft w:val="0"/>
      <w:marRight w:val="0"/>
      <w:marTop w:val="0"/>
      <w:marBottom w:val="0"/>
      <w:divBdr>
        <w:top w:val="none" w:sz="0" w:space="0" w:color="auto"/>
        <w:left w:val="none" w:sz="0" w:space="0" w:color="auto"/>
        <w:bottom w:val="none" w:sz="0" w:space="0" w:color="auto"/>
        <w:right w:val="none" w:sz="0" w:space="0" w:color="auto"/>
      </w:divBdr>
    </w:div>
    <w:div w:id="49621106">
      <w:bodyDiv w:val="1"/>
      <w:marLeft w:val="0"/>
      <w:marRight w:val="0"/>
      <w:marTop w:val="0"/>
      <w:marBottom w:val="0"/>
      <w:divBdr>
        <w:top w:val="none" w:sz="0" w:space="0" w:color="auto"/>
        <w:left w:val="none" w:sz="0" w:space="0" w:color="auto"/>
        <w:bottom w:val="none" w:sz="0" w:space="0" w:color="auto"/>
        <w:right w:val="none" w:sz="0" w:space="0" w:color="auto"/>
      </w:divBdr>
    </w:div>
    <w:div w:id="113208439">
      <w:bodyDiv w:val="1"/>
      <w:marLeft w:val="0"/>
      <w:marRight w:val="0"/>
      <w:marTop w:val="0"/>
      <w:marBottom w:val="0"/>
      <w:divBdr>
        <w:top w:val="none" w:sz="0" w:space="0" w:color="auto"/>
        <w:left w:val="none" w:sz="0" w:space="0" w:color="auto"/>
        <w:bottom w:val="none" w:sz="0" w:space="0" w:color="auto"/>
        <w:right w:val="none" w:sz="0" w:space="0" w:color="auto"/>
      </w:divBdr>
    </w:div>
    <w:div w:id="278881569">
      <w:bodyDiv w:val="1"/>
      <w:marLeft w:val="0"/>
      <w:marRight w:val="0"/>
      <w:marTop w:val="0"/>
      <w:marBottom w:val="0"/>
      <w:divBdr>
        <w:top w:val="none" w:sz="0" w:space="0" w:color="auto"/>
        <w:left w:val="none" w:sz="0" w:space="0" w:color="auto"/>
        <w:bottom w:val="none" w:sz="0" w:space="0" w:color="auto"/>
        <w:right w:val="none" w:sz="0" w:space="0" w:color="auto"/>
      </w:divBdr>
    </w:div>
    <w:div w:id="330067550">
      <w:bodyDiv w:val="1"/>
      <w:marLeft w:val="0"/>
      <w:marRight w:val="0"/>
      <w:marTop w:val="0"/>
      <w:marBottom w:val="0"/>
      <w:divBdr>
        <w:top w:val="none" w:sz="0" w:space="0" w:color="auto"/>
        <w:left w:val="none" w:sz="0" w:space="0" w:color="auto"/>
        <w:bottom w:val="none" w:sz="0" w:space="0" w:color="auto"/>
        <w:right w:val="none" w:sz="0" w:space="0" w:color="auto"/>
      </w:divBdr>
    </w:div>
    <w:div w:id="935140744">
      <w:bodyDiv w:val="1"/>
      <w:marLeft w:val="0"/>
      <w:marRight w:val="0"/>
      <w:marTop w:val="0"/>
      <w:marBottom w:val="0"/>
      <w:divBdr>
        <w:top w:val="none" w:sz="0" w:space="0" w:color="auto"/>
        <w:left w:val="none" w:sz="0" w:space="0" w:color="auto"/>
        <w:bottom w:val="none" w:sz="0" w:space="0" w:color="auto"/>
        <w:right w:val="none" w:sz="0" w:space="0" w:color="auto"/>
      </w:divBdr>
    </w:div>
    <w:div w:id="956330068">
      <w:bodyDiv w:val="1"/>
      <w:marLeft w:val="0"/>
      <w:marRight w:val="0"/>
      <w:marTop w:val="0"/>
      <w:marBottom w:val="0"/>
      <w:divBdr>
        <w:top w:val="none" w:sz="0" w:space="0" w:color="auto"/>
        <w:left w:val="none" w:sz="0" w:space="0" w:color="auto"/>
        <w:bottom w:val="none" w:sz="0" w:space="0" w:color="auto"/>
        <w:right w:val="none" w:sz="0" w:space="0" w:color="auto"/>
      </w:divBdr>
    </w:div>
    <w:div w:id="1010839890">
      <w:bodyDiv w:val="1"/>
      <w:marLeft w:val="0"/>
      <w:marRight w:val="0"/>
      <w:marTop w:val="0"/>
      <w:marBottom w:val="0"/>
      <w:divBdr>
        <w:top w:val="none" w:sz="0" w:space="0" w:color="auto"/>
        <w:left w:val="none" w:sz="0" w:space="0" w:color="auto"/>
        <w:bottom w:val="none" w:sz="0" w:space="0" w:color="auto"/>
        <w:right w:val="none" w:sz="0" w:space="0" w:color="auto"/>
      </w:divBdr>
    </w:div>
    <w:div w:id="1208687576">
      <w:bodyDiv w:val="1"/>
      <w:marLeft w:val="0"/>
      <w:marRight w:val="0"/>
      <w:marTop w:val="0"/>
      <w:marBottom w:val="0"/>
      <w:divBdr>
        <w:top w:val="none" w:sz="0" w:space="0" w:color="auto"/>
        <w:left w:val="none" w:sz="0" w:space="0" w:color="auto"/>
        <w:bottom w:val="none" w:sz="0" w:space="0" w:color="auto"/>
        <w:right w:val="none" w:sz="0" w:space="0" w:color="auto"/>
      </w:divBdr>
    </w:div>
    <w:div w:id="1231426950">
      <w:bodyDiv w:val="1"/>
      <w:marLeft w:val="0"/>
      <w:marRight w:val="0"/>
      <w:marTop w:val="0"/>
      <w:marBottom w:val="0"/>
      <w:divBdr>
        <w:top w:val="none" w:sz="0" w:space="0" w:color="auto"/>
        <w:left w:val="none" w:sz="0" w:space="0" w:color="auto"/>
        <w:bottom w:val="none" w:sz="0" w:space="0" w:color="auto"/>
        <w:right w:val="none" w:sz="0" w:space="0" w:color="auto"/>
      </w:divBdr>
    </w:div>
    <w:div w:id="1633710795">
      <w:bodyDiv w:val="1"/>
      <w:marLeft w:val="0"/>
      <w:marRight w:val="0"/>
      <w:marTop w:val="0"/>
      <w:marBottom w:val="0"/>
      <w:divBdr>
        <w:top w:val="none" w:sz="0" w:space="0" w:color="auto"/>
        <w:left w:val="none" w:sz="0" w:space="0" w:color="auto"/>
        <w:bottom w:val="none" w:sz="0" w:space="0" w:color="auto"/>
        <w:right w:val="none" w:sz="0" w:space="0" w:color="auto"/>
      </w:divBdr>
    </w:div>
    <w:div w:id="194749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gf@invega.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gf2@invega.lt" TargetMode="External"/><Relationship Id="rId17" Type="http://schemas.openxmlformats.org/officeDocument/2006/relationships/hyperlink" Target="mailto:pgf@invega.lt" TargetMode="External"/><Relationship Id="rId2" Type="http://schemas.openxmlformats.org/officeDocument/2006/relationships/customXml" Target="../customXml/item2.xml"/><Relationship Id="rId16" Type="http://schemas.openxmlformats.org/officeDocument/2006/relationships/hyperlink" Target="mailto:pgf2@invega.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hyperlink" Target="mailto:pgf2@invega.l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gf2@invega.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9" ma:contentTypeDescription="Kurkite naują dokumentą." ma:contentTypeScope="" ma:versionID="8c2bffb4415c0cfe6167e5dd9e2f29e8">
  <xsd:schema xmlns:xsd="http://www.w3.org/2001/XMLSchema" xmlns:xs="http://www.w3.org/2001/XMLSchema" xmlns:p="http://schemas.microsoft.com/office/2006/metadata/properties" xmlns:ns3="d54348e1-8662-4887-9d6e-2f3aba196886" targetNamespace="http://schemas.microsoft.com/office/2006/metadata/properties" ma:root="true" ma:fieldsID="090323f55e4e2f9ecb09267517b19506"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994B-0642-4F44-9104-6A77EFD59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3FB11-83B3-4BF0-BD03-29866164C073}">
  <ds:schemaRefs>
    <ds:schemaRef ds:uri="http://schemas.microsoft.com/sharepoint/v3/contenttype/forms"/>
  </ds:schemaRefs>
</ds:datastoreItem>
</file>

<file path=customXml/itemProps3.xml><?xml version="1.0" encoding="utf-8"?>
<ds:datastoreItem xmlns:ds="http://schemas.openxmlformats.org/officeDocument/2006/customXml" ds:itemID="{36BF4CF0-E648-4D8F-988D-7BE92C38C2EC}">
  <ds:schemaRefs>
    <ds:schemaRef ds:uri="d54348e1-8662-4887-9d6e-2f3aba196886"/>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elements/1.1/"/>
  </ds:schemaRefs>
</ds:datastoreItem>
</file>

<file path=customXml/itemProps4.xml><?xml version="1.0" encoding="utf-8"?>
<ds:datastoreItem xmlns:ds="http://schemas.openxmlformats.org/officeDocument/2006/customXml" ds:itemID="{C980A823-4AEC-4E97-8A1C-40FDAB68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31</Pages>
  <Words>11066</Words>
  <Characters>76688</Characters>
  <Application>Microsoft Office Word</Application>
  <DocSecurity>0</DocSecurity>
  <PresentationFormat/>
  <Lines>639</Lines>
  <Paragraphs>175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vector>
  </TitlesOfParts>
  <Manager/>
  <Company/>
  <LinksUpToDate>false</LinksUpToDate>
  <CharactersWithSpaces>87579</CharactersWithSpaces>
  <SharedDoc>false</SharedDoc>
  <HyperlinkBase/>
  <HLinks>
    <vt:vector size="36" baseType="variant">
      <vt:variant>
        <vt:i4>1507426</vt:i4>
      </vt:variant>
      <vt:variant>
        <vt:i4>15</vt:i4>
      </vt:variant>
      <vt:variant>
        <vt:i4>0</vt:i4>
      </vt:variant>
      <vt:variant>
        <vt:i4>5</vt:i4>
      </vt:variant>
      <vt:variant>
        <vt:lpwstr>javascript:linkAction('business.d2d.accounts.statements.accountStatement','force_acc','10145561744','','','','')</vt:lpwstr>
      </vt:variant>
      <vt:variant>
        <vt:lpwstr/>
      </vt:variant>
      <vt:variant>
        <vt:i4>3407965</vt:i4>
      </vt:variant>
      <vt:variant>
        <vt:i4>12</vt:i4>
      </vt:variant>
      <vt:variant>
        <vt:i4>0</vt:i4>
      </vt:variant>
      <vt:variant>
        <vt:i4>5</vt:i4>
      </vt:variant>
      <vt:variant>
        <vt:lpwstr>mailto:vsf2@invega.lt</vt:lpwstr>
      </vt:variant>
      <vt:variant>
        <vt:lpwstr/>
      </vt:variant>
      <vt:variant>
        <vt:i4>3407965</vt:i4>
      </vt:variant>
      <vt:variant>
        <vt:i4>9</vt:i4>
      </vt:variant>
      <vt:variant>
        <vt:i4>0</vt:i4>
      </vt:variant>
      <vt:variant>
        <vt:i4>5</vt:i4>
      </vt:variant>
      <vt:variant>
        <vt:lpwstr>mailto:vsf2@invega.lt</vt:lpwstr>
      </vt:variant>
      <vt:variant>
        <vt:lpwstr/>
      </vt:variant>
      <vt:variant>
        <vt:i4>3407965</vt:i4>
      </vt:variant>
      <vt:variant>
        <vt:i4>6</vt:i4>
      </vt:variant>
      <vt:variant>
        <vt:i4>0</vt:i4>
      </vt:variant>
      <vt:variant>
        <vt:i4>5</vt:i4>
      </vt:variant>
      <vt:variant>
        <vt:lpwstr>mailto:vsf2@invega.lt</vt:lpwstr>
      </vt:variant>
      <vt:variant>
        <vt:lpwstr/>
      </vt:variant>
      <vt:variant>
        <vt:i4>3407965</vt:i4>
      </vt:variant>
      <vt:variant>
        <vt:i4>3</vt:i4>
      </vt:variant>
      <vt:variant>
        <vt:i4>0</vt:i4>
      </vt:variant>
      <vt:variant>
        <vt:i4>5</vt:i4>
      </vt:variant>
      <vt:variant>
        <vt:lpwstr>mailto:vsf2@invega.lt</vt:lpwstr>
      </vt:variant>
      <vt:variant>
        <vt:lpwstr/>
      </vt:variant>
      <vt:variant>
        <vt:i4>3407965</vt:i4>
      </vt:variant>
      <vt:variant>
        <vt:i4>0</vt:i4>
      </vt:variant>
      <vt:variant>
        <vt:i4>0</vt:i4>
      </vt:variant>
      <vt:variant>
        <vt:i4>5</vt:i4>
      </vt:variant>
      <vt:variant>
        <vt:lpwstr>mailto:vsf2@invega.lt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Skripskienė</dc:creator>
  <cp:keywords/>
  <dc:description/>
  <cp:lastModifiedBy>Ieva Petkevičiūtė</cp:lastModifiedBy>
  <cp:revision>31</cp:revision>
  <cp:lastPrinted>2018-07-03T06:34:00Z</cp:lastPrinted>
  <dcterms:created xsi:type="dcterms:W3CDTF">2020-04-13T10:29:00Z</dcterms:created>
  <dcterms:modified xsi:type="dcterms:W3CDTF">2020-04-15T15:40:00Z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