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CF80E7" w14:textId="77777777" w:rsidR="00CE78DE" w:rsidRPr="00CE78DE" w:rsidRDefault="00CE78DE" w:rsidP="00CE78DE">
      <w:pPr>
        <w:tabs>
          <w:tab w:val="left" w:pos="1560"/>
        </w:tabs>
        <w:spacing w:after="0" w:line="240" w:lineRule="auto"/>
        <w:ind w:firstLine="5103"/>
        <w:rPr>
          <w:rFonts w:ascii="Bookman Old Style" w:eastAsia="Times New Roman" w:hAnsi="Bookman Old Style"/>
          <w:sz w:val="20"/>
          <w:szCs w:val="20"/>
        </w:rPr>
      </w:pPr>
      <w:r w:rsidRPr="00CE78DE">
        <w:rPr>
          <w:rFonts w:ascii="Bookman Old Style" w:eastAsia="Times New Roman" w:hAnsi="Bookman Old Style"/>
          <w:sz w:val="20"/>
          <w:szCs w:val="20"/>
        </w:rPr>
        <w:t>PATVIRTINTA</w:t>
      </w:r>
    </w:p>
    <w:p w14:paraId="7F90E805" w14:textId="77777777" w:rsidR="00CE78DE" w:rsidRPr="00CE78DE" w:rsidRDefault="00CE78DE" w:rsidP="00CE78DE">
      <w:pPr>
        <w:tabs>
          <w:tab w:val="left" w:pos="1560"/>
        </w:tabs>
        <w:spacing w:after="0" w:line="240" w:lineRule="auto"/>
        <w:ind w:firstLine="5103"/>
        <w:rPr>
          <w:rFonts w:ascii="Bookman Old Style" w:eastAsia="Times New Roman" w:hAnsi="Bookman Old Style"/>
          <w:sz w:val="20"/>
          <w:szCs w:val="20"/>
        </w:rPr>
      </w:pPr>
      <w:r w:rsidRPr="00CE78DE">
        <w:rPr>
          <w:rFonts w:ascii="Bookman Old Style" w:eastAsia="Times New Roman" w:hAnsi="Bookman Old Style"/>
          <w:sz w:val="20"/>
          <w:szCs w:val="20"/>
        </w:rPr>
        <w:t>UAB „Investicijų ir verslo garantijos“</w:t>
      </w:r>
    </w:p>
    <w:p w14:paraId="7521FA4E" w14:textId="77777777" w:rsidR="00CE78DE" w:rsidRPr="00CE78DE" w:rsidRDefault="00CE78DE" w:rsidP="00CE78DE">
      <w:pPr>
        <w:tabs>
          <w:tab w:val="left" w:pos="1560"/>
        </w:tabs>
        <w:spacing w:after="0" w:line="240" w:lineRule="auto"/>
        <w:ind w:firstLine="5103"/>
        <w:rPr>
          <w:rFonts w:ascii="Bookman Old Style" w:eastAsia="Times New Roman" w:hAnsi="Bookman Old Style"/>
          <w:sz w:val="20"/>
          <w:szCs w:val="20"/>
        </w:rPr>
      </w:pPr>
      <w:r w:rsidRPr="00CE78DE">
        <w:rPr>
          <w:rFonts w:ascii="Bookman Old Style" w:eastAsia="Times New Roman" w:hAnsi="Bookman Old Style"/>
          <w:sz w:val="20"/>
          <w:szCs w:val="20"/>
        </w:rPr>
        <w:t>generalinio direktoriaus</w:t>
      </w:r>
    </w:p>
    <w:p w14:paraId="338C7128" w14:textId="7307204F" w:rsidR="00CE78DE" w:rsidRPr="00CE78DE" w:rsidRDefault="00CE78DE" w:rsidP="00CE78DE">
      <w:pPr>
        <w:tabs>
          <w:tab w:val="left" w:pos="1560"/>
        </w:tabs>
        <w:spacing w:after="0" w:line="240" w:lineRule="auto"/>
        <w:ind w:left="5103"/>
        <w:rPr>
          <w:rFonts w:ascii="Bookman Old Style" w:eastAsia="Times New Roman" w:hAnsi="Bookman Old Style"/>
          <w:sz w:val="20"/>
          <w:szCs w:val="20"/>
          <w:lang w:val="en-US"/>
        </w:rPr>
      </w:pPr>
      <w:r w:rsidRPr="00CE78DE">
        <w:rPr>
          <w:rFonts w:ascii="Bookman Old Style" w:eastAsia="Times New Roman" w:hAnsi="Bookman Old Style"/>
          <w:sz w:val="20"/>
          <w:szCs w:val="20"/>
        </w:rPr>
        <w:t xml:space="preserve">2020 m. </w:t>
      </w:r>
      <w:r>
        <w:rPr>
          <w:rFonts w:ascii="Bookman Old Style" w:eastAsia="Times New Roman" w:hAnsi="Bookman Old Style"/>
          <w:sz w:val="20"/>
          <w:szCs w:val="20"/>
        </w:rPr>
        <w:t xml:space="preserve">balandžio </w:t>
      </w:r>
      <w:r w:rsidR="00FE4E7B">
        <w:rPr>
          <w:rFonts w:ascii="Bookman Old Style" w:eastAsia="Times New Roman" w:hAnsi="Bookman Old Style"/>
          <w:sz w:val="20"/>
          <w:szCs w:val="20"/>
        </w:rPr>
        <w:t>10</w:t>
      </w:r>
      <w:r w:rsidRPr="00CE78DE">
        <w:rPr>
          <w:rFonts w:ascii="Bookman Old Style" w:eastAsia="Times New Roman" w:hAnsi="Bookman Old Style"/>
          <w:sz w:val="20"/>
          <w:szCs w:val="20"/>
        </w:rPr>
        <w:t xml:space="preserve"> d. įsakymu Nr. B-</w:t>
      </w:r>
      <w:r w:rsidR="00FE4E7B">
        <w:rPr>
          <w:rFonts w:ascii="Bookman Old Style" w:eastAsia="Times New Roman" w:hAnsi="Bookman Old Style"/>
          <w:sz w:val="20"/>
          <w:szCs w:val="20"/>
        </w:rPr>
        <w:t>40</w:t>
      </w:r>
    </w:p>
    <w:p w14:paraId="620724A1" w14:textId="77777777" w:rsidR="00CE78DE" w:rsidRDefault="00CE78DE" w:rsidP="00DC12B4">
      <w:pPr>
        <w:autoSpaceDE w:val="0"/>
        <w:autoSpaceDN w:val="0"/>
        <w:adjustRightInd w:val="0"/>
        <w:spacing w:after="0" w:line="240" w:lineRule="auto"/>
        <w:ind w:firstLine="851"/>
        <w:jc w:val="center"/>
        <w:rPr>
          <w:rFonts w:ascii="Times New Roman" w:hAnsi="Times New Roman"/>
          <w:b/>
          <w:iCs/>
          <w:sz w:val="24"/>
          <w:szCs w:val="24"/>
        </w:rPr>
      </w:pPr>
    </w:p>
    <w:p w14:paraId="0E54D85F" w14:textId="77777777" w:rsidR="00CE78DE" w:rsidRDefault="00CE78DE" w:rsidP="00DC12B4">
      <w:pPr>
        <w:autoSpaceDE w:val="0"/>
        <w:autoSpaceDN w:val="0"/>
        <w:adjustRightInd w:val="0"/>
        <w:spacing w:after="0" w:line="240" w:lineRule="auto"/>
        <w:ind w:firstLine="851"/>
        <w:jc w:val="center"/>
        <w:rPr>
          <w:rFonts w:ascii="Times New Roman" w:hAnsi="Times New Roman"/>
          <w:b/>
          <w:iCs/>
          <w:sz w:val="24"/>
          <w:szCs w:val="24"/>
        </w:rPr>
      </w:pPr>
    </w:p>
    <w:p w14:paraId="51E79487" w14:textId="471511B3" w:rsidR="004C393C" w:rsidRDefault="00FE2937" w:rsidP="00DC12B4">
      <w:pPr>
        <w:autoSpaceDE w:val="0"/>
        <w:autoSpaceDN w:val="0"/>
        <w:adjustRightInd w:val="0"/>
        <w:spacing w:after="0" w:line="240" w:lineRule="auto"/>
        <w:ind w:firstLine="851"/>
        <w:jc w:val="center"/>
        <w:rPr>
          <w:rFonts w:ascii="Times New Roman" w:hAnsi="Times New Roman"/>
          <w:b/>
          <w:iCs/>
          <w:sz w:val="24"/>
          <w:szCs w:val="24"/>
        </w:rPr>
      </w:pPr>
      <w:r>
        <w:rPr>
          <w:rFonts w:ascii="Times New Roman" w:hAnsi="Times New Roman"/>
          <w:b/>
          <w:iCs/>
          <w:sz w:val="24"/>
          <w:szCs w:val="24"/>
        </w:rPr>
        <w:t>FINANSŲ INŽINERIJOS PRIEMONĖS</w:t>
      </w:r>
      <w:r w:rsidR="00DC12B4" w:rsidRPr="00F10B29">
        <w:rPr>
          <w:rFonts w:ascii="Times New Roman" w:hAnsi="Times New Roman"/>
          <w:b/>
          <w:iCs/>
          <w:sz w:val="24"/>
          <w:szCs w:val="24"/>
        </w:rPr>
        <w:t xml:space="preserve"> „PORTFELINĖS GARANTIJOS </w:t>
      </w:r>
    </w:p>
    <w:p w14:paraId="3C39E578" w14:textId="77777777" w:rsidR="005C059C" w:rsidRPr="00F10B29" w:rsidRDefault="00DC12B4" w:rsidP="00DC12B4">
      <w:pPr>
        <w:autoSpaceDE w:val="0"/>
        <w:autoSpaceDN w:val="0"/>
        <w:adjustRightInd w:val="0"/>
        <w:spacing w:after="0" w:line="240" w:lineRule="auto"/>
        <w:ind w:firstLine="851"/>
        <w:jc w:val="center"/>
        <w:rPr>
          <w:rFonts w:ascii="Times New Roman" w:hAnsi="Times New Roman"/>
          <w:b/>
          <w:iCs/>
          <w:sz w:val="24"/>
          <w:szCs w:val="24"/>
        </w:rPr>
      </w:pPr>
      <w:r w:rsidRPr="00F10B29">
        <w:rPr>
          <w:rFonts w:ascii="Times New Roman" w:hAnsi="Times New Roman"/>
          <w:b/>
          <w:iCs/>
          <w:sz w:val="24"/>
          <w:szCs w:val="24"/>
        </w:rPr>
        <w:t>FAKTORINGO</w:t>
      </w:r>
      <w:r w:rsidR="004C393C">
        <w:rPr>
          <w:rFonts w:ascii="Times New Roman" w:hAnsi="Times New Roman"/>
          <w:b/>
          <w:iCs/>
          <w:sz w:val="24"/>
          <w:szCs w:val="24"/>
        </w:rPr>
        <w:t xml:space="preserve"> </w:t>
      </w:r>
      <w:r w:rsidRPr="00F10B29">
        <w:rPr>
          <w:rFonts w:ascii="Times New Roman" w:hAnsi="Times New Roman"/>
          <w:b/>
          <w:iCs/>
          <w:sz w:val="24"/>
          <w:szCs w:val="24"/>
        </w:rPr>
        <w:t>SANDORIAMS</w:t>
      </w:r>
      <w:r w:rsidR="003F6337" w:rsidRPr="00F10B29">
        <w:rPr>
          <w:rFonts w:ascii="Times New Roman" w:hAnsi="Times New Roman"/>
          <w:b/>
          <w:iCs/>
          <w:sz w:val="24"/>
          <w:szCs w:val="24"/>
        </w:rPr>
        <w:t xml:space="preserve"> </w:t>
      </w:r>
      <w:r w:rsidR="003F6337" w:rsidRPr="00F10B29">
        <w:rPr>
          <w:rFonts w:ascii="Times New Roman" w:hAnsi="Times New Roman"/>
          <w:b/>
          <w:iCs/>
          <w:sz w:val="24"/>
          <w:szCs w:val="24"/>
          <w:lang w:val="en-US"/>
        </w:rPr>
        <w:t>2</w:t>
      </w:r>
      <w:r w:rsidRPr="00F10B29">
        <w:rPr>
          <w:rFonts w:ascii="Times New Roman" w:hAnsi="Times New Roman"/>
          <w:b/>
          <w:iCs/>
          <w:sz w:val="24"/>
          <w:szCs w:val="24"/>
        </w:rPr>
        <w:t>“</w:t>
      </w:r>
      <w:r w:rsidR="00F10B29" w:rsidRPr="00F10B29">
        <w:rPr>
          <w:rFonts w:ascii="Times New Roman" w:hAnsi="Times New Roman"/>
          <w:b/>
          <w:iCs/>
          <w:sz w:val="24"/>
          <w:szCs w:val="24"/>
        </w:rPr>
        <w:t xml:space="preserve"> </w:t>
      </w:r>
      <w:r w:rsidR="004C393C">
        <w:rPr>
          <w:rFonts w:ascii="Times New Roman" w:hAnsi="Times New Roman"/>
          <w:b/>
          <w:iCs/>
          <w:sz w:val="24"/>
          <w:szCs w:val="24"/>
        </w:rPr>
        <w:t xml:space="preserve">ĮGYVENDINIMO </w:t>
      </w:r>
      <w:r w:rsidR="00F10B29" w:rsidRPr="00F10B29">
        <w:rPr>
          <w:rFonts w:ascii="Times New Roman" w:hAnsi="Times New Roman"/>
          <w:b/>
          <w:iCs/>
          <w:sz w:val="24"/>
          <w:szCs w:val="24"/>
        </w:rPr>
        <w:t>SĄLYGŲ APRAŠAS</w:t>
      </w:r>
    </w:p>
    <w:p w14:paraId="1425120D" w14:textId="77777777" w:rsidR="006968FD" w:rsidRPr="00F10B29" w:rsidRDefault="006968FD" w:rsidP="00DC12B4">
      <w:pPr>
        <w:autoSpaceDE w:val="0"/>
        <w:autoSpaceDN w:val="0"/>
        <w:adjustRightInd w:val="0"/>
        <w:spacing w:after="0" w:line="240" w:lineRule="auto"/>
        <w:ind w:firstLine="851"/>
        <w:jc w:val="center"/>
        <w:rPr>
          <w:rFonts w:ascii="Times New Roman" w:hAnsi="Times New Roman"/>
          <w:b/>
          <w:iCs/>
          <w:sz w:val="24"/>
          <w:szCs w:val="24"/>
        </w:rPr>
      </w:pPr>
    </w:p>
    <w:p w14:paraId="6D322DF3" w14:textId="77777777" w:rsidR="006968FD" w:rsidRPr="00DC12B4" w:rsidRDefault="006968FD" w:rsidP="00DC12B4">
      <w:pPr>
        <w:autoSpaceDE w:val="0"/>
        <w:autoSpaceDN w:val="0"/>
        <w:adjustRightInd w:val="0"/>
        <w:spacing w:after="0" w:line="240" w:lineRule="auto"/>
        <w:ind w:firstLine="851"/>
        <w:jc w:val="center"/>
        <w:rPr>
          <w:rFonts w:ascii="Times New Roman" w:hAnsi="Times New Roman"/>
          <w:b/>
          <w:i/>
          <w:sz w:val="24"/>
          <w:szCs w:val="24"/>
        </w:rPr>
      </w:pPr>
    </w:p>
    <w:p w14:paraId="3919AA14" w14:textId="77777777" w:rsidR="00C366A5" w:rsidRDefault="00A3580B" w:rsidP="00BF7FC9">
      <w:pPr>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rPr>
        <w:t>BENDROSIOS NUOSTATOS</w:t>
      </w:r>
    </w:p>
    <w:p w14:paraId="289EA333" w14:textId="77777777" w:rsidR="00042CE8" w:rsidRPr="002E1F2A" w:rsidRDefault="00042CE8" w:rsidP="00042CE8">
      <w:pPr>
        <w:autoSpaceDE w:val="0"/>
        <w:autoSpaceDN w:val="0"/>
        <w:adjustRightInd w:val="0"/>
        <w:spacing w:after="0" w:line="240" w:lineRule="auto"/>
        <w:jc w:val="both"/>
        <w:rPr>
          <w:rFonts w:ascii="Times New Roman" w:hAnsi="Times New Roman"/>
          <w:sz w:val="24"/>
          <w:szCs w:val="24"/>
        </w:rPr>
      </w:pPr>
    </w:p>
    <w:p w14:paraId="68E79E83" w14:textId="77777777" w:rsidR="00C54B79" w:rsidRPr="00A1481B" w:rsidRDefault="00FE2937"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rPr>
        <w:t>Finansų inžinerijos priemonės</w:t>
      </w:r>
      <w:r w:rsidR="00042CE8" w:rsidRPr="00A1481B">
        <w:rPr>
          <w:rFonts w:ascii="Times New Roman" w:hAnsi="Times New Roman"/>
          <w:sz w:val="24"/>
          <w:szCs w:val="24"/>
        </w:rPr>
        <w:t xml:space="preserve"> „Portfelinės garantijos faktoringo sandoriams 2“ </w:t>
      </w:r>
      <w:r w:rsidR="0081092F" w:rsidRPr="00A1481B">
        <w:rPr>
          <w:rFonts w:ascii="Times New Roman" w:hAnsi="Times New Roman"/>
          <w:sz w:val="24"/>
          <w:szCs w:val="24"/>
        </w:rPr>
        <w:t xml:space="preserve">įgyvendinimo </w:t>
      </w:r>
      <w:r w:rsidR="00042CE8" w:rsidRPr="00A1481B">
        <w:rPr>
          <w:rFonts w:ascii="Times New Roman" w:hAnsi="Times New Roman"/>
          <w:sz w:val="24"/>
          <w:szCs w:val="24"/>
        </w:rPr>
        <w:t xml:space="preserve">sąlygų aprašas </w:t>
      </w:r>
      <w:r w:rsidR="00B55818" w:rsidRPr="00A1481B">
        <w:rPr>
          <w:rFonts w:ascii="Times New Roman" w:hAnsi="Times New Roman"/>
          <w:sz w:val="24"/>
          <w:szCs w:val="24"/>
        </w:rPr>
        <w:t xml:space="preserve">(toliau – </w:t>
      </w:r>
      <w:r w:rsidR="00BE0B29" w:rsidRPr="00A1481B">
        <w:rPr>
          <w:rFonts w:ascii="Times New Roman" w:hAnsi="Times New Roman"/>
          <w:sz w:val="24"/>
          <w:szCs w:val="24"/>
        </w:rPr>
        <w:t>A</w:t>
      </w:r>
      <w:r w:rsidR="00B55818" w:rsidRPr="00A1481B">
        <w:rPr>
          <w:rFonts w:ascii="Times New Roman" w:hAnsi="Times New Roman"/>
          <w:sz w:val="24"/>
          <w:szCs w:val="24"/>
        </w:rPr>
        <w:t xml:space="preserve">prašas) </w:t>
      </w:r>
      <w:r w:rsidR="00042CE8" w:rsidRPr="00A1481B">
        <w:rPr>
          <w:rFonts w:ascii="Times New Roman" w:hAnsi="Times New Roman"/>
          <w:sz w:val="24"/>
          <w:szCs w:val="24"/>
        </w:rPr>
        <w:t xml:space="preserve">nustato finansų inžinerijos priemonės „Portfelinės garantijos faktoringo sandoriams 2“ (toliau – PGF2 priemonė) </w:t>
      </w:r>
      <w:r w:rsidR="004C393C" w:rsidRPr="00A1481B">
        <w:rPr>
          <w:rFonts w:ascii="Times New Roman" w:hAnsi="Times New Roman"/>
          <w:sz w:val="24"/>
          <w:szCs w:val="24"/>
        </w:rPr>
        <w:t xml:space="preserve">įgyvendinimo sąlygas, </w:t>
      </w:r>
      <w:r w:rsidR="005D1A2B" w:rsidRPr="00A1481B">
        <w:rPr>
          <w:rFonts w:ascii="Times New Roman" w:hAnsi="Times New Roman"/>
          <w:sz w:val="24"/>
          <w:szCs w:val="24"/>
        </w:rPr>
        <w:t xml:space="preserve">reikalavimus </w:t>
      </w:r>
      <w:r w:rsidR="00361EF4" w:rsidRPr="00A1481B">
        <w:rPr>
          <w:rFonts w:ascii="Times New Roman" w:hAnsi="Times New Roman"/>
          <w:sz w:val="24"/>
          <w:szCs w:val="24"/>
        </w:rPr>
        <w:t>PGF2</w:t>
      </w:r>
      <w:r w:rsidR="001C1296" w:rsidRPr="00A1481B">
        <w:rPr>
          <w:rFonts w:ascii="Times New Roman" w:hAnsi="Times New Roman"/>
          <w:sz w:val="24"/>
          <w:szCs w:val="24"/>
        </w:rPr>
        <w:t xml:space="preserve"> priemonės </w:t>
      </w:r>
      <w:r w:rsidR="007A004C" w:rsidRPr="00A1481B">
        <w:rPr>
          <w:rFonts w:ascii="Times New Roman" w:hAnsi="Times New Roman"/>
          <w:sz w:val="24"/>
          <w:szCs w:val="24"/>
        </w:rPr>
        <w:t>finansų tarpinink</w:t>
      </w:r>
      <w:r w:rsidR="001C1296" w:rsidRPr="00A1481B">
        <w:rPr>
          <w:rFonts w:ascii="Times New Roman" w:hAnsi="Times New Roman"/>
          <w:sz w:val="24"/>
          <w:szCs w:val="24"/>
        </w:rPr>
        <w:t>ams</w:t>
      </w:r>
      <w:r w:rsidR="007A004C" w:rsidRPr="00A1481B">
        <w:rPr>
          <w:rFonts w:ascii="Times New Roman" w:hAnsi="Times New Roman"/>
          <w:sz w:val="24"/>
          <w:szCs w:val="24"/>
        </w:rPr>
        <w:t xml:space="preserve"> (toliau </w:t>
      </w:r>
      <w:r w:rsidR="004D65EF">
        <w:rPr>
          <w:rFonts w:ascii="Times New Roman" w:hAnsi="Times New Roman"/>
          <w:sz w:val="24"/>
          <w:szCs w:val="24"/>
        </w:rPr>
        <w:t>–</w:t>
      </w:r>
      <w:r w:rsidR="007A004C" w:rsidRPr="00A1481B">
        <w:rPr>
          <w:rFonts w:ascii="Times New Roman" w:hAnsi="Times New Roman"/>
          <w:sz w:val="24"/>
          <w:szCs w:val="24"/>
        </w:rPr>
        <w:t xml:space="preserve"> FT)</w:t>
      </w:r>
      <w:r w:rsidR="00333DD2" w:rsidRPr="00A1481B">
        <w:rPr>
          <w:rFonts w:ascii="Times New Roman" w:hAnsi="Times New Roman"/>
          <w:sz w:val="24"/>
          <w:szCs w:val="24"/>
        </w:rPr>
        <w:t xml:space="preserve"> </w:t>
      </w:r>
      <w:r w:rsidR="004C393C" w:rsidRPr="00A1481B">
        <w:rPr>
          <w:rFonts w:ascii="Times New Roman" w:hAnsi="Times New Roman"/>
          <w:sz w:val="24"/>
          <w:szCs w:val="24"/>
        </w:rPr>
        <w:t>ir</w:t>
      </w:r>
      <w:r w:rsidR="00B55818" w:rsidRPr="00A1481B">
        <w:rPr>
          <w:rFonts w:ascii="Times New Roman" w:hAnsi="Times New Roman"/>
          <w:sz w:val="24"/>
          <w:szCs w:val="24"/>
        </w:rPr>
        <w:t xml:space="preserve"> </w:t>
      </w:r>
      <w:r w:rsidR="004C6BBB" w:rsidRPr="00A1481B">
        <w:rPr>
          <w:rFonts w:ascii="Times New Roman" w:hAnsi="Times New Roman"/>
          <w:sz w:val="24"/>
          <w:szCs w:val="24"/>
        </w:rPr>
        <w:t xml:space="preserve">PGF2 priemonės lėšomis garantuotų </w:t>
      </w:r>
      <w:r w:rsidR="00042CE8" w:rsidRPr="00A1481B">
        <w:rPr>
          <w:rFonts w:ascii="Times New Roman" w:hAnsi="Times New Roman"/>
          <w:sz w:val="24"/>
          <w:szCs w:val="24"/>
        </w:rPr>
        <w:t>portfel</w:t>
      </w:r>
      <w:r w:rsidR="00333DD2" w:rsidRPr="00A1481B">
        <w:rPr>
          <w:rFonts w:ascii="Times New Roman" w:hAnsi="Times New Roman"/>
          <w:sz w:val="24"/>
          <w:szCs w:val="24"/>
        </w:rPr>
        <w:t>ių</w:t>
      </w:r>
      <w:r w:rsidR="00042CE8" w:rsidRPr="00A1481B">
        <w:rPr>
          <w:rFonts w:ascii="Times New Roman" w:hAnsi="Times New Roman"/>
          <w:sz w:val="24"/>
          <w:szCs w:val="24"/>
        </w:rPr>
        <w:t xml:space="preserve"> form</w:t>
      </w:r>
      <w:r w:rsidR="00333DD2" w:rsidRPr="00A1481B">
        <w:rPr>
          <w:rFonts w:ascii="Times New Roman" w:hAnsi="Times New Roman"/>
          <w:sz w:val="24"/>
          <w:szCs w:val="24"/>
        </w:rPr>
        <w:t>avimui</w:t>
      </w:r>
      <w:r w:rsidR="00042CE8" w:rsidRPr="00A1481B">
        <w:rPr>
          <w:rFonts w:ascii="Times New Roman" w:hAnsi="Times New Roman"/>
          <w:sz w:val="24"/>
          <w:szCs w:val="24"/>
        </w:rPr>
        <w:t xml:space="preserve"> skirtų lėšų paskirstymo </w:t>
      </w:r>
      <w:r w:rsidR="00333DD2" w:rsidRPr="00A1481B">
        <w:rPr>
          <w:rFonts w:ascii="Times New Roman" w:hAnsi="Times New Roman"/>
          <w:sz w:val="24"/>
          <w:szCs w:val="24"/>
        </w:rPr>
        <w:t>tvarką</w:t>
      </w:r>
      <w:r w:rsidR="004C393C" w:rsidRPr="00A1481B">
        <w:rPr>
          <w:rFonts w:ascii="Times New Roman" w:hAnsi="Times New Roman"/>
          <w:sz w:val="24"/>
          <w:szCs w:val="24"/>
        </w:rPr>
        <w:t>.</w:t>
      </w:r>
    </w:p>
    <w:p w14:paraId="18B8F044" w14:textId="77777777" w:rsidR="00E13B4F" w:rsidRPr="00A1481B" w:rsidRDefault="00B55818"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rPr>
        <w:t xml:space="preserve">PGF2 priemonė </w:t>
      </w:r>
      <w:r w:rsidR="00FE2937" w:rsidRPr="00A1481B">
        <w:rPr>
          <w:rFonts w:ascii="Times New Roman" w:hAnsi="Times New Roman"/>
          <w:sz w:val="24"/>
          <w:szCs w:val="24"/>
        </w:rPr>
        <w:t>į</w:t>
      </w:r>
      <w:r w:rsidRPr="00A1481B">
        <w:rPr>
          <w:rFonts w:ascii="Times New Roman" w:hAnsi="Times New Roman"/>
          <w:sz w:val="24"/>
          <w:szCs w:val="24"/>
        </w:rPr>
        <w:t>gyvendinama iš kontroliuojančio fondo „INVEGOS fondas“</w:t>
      </w:r>
      <w:r w:rsidR="00FE2937" w:rsidRPr="00A1481B">
        <w:rPr>
          <w:rFonts w:ascii="Times New Roman" w:hAnsi="Times New Roman"/>
          <w:sz w:val="24"/>
          <w:szCs w:val="24"/>
        </w:rPr>
        <w:t xml:space="preserve"> (toliau – INVEGOS fondas)</w:t>
      </w:r>
      <w:r w:rsidRPr="00A1481B">
        <w:rPr>
          <w:rFonts w:ascii="Times New Roman" w:hAnsi="Times New Roman"/>
          <w:sz w:val="24"/>
          <w:szCs w:val="24"/>
        </w:rPr>
        <w:t xml:space="preserve">, įsteigto pagal </w:t>
      </w:r>
      <w:r w:rsidRPr="00A1481B">
        <w:rPr>
          <w:rFonts w:ascii="Times New Roman" w:hAnsi="Times New Roman"/>
          <w:bCs/>
          <w:sz w:val="24"/>
          <w:szCs w:val="24"/>
        </w:rPr>
        <w:t>2009 m. balandžio 7 d. sutartį, sudarytą tarp Lietuvos Respublikos finansų ministerijos,</w:t>
      </w:r>
      <w:r w:rsidRPr="00A1481B">
        <w:rPr>
          <w:rFonts w:ascii="Times New Roman" w:hAnsi="Times New Roman"/>
          <w:b/>
          <w:bCs/>
          <w:sz w:val="24"/>
          <w:szCs w:val="24"/>
        </w:rPr>
        <w:t xml:space="preserve"> </w:t>
      </w:r>
      <w:r w:rsidRPr="00A1481B">
        <w:rPr>
          <w:rFonts w:ascii="Times New Roman" w:hAnsi="Times New Roman"/>
          <w:bCs/>
          <w:sz w:val="24"/>
          <w:szCs w:val="24"/>
        </w:rPr>
        <w:t xml:space="preserve">Lietuvos Respublikos ūkio ministerijos ir </w:t>
      </w:r>
      <w:r w:rsidR="004D65EF">
        <w:rPr>
          <w:rFonts w:ascii="Times New Roman" w:hAnsi="Times New Roman"/>
          <w:sz w:val="24"/>
          <w:szCs w:val="24"/>
        </w:rPr>
        <w:t>u</w:t>
      </w:r>
      <w:r w:rsidR="00C60EF6" w:rsidRPr="00A1481B">
        <w:rPr>
          <w:rFonts w:ascii="Times New Roman" w:hAnsi="Times New Roman"/>
          <w:sz w:val="24"/>
          <w:szCs w:val="24"/>
        </w:rPr>
        <w:t>ždarosios akcinės bendrovės „INVESTICIJŲ IR VERSLO GARANTIJOS“ (toliau –</w:t>
      </w:r>
      <w:r w:rsidR="00384AC7">
        <w:rPr>
          <w:rFonts w:ascii="Times New Roman" w:hAnsi="Times New Roman"/>
          <w:sz w:val="24"/>
          <w:szCs w:val="24"/>
        </w:rPr>
        <w:t xml:space="preserve"> „Invega“</w:t>
      </w:r>
      <w:r w:rsidR="00C60EF6" w:rsidRPr="00A1481B">
        <w:rPr>
          <w:rFonts w:ascii="Times New Roman" w:hAnsi="Times New Roman"/>
          <w:sz w:val="24"/>
          <w:szCs w:val="24"/>
        </w:rPr>
        <w:t>)</w:t>
      </w:r>
      <w:r w:rsidR="00EC21E2">
        <w:rPr>
          <w:rFonts w:ascii="Times New Roman" w:hAnsi="Times New Roman"/>
          <w:sz w:val="24"/>
          <w:szCs w:val="24"/>
        </w:rPr>
        <w:t>,</w:t>
      </w:r>
      <w:r w:rsidR="00C60EF6" w:rsidRPr="00A1481B">
        <w:rPr>
          <w:rFonts w:ascii="Times New Roman" w:hAnsi="Times New Roman"/>
          <w:sz w:val="24"/>
          <w:szCs w:val="24"/>
        </w:rPr>
        <w:t xml:space="preserve"> lėšų.</w:t>
      </w:r>
      <w:r w:rsidRPr="00A1481B">
        <w:rPr>
          <w:rFonts w:ascii="Times New Roman" w:hAnsi="Times New Roman"/>
          <w:bCs/>
          <w:sz w:val="24"/>
          <w:szCs w:val="24"/>
        </w:rPr>
        <w:t xml:space="preserve"> Pagal šią sutartį INVEGOS fondo valdytoja </w:t>
      </w:r>
      <w:r w:rsidR="00C60EF6" w:rsidRPr="00A1481B">
        <w:rPr>
          <w:rFonts w:ascii="Times New Roman" w:hAnsi="Times New Roman"/>
          <w:bCs/>
          <w:sz w:val="24"/>
          <w:szCs w:val="24"/>
        </w:rPr>
        <w:t xml:space="preserve">paskirta </w:t>
      </w:r>
      <w:r w:rsidR="00384AC7">
        <w:rPr>
          <w:rFonts w:ascii="Times New Roman" w:hAnsi="Times New Roman"/>
          <w:sz w:val="24"/>
          <w:szCs w:val="24"/>
        </w:rPr>
        <w:t>„Invega“</w:t>
      </w:r>
      <w:r w:rsidR="00E13B4F" w:rsidRPr="00A1481B">
        <w:rPr>
          <w:rFonts w:ascii="Times New Roman" w:hAnsi="Times New Roman"/>
          <w:sz w:val="24"/>
          <w:szCs w:val="24"/>
        </w:rPr>
        <w:t>.</w:t>
      </w:r>
    </w:p>
    <w:p w14:paraId="09E63108" w14:textId="77777777" w:rsidR="004C6BBB" w:rsidRPr="00A1481B" w:rsidRDefault="004C6BBB"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rPr>
        <w:t>A</w:t>
      </w:r>
      <w:r w:rsidR="009F50BE" w:rsidRPr="00A1481B">
        <w:rPr>
          <w:rFonts w:ascii="Times New Roman" w:hAnsi="Times New Roman"/>
          <w:sz w:val="24"/>
          <w:szCs w:val="24"/>
        </w:rPr>
        <w:t>praš</w:t>
      </w:r>
      <w:r w:rsidR="00B83324" w:rsidRPr="00A1481B">
        <w:rPr>
          <w:rFonts w:ascii="Times New Roman" w:hAnsi="Times New Roman"/>
          <w:sz w:val="24"/>
          <w:szCs w:val="24"/>
        </w:rPr>
        <w:t xml:space="preserve">as </w:t>
      </w:r>
      <w:r w:rsidRPr="00A1481B">
        <w:rPr>
          <w:rFonts w:ascii="Times New Roman" w:hAnsi="Times New Roman"/>
          <w:sz w:val="24"/>
          <w:szCs w:val="24"/>
        </w:rPr>
        <w:t>suderint</w:t>
      </w:r>
      <w:r w:rsidR="00B83324" w:rsidRPr="00A1481B">
        <w:rPr>
          <w:rFonts w:ascii="Times New Roman" w:hAnsi="Times New Roman"/>
          <w:sz w:val="24"/>
          <w:szCs w:val="24"/>
        </w:rPr>
        <w:t>a</w:t>
      </w:r>
      <w:r w:rsidRPr="00A1481B">
        <w:rPr>
          <w:rFonts w:ascii="Times New Roman" w:hAnsi="Times New Roman"/>
          <w:sz w:val="24"/>
          <w:szCs w:val="24"/>
        </w:rPr>
        <w:t>s</w:t>
      </w:r>
      <w:r w:rsidR="00B55818" w:rsidRPr="00A1481B">
        <w:rPr>
          <w:rFonts w:ascii="Times New Roman" w:hAnsi="Times New Roman"/>
          <w:sz w:val="24"/>
          <w:szCs w:val="24"/>
        </w:rPr>
        <w:t xml:space="preserve"> INVEGOS fondo </w:t>
      </w:r>
      <w:r w:rsidRPr="00A1481B">
        <w:rPr>
          <w:rFonts w:ascii="Times New Roman" w:hAnsi="Times New Roman"/>
          <w:bCs/>
          <w:sz w:val="24"/>
          <w:szCs w:val="24"/>
        </w:rPr>
        <w:t>sutartyje numatyta tvarka</w:t>
      </w:r>
      <w:r w:rsidR="00BE0B29" w:rsidRPr="00A1481B">
        <w:rPr>
          <w:rFonts w:ascii="Times New Roman" w:hAnsi="Times New Roman"/>
          <w:bCs/>
          <w:sz w:val="24"/>
          <w:szCs w:val="24"/>
        </w:rPr>
        <w:t>.</w:t>
      </w:r>
    </w:p>
    <w:p w14:paraId="5EF3A897" w14:textId="6D43B20B" w:rsidR="00BC202C" w:rsidRPr="00A1481B" w:rsidRDefault="009F50BE"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bookmarkStart w:id="0" w:name="_Hlk35618058"/>
      <w:r w:rsidRPr="00A1481B">
        <w:rPr>
          <w:rFonts w:ascii="Times New Roman" w:hAnsi="Times New Roman"/>
          <w:bCs/>
          <w:sz w:val="24"/>
          <w:szCs w:val="24"/>
        </w:rPr>
        <w:t>Aprašas</w:t>
      </w:r>
      <w:r w:rsidR="00BC202C" w:rsidRPr="00A1481B">
        <w:rPr>
          <w:rFonts w:ascii="Times New Roman" w:hAnsi="Times New Roman"/>
          <w:bCs/>
          <w:sz w:val="24"/>
          <w:szCs w:val="24"/>
        </w:rPr>
        <w:t xml:space="preserve"> </w:t>
      </w:r>
      <w:r w:rsidR="00A03457" w:rsidRPr="00A1481B">
        <w:rPr>
          <w:rFonts w:ascii="Times New Roman" w:hAnsi="Times New Roman"/>
          <w:bCs/>
          <w:sz w:val="24"/>
          <w:szCs w:val="24"/>
        </w:rPr>
        <w:t xml:space="preserve">ir kvietimas teikti </w:t>
      </w:r>
      <w:r w:rsidR="00CF6019" w:rsidRPr="00A1481B">
        <w:rPr>
          <w:rFonts w:ascii="Times New Roman" w:hAnsi="Times New Roman"/>
          <w:bCs/>
          <w:sz w:val="24"/>
          <w:szCs w:val="24"/>
        </w:rPr>
        <w:t xml:space="preserve">prašymus </w:t>
      </w:r>
      <w:r w:rsidR="00BC202C" w:rsidRPr="00A1481B">
        <w:rPr>
          <w:rFonts w:ascii="Times New Roman" w:hAnsi="Times New Roman"/>
          <w:bCs/>
          <w:sz w:val="24"/>
          <w:szCs w:val="24"/>
        </w:rPr>
        <w:t>viešai skelbiam</w:t>
      </w:r>
      <w:r w:rsidRPr="00A1481B">
        <w:rPr>
          <w:rFonts w:ascii="Times New Roman" w:hAnsi="Times New Roman"/>
          <w:bCs/>
          <w:sz w:val="24"/>
          <w:szCs w:val="24"/>
        </w:rPr>
        <w:t>a</w:t>
      </w:r>
      <w:r w:rsidR="00BC202C" w:rsidRPr="00A1481B">
        <w:rPr>
          <w:rFonts w:ascii="Times New Roman" w:hAnsi="Times New Roman"/>
          <w:bCs/>
          <w:sz w:val="24"/>
          <w:szCs w:val="24"/>
        </w:rPr>
        <w:t>s</w:t>
      </w:r>
      <w:r w:rsidR="00EC21E2">
        <w:rPr>
          <w:rFonts w:ascii="Times New Roman" w:hAnsi="Times New Roman"/>
          <w:bCs/>
          <w:sz w:val="24"/>
          <w:szCs w:val="24"/>
        </w:rPr>
        <w:t xml:space="preserve"> </w:t>
      </w:r>
      <w:r w:rsidR="00307B9A">
        <w:rPr>
          <w:rFonts w:ascii="Times New Roman" w:hAnsi="Times New Roman"/>
          <w:bCs/>
          <w:sz w:val="24"/>
          <w:szCs w:val="24"/>
        </w:rPr>
        <w:t>„</w:t>
      </w:r>
      <w:r w:rsidR="00EC21E2">
        <w:rPr>
          <w:rFonts w:ascii="Times New Roman" w:hAnsi="Times New Roman"/>
          <w:bCs/>
          <w:sz w:val="24"/>
          <w:szCs w:val="24"/>
        </w:rPr>
        <w:t xml:space="preserve">Invegos“ interneto svetainėje </w:t>
      </w:r>
      <w:hyperlink r:id="rId11" w:history="1">
        <w:r w:rsidR="00BC202C" w:rsidRPr="00E9278C">
          <w:rPr>
            <w:rStyle w:val="Hyperlink"/>
            <w:rFonts w:ascii="Times New Roman" w:hAnsi="Times New Roman"/>
            <w:bCs/>
            <w:sz w:val="24"/>
            <w:szCs w:val="24"/>
          </w:rPr>
          <w:t>www.invega.lt</w:t>
        </w:r>
      </w:hyperlink>
      <w:r w:rsidR="00BC202C" w:rsidRPr="00A1481B">
        <w:rPr>
          <w:rFonts w:ascii="Times New Roman" w:hAnsi="Times New Roman"/>
          <w:bCs/>
          <w:sz w:val="24"/>
          <w:szCs w:val="24"/>
        </w:rPr>
        <w:t xml:space="preserve"> visą laikotarpį</w:t>
      </w:r>
      <w:r w:rsidR="00DB0115">
        <w:rPr>
          <w:rFonts w:ascii="Times New Roman" w:hAnsi="Times New Roman"/>
          <w:bCs/>
          <w:sz w:val="24"/>
          <w:szCs w:val="24"/>
        </w:rPr>
        <w:t>,</w:t>
      </w:r>
      <w:r w:rsidR="00B52574">
        <w:rPr>
          <w:rFonts w:ascii="Times New Roman" w:hAnsi="Times New Roman"/>
          <w:bCs/>
          <w:sz w:val="24"/>
          <w:szCs w:val="24"/>
        </w:rPr>
        <w:t xml:space="preserve"> </w:t>
      </w:r>
      <w:bookmarkStart w:id="1" w:name="_Hlk36718590"/>
      <w:r w:rsidR="0097068D" w:rsidRPr="00A1481B">
        <w:rPr>
          <w:rFonts w:ascii="Times New Roman" w:hAnsi="Times New Roman"/>
          <w:bCs/>
          <w:sz w:val="24"/>
          <w:szCs w:val="24"/>
        </w:rPr>
        <w:t xml:space="preserve">kol </w:t>
      </w:r>
      <w:r w:rsidR="00020919" w:rsidRPr="00A1481B">
        <w:rPr>
          <w:rFonts w:ascii="Times New Roman" w:hAnsi="Times New Roman"/>
          <w:bCs/>
          <w:sz w:val="24"/>
          <w:szCs w:val="24"/>
        </w:rPr>
        <w:t>reikalavimus</w:t>
      </w:r>
      <w:r w:rsidR="0088757A" w:rsidRPr="00A1481B">
        <w:rPr>
          <w:rFonts w:ascii="Times New Roman" w:hAnsi="Times New Roman"/>
          <w:bCs/>
          <w:sz w:val="24"/>
          <w:szCs w:val="24"/>
        </w:rPr>
        <w:t xml:space="preserve"> atitinkantiems </w:t>
      </w:r>
      <w:r w:rsidR="0078565A" w:rsidRPr="00A1481B">
        <w:rPr>
          <w:rFonts w:ascii="Times New Roman" w:hAnsi="Times New Roman"/>
          <w:bCs/>
          <w:sz w:val="24"/>
          <w:szCs w:val="24"/>
        </w:rPr>
        <w:t xml:space="preserve">FT </w:t>
      </w:r>
      <w:r w:rsidR="0088757A" w:rsidRPr="00A1481B">
        <w:rPr>
          <w:rFonts w:ascii="Times New Roman" w:hAnsi="Times New Roman"/>
          <w:bCs/>
          <w:sz w:val="24"/>
          <w:szCs w:val="24"/>
        </w:rPr>
        <w:t>paskir</w:t>
      </w:r>
      <w:r w:rsidR="00020919" w:rsidRPr="00A1481B">
        <w:rPr>
          <w:rFonts w:ascii="Times New Roman" w:hAnsi="Times New Roman"/>
          <w:bCs/>
          <w:sz w:val="24"/>
          <w:szCs w:val="24"/>
        </w:rPr>
        <w:t xml:space="preserve">stomos visos </w:t>
      </w:r>
      <w:r w:rsidR="0078565A" w:rsidRPr="00A1481B">
        <w:rPr>
          <w:rFonts w:ascii="Times New Roman" w:hAnsi="Times New Roman"/>
          <w:bCs/>
          <w:sz w:val="24"/>
          <w:szCs w:val="24"/>
        </w:rPr>
        <w:t>PGF2 priemon</w:t>
      </w:r>
      <w:r w:rsidR="00020919" w:rsidRPr="00A1481B">
        <w:rPr>
          <w:rFonts w:ascii="Times New Roman" w:hAnsi="Times New Roman"/>
          <w:bCs/>
          <w:sz w:val="24"/>
          <w:szCs w:val="24"/>
        </w:rPr>
        <w:t>ei skirtos lėšos</w:t>
      </w:r>
      <w:r w:rsidR="00BC202C" w:rsidRPr="00A1481B">
        <w:rPr>
          <w:rFonts w:ascii="Times New Roman" w:hAnsi="Times New Roman"/>
          <w:bCs/>
          <w:sz w:val="24"/>
          <w:szCs w:val="24"/>
        </w:rPr>
        <w:t>.</w:t>
      </w:r>
      <w:r w:rsidR="00AE48DC" w:rsidRPr="00A1481B">
        <w:rPr>
          <w:rFonts w:ascii="Times New Roman" w:hAnsi="Times New Roman"/>
          <w:bCs/>
          <w:sz w:val="24"/>
          <w:szCs w:val="24"/>
        </w:rPr>
        <w:t xml:space="preserve"> </w:t>
      </w:r>
      <w:bookmarkEnd w:id="1"/>
      <w:r w:rsidR="00B52574">
        <w:rPr>
          <w:rFonts w:ascii="Times New Roman" w:hAnsi="Times New Roman"/>
          <w:bCs/>
          <w:sz w:val="24"/>
          <w:szCs w:val="24"/>
        </w:rPr>
        <w:t xml:space="preserve">Kvietimas teikti prašymus vykdomas etapais, kaip nurodyta 3.1 </w:t>
      </w:r>
      <w:r w:rsidR="00662829">
        <w:rPr>
          <w:rFonts w:ascii="Times New Roman" w:hAnsi="Times New Roman"/>
          <w:bCs/>
          <w:sz w:val="24"/>
          <w:szCs w:val="24"/>
        </w:rPr>
        <w:t>pa</w:t>
      </w:r>
      <w:r w:rsidR="00B52574">
        <w:rPr>
          <w:rFonts w:ascii="Times New Roman" w:hAnsi="Times New Roman"/>
          <w:bCs/>
          <w:sz w:val="24"/>
          <w:szCs w:val="24"/>
        </w:rPr>
        <w:t>punkt</w:t>
      </w:r>
      <w:r w:rsidR="00662829">
        <w:rPr>
          <w:rFonts w:ascii="Times New Roman" w:hAnsi="Times New Roman"/>
          <w:bCs/>
          <w:sz w:val="24"/>
          <w:szCs w:val="24"/>
        </w:rPr>
        <w:t>yje</w:t>
      </w:r>
      <w:r w:rsidR="00B52574">
        <w:rPr>
          <w:rFonts w:ascii="Times New Roman" w:hAnsi="Times New Roman"/>
          <w:bCs/>
          <w:sz w:val="24"/>
          <w:szCs w:val="24"/>
        </w:rPr>
        <w:t>.</w:t>
      </w:r>
    </w:p>
    <w:p w14:paraId="44979AE5" w14:textId="77777777" w:rsidR="00BC202C" w:rsidRPr="00A1481B" w:rsidRDefault="00B626C8"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bCs/>
          <w:sz w:val="24"/>
          <w:szCs w:val="24"/>
        </w:rPr>
        <w:t>A</w:t>
      </w:r>
      <w:r w:rsidR="0039295F" w:rsidRPr="00A1481B">
        <w:rPr>
          <w:rFonts w:ascii="Times New Roman" w:hAnsi="Times New Roman"/>
          <w:bCs/>
          <w:sz w:val="24"/>
          <w:szCs w:val="24"/>
        </w:rPr>
        <w:t>praš</w:t>
      </w:r>
      <w:r w:rsidR="00B83324" w:rsidRPr="00A1481B">
        <w:rPr>
          <w:rFonts w:ascii="Times New Roman" w:hAnsi="Times New Roman"/>
          <w:bCs/>
          <w:sz w:val="24"/>
          <w:szCs w:val="24"/>
        </w:rPr>
        <w:t>a</w:t>
      </w:r>
      <w:r w:rsidR="00283CB0" w:rsidRPr="00A1481B">
        <w:rPr>
          <w:rFonts w:ascii="Times New Roman" w:hAnsi="Times New Roman"/>
          <w:bCs/>
          <w:sz w:val="24"/>
          <w:szCs w:val="24"/>
        </w:rPr>
        <w:t>s</w:t>
      </w:r>
      <w:r w:rsidR="005B1796">
        <w:rPr>
          <w:rFonts w:ascii="Times New Roman" w:hAnsi="Times New Roman"/>
          <w:bCs/>
          <w:sz w:val="24"/>
          <w:szCs w:val="24"/>
        </w:rPr>
        <w:t xml:space="preserve"> ir jo </w:t>
      </w:r>
      <w:r w:rsidR="00EC21E2">
        <w:rPr>
          <w:rFonts w:ascii="Times New Roman" w:hAnsi="Times New Roman"/>
          <w:bCs/>
          <w:sz w:val="24"/>
          <w:szCs w:val="24"/>
        </w:rPr>
        <w:t>priedai</w:t>
      </w:r>
      <w:r w:rsidRPr="00A1481B">
        <w:rPr>
          <w:rFonts w:ascii="Times New Roman" w:hAnsi="Times New Roman"/>
          <w:bCs/>
          <w:sz w:val="24"/>
          <w:szCs w:val="24"/>
        </w:rPr>
        <w:t xml:space="preserve"> gali būti paaiškinam</w:t>
      </w:r>
      <w:r w:rsidR="005B1796">
        <w:rPr>
          <w:rFonts w:ascii="Times New Roman" w:hAnsi="Times New Roman"/>
          <w:bCs/>
          <w:sz w:val="24"/>
          <w:szCs w:val="24"/>
        </w:rPr>
        <w:t>i</w:t>
      </w:r>
      <w:r w:rsidRPr="00A1481B">
        <w:rPr>
          <w:rFonts w:ascii="Times New Roman" w:hAnsi="Times New Roman"/>
          <w:bCs/>
          <w:sz w:val="24"/>
          <w:szCs w:val="24"/>
        </w:rPr>
        <w:t xml:space="preserve">, </w:t>
      </w:r>
      <w:r w:rsidR="004B0B94" w:rsidRPr="00A1481B">
        <w:rPr>
          <w:rFonts w:ascii="Times New Roman" w:hAnsi="Times New Roman"/>
          <w:bCs/>
          <w:sz w:val="24"/>
          <w:szCs w:val="24"/>
        </w:rPr>
        <w:t>FT</w:t>
      </w:r>
      <w:r w:rsidRPr="00A1481B">
        <w:rPr>
          <w:rFonts w:ascii="Times New Roman" w:hAnsi="Times New Roman"/>
          <w:bCs/>
          <w:sz w:val="24"/>
          <w:szCs w:val="24"/>
        </w:rPr>
        <w:t xml:space="preserve"> ar </w:t>
      </w:r>
      <w:r w:rsidR="00384AC7">
        <w:rPr>
          <w:rFonts w:ascii="Times New Roman" w:hAnsi="Times New Roman"/>
          <w:bCs/>
          <w:sz w:val="24"/>
          <w:szCs w:val="24"/>
        </w:rPr>
        <w:t>„Invegos“</w:t>
      </w:r>
      <w:r w:rsidR="00384AC7" w:rsidRPr="00A1481B">
        <w:rPr>
          <w:rFonts w:ascii="Times New Roman" w:hAnsi="Times New Roman"/>
          <w:bCs/>
          <w:sz w:val="24"/>
          <w:szCs w:val="24"/>
        </w:rPr>
        <w:t xml:space="preserve"> </w:t>
      </w:r>
      <w:r w:rsidRPr="00A1481B">
        <w:rPr>
          <w:rFonts w:ascii="Times New Roman" w:hAnsi="Times New Roman"/>
          <w:bCs/>
          <w:sz w:val="24"/>
          <w:szCs w:val="24"/>
        </w:rPr>
        <w:t>iniciatyva</w:t>
      </w:r>
      <w:r w:rsidR="00B83324" w:rsidRPr="00A1481B">
        <w:rPr>
          <w:rFonts w:ascii="Times New Roman" w:hAnsi="Times New Roman"/>
          <w:bCs/>
          <w:sz w:val="24"/>
          <w:szCs w:val="24"/>
        </w:rPr>
        <w:t xml:space="preserve">. </w:t>
      </w:r>
      <w:r w:rsidR="00BC202C" w:rsidRPr="00A1481B">
        <w:rPr>
          <w:rFonts w:ascii="Times New Roman" w:hAnsi="Times New Roman"/>
          <w:bCs/>
          <w:sz w:val="24"/>
          <w:szCs w:val="24"/>
        </w:rPr>
        <w:t>A</w:t>
      </w:r>
      <w:r w:rsidR="00B83324" w:rsidRPr="00A1481B">
        <w:rPr>
          <w:rFonts w:ascii="Times New Roman" w:hAnsi="Times New Roman"/>
          <w:bCs/>
          <w:sz w:val="24"/>
          <w:szCs w:val="24"/>
        </w:rPr>
        <w:t>prašo</w:t>
      </w:r>
      <w:r w:rsidR="00BC202C" w:rsidRPr="00A1481B">
        <w:rPr>
          <w:rFonts w:ascii="Times New Roman" w:hAnsi="Times New Roman"/>
          <w:bCs/>
          <w:sz w:val="24"/>
          <w:szCs w:val="24"/>
        </w:rPr>
        <w:t xml:space="preserve"> </w:t>
      </w:r>
      <w:bookmarkEnd w:id="0"/>
      <w:r w:rsidR="00050030" w:rsidRPr="00A1481B">
        <w:rPr>
          <w:rFonts w:ascii="Times New Roman" w:hAnsi="Times New Roman"/>
          <w:bCs/>
          <w:sz w:val="24"/>
          <w:szCs w:val="24"/>
        </w:rPr>
        <w:t xml:space="preserve">nuostatų </w:t>
      </w:r>
      <w:r w:rsidR="00BC202C" w:rsidRPr="00A1481B">
        <w:rPr>
          <w:rFonts w:ascii="Times New Roman" w:hAnsi="Times New Roman"/>
          <w:bCs/>
          <w:sz w:val="24"/>
          <w:szCs w:val="24"/>
        </w:rPr>
        <w:t xml:space="preserve">paaiškinimai skelbiami viešai interneto puslapyje </w:t>
      </w:r>
      <w:hyperlink r:id="rId12" w:history="1">
        <w:r w:rsidR="00BC202C" w:rsidRPr="00E9278C">
          <w:rPr>
            <w:rStyle w:val="Hyperlink"/>
            <w:rFonts w:ascii="Times New Roman" w:hAnsi="Times New Roman"/>
            <w:bCs/>
            <w:sz w:val="24"/>
            <w:szCs w:val="24"/>
          </w:rPr>
          <w:t>www.invega.lt</w:t>
        </w:r>
      </w:hyperlink>
      <w:r w:rsidR="00BC202C" w:rsidRPr="00A1481B">
        <w:rPr>
          <w:rFonts w:ascii="Times New Roman" w:hAnsi="Times New Roman"/>
          <w:bCs/>
          <w:sz w:val="24"/>
          <w:szCs w:val="24"/>
        </w:rPr>
        <w:t>.</w:t>
      </w:r>
    </w:p>
    <w:p w14:paraId="071E2E91" w14:textId="77777777" w:rsidR="00E51EF3" w:rsidRPr="00A1481B" w:rsidRDefault="00E25BF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bCs/>
          <w:sz w:val="24"/>
          <w:szCs w:val="24"/>
        </w:rPr>
        <w:t>S</w:t>
      </w:r>
      <w:r w:rsidR="00282632" w:rsidRPr="00A1481B">
        <w:rPr>
          <w:rFonts w:ascii="Times New Roman" w:hAnsi="Times New Roman"/>
          <w:bCs/>
          <w:sz w:val="24"/>
          <w:szCs w:val="24"/>
        </w:rPr>
        <w:t>iekiant</w:t>
      </w:r>
      <w:r w:rsidR="00E51EF3" w:rsidRPr="00A1481B">
        <w:rPr>
          <w:rFonts w:ascii="Times New Roman" w:hAnsi="Times New Roman"/>
          <w:bCs/>
          <w:sz w:val="24"/>
          <w:szCs w:val="24"/>
        </w:rPr>
        <w:t xml:space="preserve"> įvertinti visų s</w:t>
      </w:r>
      <w:r w:rsidR="00282632" w:rsidRPr="00A1481B">
        <w:rPr>
          <w:rFonts w:ascii="Times New Roman" w:hAnsi="Times New Roman"/>
          <w:bCs/>
          <w:sz w:val="24"/>
          <w:szCs w:val="24"/>
        </w:rPr>
        <w:t xml:space="preserve">uinteresuotų šalių </w:t>
      </w:r>
      <w:r w:rsidR="000B5C4C" w:rsidRPr="00A1481B">
        <w:rPr>
          <w:rFonts w:ascii="Times New Roman" w:hAnsi="Times New Roman"/>
          <w:bCs/>
          <w:sz w:val="24"/>
          <w:szCs w:val="24"/>
        </w:rPr>
        <w:t>pastabas</w:t>
      </w:r>
      <w:r w:rsidR="00BA5FF4" w:rsidRPr="00A1481B">
        <w:rPr>
          <w:rFonts w:ascii="Times New Roman" w:hAnsi="Times New Roman"/>
          <w:bCs/>
          <w:sz w:val="24"/>
          <w:szCs w:val="24"/>
        </w:rPr>
        <w:t xml:space="preserve"> ir </w:t>
      </w:r>
      <w:r w:rsidR="00676FE9" w:rsidRPr="00A1481B">
        <w:rPr>
          <w:rFonts w:ascii="Times New Roman" w:hAnsi="Times New Roman"/>
          <w:bCs/>
          <w:sz w:val="24"/>
          <w:szCs w:val="24"/>
        </w:rPr>
        <w:t>užtikrinti</w:t>
      </w:r>
      <w:r w:rsidR="00384AC7">
        <w:rPr>
          <w:rFonts w:ascii="Times New Roman" w:hAnsi="Times New Roman"/>
          <w:bCs/>
          <w:sz w:val="24"/>
          <w:szCs w:val="24"/>
        </w:rPr>
        <w:t>,</w:t>
      </w:r>
      <w:r w:rsidR="00BA5FF4" w:rsidRPr="00A1481B">
        <w:rPr>
          <w:rFonts w:ascii="Times New Roman" w:hAnsi="Times New Roman"/>
          <w:bCs/>
          <w:sz w:val="24"/>
          <w:szCs w:val="24"/>
        </w:rPr>
        <w:t xml:space="preserve"> </w:t>
      </w:r>
      <w:r w:rsidR="00CE450B" w:rsidRPr="00A1481B">
        <w:rPr>
          <w:rFonts w:ascii="Times New Roman" w:hAnsi="Times New Roman"/>
          <w:bCs/>
          <w:sz w:val="24"/>
          <w:szCs w:val="24"/>
        </w:rPr>
        <w:t xml:space="preserve">kad </w:t>
      </w:r>
      <w:r w:rsidR="000B1047" w:rsidRPr="00A1481B">
        <w:rPr>
          <w:rFonts w:ascii="Times New Roman" w:hAnsi="Times New Roman"/>
          <w:bCs/>
          <w:sz w:val="24"/>
          <w:szCs w:val="24"/>
        </w:rPr>
        <w:t xml:space="preserve">PGF2 priemonės sąlygos atitiktų </w:t>
      </w:r>
      <w:r w:rsidR="006D5ABA" w:rsidRPr="00A1481B">
        <w:rPr>
          <w:rFonts w:ascii="Times New Roman" w:hAnsi="Times New Roman"/>
          <w:bCs/>
          <w:sz w:val="24"/>
          <w:szCs w:val="24"/>
        </w:rPr>
        <w:t>rinkos poreikius</w:t>
      </w:r>
      <w:r w:rsidRPr="00A1481B">
        <w:rPr>
          <w:rFonts w:ascii="Times New Roman" w:hAnsi="Times New Roman"/>
          <w:bCs/>
          <w:sz w:val="24"/>
          <w:szCs w:val="24"/>
        </w:rPr>
        <w:t xml:space="preserve">, iki Aprašo </w:t>
      </w:r>
      <w:r w:rsidR="00307B9A">
        <w:rPr>
          <w:rFonts w:ascii="Times New Roman" w:hAnsi="Times New Roman"/>
          <w:bCs/>
          <w:sz w:val="24"/>
          <w:szCs w:val="24"/>
        </w:rPr>
        <w:t>suderinimo</w:t>
      </w:r>
      <w:r w:rsidR="00307B9A" w:rsidRPr="00A1481B">
        <w:rPr>
          <w:rFonts w:ascii="Times New Roman" w:hAnsi="Times New Roman"/>
          <w:bCs/>
          <w:sz w:val="24"/>
          <w:szCs w:val="24"/>
        </w:rPr>
        <w:t xml:space="preserve"> </w:t>
      </w:r>
      <w:r w:rsidRPr="00A1481B">
        <w:rPr>
          <w:rFonts w:ascii="Times New Roman" w:hAnsi="Times New Roman"/>
          <w:bCs/>
          <w:sz w:val="24"/>
          <w:szCs w:val="24"/>
        </w:rPr>
        <w:t xml:space="preserve">vykdytas viešas PGF2 priemonės </w:t>
      </w:r>
      <w:r w:rsidR="00CF6019" w:rsidRPr="00A1481B">
        <w:rPr>
          <w:rFonts w:ascii="Times New Roman" w:hAnsi="Times New Roman"/>
          <w:bCs/>
          <w:sz w:val="24"/>
          <w:szCs w:val="24"/>
        </w:rPr>
        <w:t>į</w:t>
      </w:r>
      <w:r w:rsidRPr="00A1481B">
        <w:rPr>
          <w:rFonts w:ascii="Times New Roman" w:hAnsi="Times New Roman"/>
          <w:bCs/>
          <w:sz w:val="24"/>
          <w:szCs w:val="24"/>
        </w:rPr>
        <w:t>gyvendinimo sąlygų aptarimas.</w:t>
      </w:r>
    </w:p>
    <w:p w14:paraId="2BED2F51" w14:textId="77777777" w:rsidR="003B52F2" w:rsidRPr="003F6337" w:rsidRDefault="003B52F2" w:rsidP="0041074D">
      <w:pPr>
        <w:autoSpaceDE w:val="0"/>
        <w:autoSpaceDN w:val="0"/>
        <w:adjustRightInd w:val="0"/>
        <w:spacing w:after="0" w:line="240" w:lineRule="auto"/>
        <w:ind w:left="1070"/>
        <w:jc w:val="both"/>
        <w:rPr>
          <w:rFonts w:ascii="Times New Roman" w:hAnsi="Times New Roman"/>
          <w:sz w:val="24"/>
        </w:rPr>
      </w:pPr>
    </w:p>
    <w:p w14:paraId="453D0A92" w14:textId="77777777" w:rsidR="00162B14" w:rsidRPr="00CE73C9" w:rsidRDefault="00FF1989"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7B6AD5">
        <w:rPr>
          <w:rFonts w:ascii="Times New Roman" w:hAnsi="Times New Roman"/>
          <w:b/>
          <w:bCs/>
          <w:sz w:val="24"/>
          <w:szCs w:val="24"/>
        </w:rPr>
        <w:t>PGF2</w:t>
      </w:r>
      <w:r w:rsidR="007B3788" w:rsidRPr="007B6AD5">
        <w:rPr>
          <w:rFonts w:ascii="Times New Roman" w:hAnsi="Times New Roman"/>
          <w:b/>
          <w:bCs/>
          <w:sz w:val="24"/>
          <w:szCs w:val="24"/>
        </w:rPr>
        <w:t xml:space="preserve"> PRIEMONĖS</w:t>
      </w:r>
      <w:r w:rsidRPr="007B6AD5">
        <w:rPr>
          <w:rFonts w:ascii="Times New Roman" w:hAnsi="Times New Roman"/>
          <w:b/>
          <w:bCs/>
          <w:sz w:val="24"/>
          <w:szCs w:val="24"/>
        </w:rPr>
        <w:t xml:space="preserve"> ĮGYVENDINIMO </w:t>
      </w:r>
      <w:r w:rsidR="00CD3959" w:rsidRPr="007B6AD5">
        <w:rPr>
          <w:rFonts w:ascii="Times New Roman" w:hAnsi="Times New Roman"/>
          <w:b/>
          <w:bCs/>
          <w:sz w:val="24"/>
          <w:szCs w:val="24"/>
        </w:rPr>
        <w:t>SUTARTIES</w:t>
      </w:r>
      <w:r w:rsidR="00CD3959" w:rsidRPr="00CE73C9">
        <w:rPr>
          <w:rFonts w:ascii="Times New Roman" w:hAnsi="Times New Roman"/>
          <w:b/>
          <w:bCs/>
          <w:sz w:val="24"/>
          <w:szCs w:val="24"/>
        </w:rPr>
        <w:t xml:space="preserve"> </w:t>
      </w:r>
      <w:r w:rsidR="00162B14" w:rsidRPr="00CE73C9">
        <w:rPr>
          <w:rFonts w:ascii="Times New Roman" w:hAnsi="Times New Roman"/>
          <w:b/>
          <w:bCs/>
          <w:sz w:val="24"/>
          <w:szCs w:val="24"/>
        </w:rPr>
        <w:t>OBJEKTAS</w:t>
      </w:r>
    </w:p>
    <w:p w14:paraId="51CB5C34" w14:textId="77777777" w:rsidR="00A421A2" w:rsidRPr="007A6B46" w:rsidRDefault="00A421A2" w:rsidP="006C3DD1">
      <w:pPr>
        <w:tabs>
          <w:tab w:val="left" w:pos="709"/>
        </w:tabs>
        <w:autoSpaceDE w:val="0"/>
        <w:autoSpaceDN w:val="0"/>
        <w:adjustRightInd w:val="0"/>
        <w:spacing w:after="0" w:line="240" w:lineRule="auto"/>
        <w:ind w:left="-142" w:firstLine="568"/>
        <w:jc w:val="center"/>
        <w:rPr>
          <w:rFonts w:ascii="Times New Roman" w:hAnsi="Times New Roman"/>
          <w:b/>
          <w:bCs/>
          <w:sz w:val="24"/>
          <w:szCs w:val="24"/>
        </w:rPr>
      </w:pPr>
    </w:p>
    <w:p w14:paraId="019D1694" w14:textId="77777777" w:rsidR="003929B4" w:rsidRPr="00A1481B" w:rsidRDefault="008F7F79"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Sudaromos sutarties su kiekvienu </w:t>
      </w:r>
      <w:r w:rsidR="00FE6E82" w:rsidRPr="00A1481B">
        <w:rPr>
          <w:rFonts w:ascii="Times New Roman" w:hAnsi="Times New Roman"/>
          <w:sz w:val="24"/>
          <w:szCs w:val="24"/>
        </w:rPr>
        <w:t>FT</w:t>
      </w:r>
      <w:r w:rsidRPr="00A1481B">
        <w:rPr>
          <w:rFonts w:ascii="Times New Roman" w:hAnsi="Times New Roman"/>
          <w:sz w:val="24"/>
          <w:szCs w:val="24"/>
        </w:rPr>
        <w:t xml:space="preserve"> </w:t>
      </w:r>
      <w:r w:rsidR="00C519CB" w:rsidRPr="00A1481B">
        <w:rPr>
          <w:rFonts w:ascii="Times New Roman" w:hAnsi="Times New Roman"/>
          <w:sz w:val="24"/>
          <w:szCs w:val="24"/>
        </w:rPr>
        <w:t xml:space="preserve">objektas – </w:t>
      </w:r>
      <w:r w:rsidR="003F6337" w:rsidRPr="00A1481B">
        <w:rPr>
          <w:rFonts w:ascii="Times New Roman" w:hAnsi="Times New Roman"/>
          <w:sz w:val="24"/>
          <w:szCs w:val="24"/>
        </w:rPr>
        <w:t>PGF2</w:t>
      </w:r>
      <w:r w:rsidR="00C519CB" w:rsidRPr="00A1481B">
        <w:rPr>
          <w:rFonts w:ascii="Times New Roman" w:hAnsi="Times New Roman"/>
          <w:sz w:val="24"/>
          <w:szCs w:val="24"/>
        </w:rPr>
        <w:t xml:space="preserve"> priemonės</w:t>
      </w:r>
      <w:r w:rsidR="00041F85" w:rsidRPr="00A1481B">
        <w:rPr>
          <w:rFonts w:ascii="Times New Roman" w:hAnsi="Times New Roman"/>
          <w:sz w:val="24"/>
          <w:szCs w:val="24"/>
        </w:rPr>
        <w:t xml:space="preserve"> įgyvendinimas </w:t>
      </w:r>
      <w:r w:rsidR="00B626C8" w:rsidRPr="00A1481B">
        <w:rPr>
          <w:rFonts w:ascii="Times New Roman" w:hAnsi="Times New Roman"/>
          <w:sz w:val="24"/>
          <w:szCs w:val="24"/>
        </w:rPr>
        <w:t>pagal</w:t>
      </w:r>
      <w:r w:rsidR="00734DDD" w:rsidRPr="00A1481B">
        <w:rPr>
          <w:rFonts w:ascii="Times New Roman" w:hAnsi="Times New Roman"/>
          <w:sz w:val="24"/>
          <w:szCs w:val="24"/>
        </w:rPr>
        <w:t xml:space="preserve"> šiame Apraše ir sudarytoje </w:t>
      </w:r>
      <w:r w:rsidR="00C0050B" w:rsidRPr="00A1481B">
        <w:rPr>
          <w:rFonts w:ascii="Times New Roman" w:hAnsi="Times New Roman"/>
          <w:sz w:val="24"/>
          <w:szCs w:val="24"/>
        </w:rPr>
        <w:t xml:space="preserve">PGF2 priemonės įgyvendinimo </w:t>
      </w:r>
      <w:r w:rsidR="00734DDD" w:rsidRPr="00A1481B">
        <w:rPr>
          <w:rFonts w:ascii="Times New Roman" w:hAnsi="Times New Roman"/>
          <w:sz w:val="24"/>
          <w:szCs w:val="24"/>
        </w:rPr>
        <w:t>sutartyje</w:t>
      </w:r>
      <w:r w:rsidR="007B6AD5" w:rsidRPr="00A1481B">
        <w:rPr>
          <w:rFonts w:ascii="Times New Roman" w:hAnsi="Times New Roman"/>
          <w:sz w:val="24"/>
          <w:szCs w:val="24"/>
        </w:rPr>
        <w:t xml:space="preserve"> (</w:t>
      </w:r>
      <w:r w:rsidR="004D65EF" w:rsidRPr="00A1481B">
        <w:rPr>
          <w:rFonts w:ascii="Times New Roman" w:hAnsi="Times New Roman"/>
          <w:sz w:val="24"/>
          <w:szCs w:val="24"/>
        </w:rPr>
        <w:t>toliau</w:t>
      </w:r>
      <w:r w:rsidR="004D65EF">
        <w:rPr>
          <w:rFonts w:ascii="Times New Roman" w:hAnsi="Times New Roman"/>
          <w:sz w:val="24"/>
          <w:szCs w:val="24"/>
        </w:rPr>
        <w:t> </w:t>
      </w:r>
      <w:r w:rsidR="007B6AD5" w:rsidRPr="00A1481B">
        <w:rPr>
          <w:rFonts w:ascii="Times New Roman" w:hAnsi="Times New Roman"/>
          <w:sz w:val="24"/>
          <w:szCs w:val="24"/>
        </w:rPr>
        <w:t>– Sutartis)</w:t>
      </w:r>
      <w:r w:rsidR="00734DDD" w:rsidRPr="00A1481B">
        <w:rPr>
          <w:rFonts w:ascii="Times New Roman" w:hAnsi="Times New Roman"/>
          <w:sz w:val="24"/>
          <w:szCs w:val="24"/>
        </w:rPr>
        <w:t xml:space="preserve"> </w:t>
      </w:r>
      <w:r w:rsidR="00B626C8" w:rsidRPr="00A1481B">
        <w:rPr>
          <w:rFonts w:ascii="Times New Roman" w:hAnsi="Times New Roman"/>
          <w:sz w:val="24"/>
          <w:szCs w:val="24"/>
        </w:rPr>
        <w:t xml:space="preserve">nustatytas </w:t>
      </w:r>
      <w:r w:rsidR="00734DDD" w:rsidRPr="00A1481B">
        <w:rPr>
          <w:rFonts w:ascii="Times New Roman" w:hAnsi="Times New Roman"/>
          <w:sz w:val="24"/>
          <w:szCs w:val="24"/>
        </w:rPr>
        <w:t>sąlyg</w:t>
      </w:r>
      <w:r w:rsidR="00B626C8" w:rsidRPr="00A1481B">
        <w:rPr>
          <w:rFonts w:ascii="Times New Roman" w:hAnsi="Times New Roman"/>
          <w:sz w:val="24"/>
          <w:szCs w:val="24"/>
        </w:rPr>
        <w:t>as</w:t>
      </w:r>
      <w:r w:rsidR="00C519CB" w:rsidRPr="00A1481B">
        <w:rPr>
          <w:rFonts w:ascii="Times New Roman" w:hAnsi="Times New Roman"/>
          <w:sz w:val="24"/>
          <w:szCs w:val="24"/>
        </w:rPr>
        <w:t>.</w:t>
      </w:r>
      <w:r w:rsidR="00041F85" w:rsidRPr="00A1481B">
        <w:rPr>
          <w:rFonts w:ascii="Times New Roman" w:hAnsi="Times New Roman"/>
          <w:sz w:val="24"/>
          <w:szCs w:val="24"/>
        </w:rPr>
        <w:t xml:space="preserve"> </w:t>
      </w:r>
    </w:p>
    <w:p w14:paraId="0277DD86" w14:textId="77777777" w:rsidR="00C519CB" w:rsidRPr="00A1481B" w:rsidRDefault="00C519CB"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Už </w:t>
      </w:r>
      <w:r w:rsidR="003F6337" w:rsidRPr="00A1481B">
        <w:rPr>
          <w:rFonts w:ascii="Times New Roman" w:hAnsi="Times New Roman"/>
          <w:sz w:val="24"/>
          <w:szCs w:val="24"/>
        </w:rPr>
        <w:t>PGF2</w:t>
      </w:r>
      <w:r w:rsidRPr="00A1481B">
        <w:rPr>
          <w:rFonts w:ascii="Times New Roman" w:hAnsi="Times New Roman"/>
          <w:sz w:val="24"/>
          <w:szCs w:val="24"/>
        </w:rPr>
        <w:t xml:space="preserve"> priemonės</w:t>
      </w:r>
      <w:r w:rsidR="00C97F48">
        <w:rPr>
          <w:rFonts w:ascii="Times New Roman" w:hAnsi="Times New Roman"/>
          <w:sz w:val="24"/>
          <w:szCs w:val="24"/>
        </w:rPr>
        <w:t xml:space="preserve"> įgyvendinimą</w:t>
      </w:r>
      <w:r w:rsidRPr="00A1481B">
        <w:rPr>
          <w:rFonts w:ascii="Times New Roman" w:hAnsi="Times New Roman"/>
          <w:sz w:val="24"/>
          <w:szCs w:val="24"/>
        </w:rPr>
        <w:t xml:space="preserve"> </w:t>
      </w:r>
      <w:r w:rsidR="00FE6E82" w:rsidRPr="00A1481B">
        <w:rPr>
          <w:rFonts w:ascii="Times New Roman" w:hAnsi="Times New Roman"/>
          <w:sz w:val="24"/>
          <w:szCs w:val="24"/>
        </w:rPr>
        <w:t>FT</w:t>
      </w:r>
      <w:r w:rsidRPr="00A1481B">
        <w:rPr>
          <w:rFonts w:ascii="Times New Roman" w:hAnsi="Times New Roman"/>
          <w:sz w:val="24"/>
          <w:szCs w:val="24"/>
        </w:rPr>
        <w:t xml:space="preserve"> nėra mokamas valdymo mokestis.</w:t>
      </w:r>
    </w:p>
    <w:p w14:paraId="4B7A022C" w14:textId="77777777" w:rsidR="00053F2D" w:rsidRPr="00A1481B" w:rsidRDefault="006F035E"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i/>
          <w:sz w:val="24"/>
        </w:rPr>
      </w:pPr>
      <w:r w:rsidRPr="00A1481B">
        <w:rPr>
          <w:rFonts w:ascii="Times New Roman" w:hAnsi="Times New Roman"/>
          <w:sz w:val="24"/>
          <w:szCs w:val="24"/>
        </w:rPr>
        <w:t>PGF2 priemonės veikimo</w:t>
      </w:r>
      <w:r w:rsidR="009416AA" w:rsidRPr="00A1481B">
        <w:rPr>
          <w:rFonts w:ascii="Times New Roman" w:hAnsi="Times New Roman"/>
          <w:sz w:val="24"/>
          <w:szCs w:val="24"/>
        </w:rPr>
        <w:t xml:space="preserve"> aprašymas</w:t>
      </w:r>
      <w:r w:rsidR="004308ED" w:rsidRPr="00E47A9F">
        <w:rPr>
          <w:rStyle w:val="FootnoteReference"/>
          <w:rFonts w:ascii="Times New Roman" w:hAnsi="Times New Roman"/>
          <w:sz w:val="24"/>
        </w:rPr>
        <w:footnoteReference w:id="2"/>
      </w:r>
      <w:r w:rsidR="00E47A9F" w:rsidRPr="00A1481B">
        <w:rPr>
          <w:rFonts w:ascii="Times New Roman" w:hAnsi="Times New Roman"/>
          <w:sz w:val="24"/>
          <w:szCs w:val="24"/>
        </w:rPr>
        <w:t>:</w:t>
      </w:r>
    </w:p>
    <w:p w14:paraId="22B22292" w14:textId="77777777" w:rsidR="002E4CFB" w:rsidRPr="00A1481B" w:rsidRDefault="00E018EF" w:rsidP="00035106">
      <w:pPr>
        <w:pStyle w:val="ListParagraph"/>
        <w:numPr>
          <w:ilvl w:val="2"/>
          <w:numId w:val="3"/>
        </w:numPr>
        <w:tabs>
          <w:tab w:val="left" w:pos="993"/>
        </w:tabs>
        <w:autoSpaceDE w:val="0"/>
        <w:autoSpaceDN w:val="0"/>
        <w:adjustRightInd w:val="0"/>
        <w:spacing w:after="0" w:line="240" w:lineRule="auto"/>
        <w:ind w:left="0" w:firstLine="426"/>
        <w:jc w:val="both"/>
        <w:rPr>
          <w:rFonts w:ascii="Times New Roman" w:hAnsi="Times New Roman"/>
          <w:bCs/>
          <w:sz w:val="24"/>
          <w:szCs w:val="24"/>
        </w:rPr>
      </w:pPr>
      <w:r w:rsidRPr="00A1481B">
        <w:rPr>
          <w:rFonts w:ascii="Times New Roman" w:hAnsi="Times New Roman"/>
          <w:bCs/>
          <w:sz w:val="24"/>
          <w:szCs w:val="24"/>
        </w:rPr>
        <w:t xml:space="preserve">Kiekvieno </w:t>
      </w:r>
      <w:r w:rsidR="00FE6E82" w:rsidRPr="00A1481B">
        <w:rPr>
          <w:rFonts w:ascii="Times New Roman" w:hAnsi="Times New Roman"/>
          <w:bCs/>
          <w:sz w:val="24"/>
          <w:szCs w:val="24"/>
        </w:rPr>
        <w:t>FT</w:t>
      </w:r>
      <w:r w:rsidR="001B5366" w:rsidRPr="00A1481B">
        <w:rPr>
          <w:rFonts w:ascii="Times New Roman" w:hAnsi="Times New Roman"/>
          <w:bCs/>
          <w:sz w:val="24"/>
          <w:szCs w:val="24"/>
        </w:rPr>
        <w:t>, su kuriuo pasirašyta Sutartis,</w:t>
      </w:r>
      <w:r w:rsidR="002E4CFB" w:rsidRPr="00A1481B">
        <w:rPr>
          <w:rFonts w:ascii="Times New Roman" w:hAnsi="Times New Roman"/>
          <w:bCs/>
          <w:sz w:val="24"/>
          <w:szCs w:val="24"/>
        </w:rPr>
        <w:t xml:space="preserve"> naujai suformuotam </w:t>
      </w:r>
      <w:r w:rsidR="00063843" w:rsidRPr="00A1481B">
        <w:rPr>
          <w:rFonts w:ascii="Times New Roman" w:hAnsi="Times New Roman"/>
          <w:bCs/>
          <w:sz w:val="24"/>
          <w:szCs w:val="24"/>
        </w:rPr>
        <w:t>F</w:t>
      </w:r>
      <w:r w:rsidR="002E4CFB" w:rsidRPr="00A1481B">
        <w:rPr>
          <w:rFonts w:ascii="Times New Roman" w:hAnsi="Times New Roman"/>
          <w:bCs/>
          <w:sz w:val="24"/>
          <w:szCs w:val="24"/>
        </w:rPr>
        <w:t xml:space="preserve">aktoringo sandorių, atitinkančių </w:t>
      </w:r>
      <w:r w:rsidR="003F6337" w:rsidRPr="00A1481B">
        <w:rPr>
          <w:rFonts w:ascii="Times New Roman" w:hAnsi="Times New Roman"/>
          <w:bCs/>
          <w:sz w:val="24"/>
          <w:szCs w:val="24"/>
        </w:rPr>
        <w:t>PGF2</w:t>
      </w:r>
      <w:r w:rsidR="002E4CFB" w:rsidRPr="00A1481B">
        <w:rPr>
          <w:rFonts w:ascii="Times New Roman" w:hAnsi="Times New Roman"/>
          <w:bCs/>
          <w:sz w:val="24"/>
          <w:szCs w:val="24"/>
        </w:rPr>
        <w:t xml:space="preserve"> priemonės Tinkamumo sąlygas, Portfeliui suteikiama portfelinė garantija (</w:t>
      </w:r>
      <w:r w:rsidR="00F81523" w:rsidRPr="00A1481B">
        <w:rPr>
          <w:rFonts w:ascii="Times New Roman" w:hAnsi="Times New Roman"/>
          <w:bCs/>
          <w:sz w:val="24"/>
          <w:szCs w:val="24"/>
        </w:rPr>
        <w:t>toliau </w:t>
      </w:r>
      <w:r w:rsidR="002E4CFB" w:rsidRPr="00A1481B">
        <w:rPr>
          <w:rFonts w:ascii="Times New Roman" w:hAnsi="Times New Roman"/>
          <w:bCs/>
          <w:sz w:val="24"/>
          <w:szCs w:val="24"/>
        </w:rPr>
        <w:t xml:space="preserve">– Garantija), kuri mažina finansavimo riziką. Faktoringo sandoriai, kurie traukiami į Portfelį, turi būti finansuojami iš </w:t>
      </w:r>
      <w:r w:rsidR="00FE6E82" w:rsidRPr="00A1481B">
        <w:rPr>
          <w:rFonts w:ascii="Times New Roman" w:hAnsi="Times New Roman"/>
          <w:bCs/>
          <w:sz w:val="24"/>
          <w:szCs w:val="24"/>
        </w:rPr>
        <w:t>FT</w:t>
      </w:r>
      <w:r w:rsidR="002E4CFB" w:rsidRPr="00A1481B">
        <w:rPr>
          <w:rFonts w:ascii="Times New Roman" w:hAnsi="Times New Roman"/>
          <w:bCs/>
          <w:sz w:val="24"/>
          <w:szCs w:val="24"/>
        </w:rPr>
        <w:t xml:space="preserve"> lėšų.</w:t>
      </w:r>
      <w:r w:rsidR="0041074D" w:rsidRPr="00A1481B">
        <w:rPr>
          <w:rFonts w:ascii="Times New Roman" w:hAnsi="Times New Roman"/>
          <w:bCs/>
          <w:sz w:val="24"/>
          <w:szCs w:val="24"/>
        </w:rPr>
        <w:t xml:space="preserve"> </w:t>
      </w:r>
    </w:p>
    <w:p w14:paraId="26E4F855" w14:textId="04BDD65C" w:rsidR="002E4CFB" w:rsidRPr="00A1481B" w:rsidRDefault="003F6337" w:rsidP="00035106">
      <w:pPr>
        <w:pStyle w:val="ListParagraph"/>
        <w:numPr>
          <w:ilvl w:val="2"/>
          <w:numId w:val="3"/>
        </w:numPr>
        <w:tabs>
          <w:tab w:val="left" w:pos="993"/>
        </w:tabs>
        <w:autoSpaceDE w:val="0"/>
        <w:autoSpaceDN w:val="0"/>
        <w:adjustRightInd w:val="0"/>
        <w:spacing w:after="0" w:line="240" w:lineRule="auto"/>
        <w:ind w:left="0" w:firstLine="426"/>
        <w:jc w:val="both"/>
        <w:rPr>
          <w:rFonts w:ascii="Times New Roman" w:hAnsi="Times New Roman"/>
          <w:bCs/>
          <w:sz w:val="24"/>
          <w:szCs w:val="24"/>
        </w:rPr>
      </w:pPr>
      <w:r w:rsidRPr="00A1481B">
        <w:rPr>
          <w:rFonts w:ascii="Times New Roman" w:hAnsi="Times New Roman"/>
          <w:bCs/>
          <w:sz w:val="24"/>
          <w:szCs w:val="24"/>
        </w:rPr>
        <w:t>PGF2</w:t>
      </w:r>
      <w:r w:rsidR="002E4CFB" w:rsidRPr="00A1481B">
        <w:rPr>
          <w:rFonts w:ascii="Times New Roman" w:hAnsi="Times New Roman"/>
          <w:bCs/>
          <w:sz w:val="24"/>
          <w:szCs w:val="24"/>
        </w:rPr>
        <w:t xml:space="preserve"> priemonės Tinkamumo sąlygas atitinkantys ir į Portfelį įtraukti Faktoringo sandoriai yra garantuojami 80 proc., išmokos atliekamos pagal pirmiausiai atsiradusius Probleminius Faktoringo sandorius. Bendra išmokų suma, </w:t>
      </w:r>
      <w:r w:rsidR="00662829">
        <w:rPr>
          <w:rFonts w:ascii="Times New Roman" w:hAnsi="Times New Roman"/>
          <w:bCs/>
          <w:sz w:val="24"/>
          <w:szCs w:val="24"/>
        </w:rPr>
        <w:t>„Invegos“</w:t>
      </w:r>
      <w:r w:rsidR="002E4CFB" w:rsidRPr="00A1481B">
        <w:rPr>
          <w:rFonts w:ascii="Times New Roman" w:hAnsi="Times New Roman"/>
          <w:bCs/>
          <w:sz w:val="24"/>
          <w:szCs w:val="24"/>
        </w:rPr>
        <w:t xml:space="preserve"> mokama </w:t>
      </w:r>
      <w:r w:rsidR="00FE6E82" w:rsidRPr="00A1481B">
        <w:rPr>
          <w:rFonts w:ascii="Times New Roman" w:hAnsi="Times New Roman"/>
          <w:bCs/>
          <w:sz w:val="24"/>
          <w:szCs w:val="24"/>
        </w:rPr>
        <w:t>FT</w:t>
      </w:r>
      <w:r w:rsidR="002E4CFB" w:rsidRPr="00A1481B">
        <w:rPr>
          <w:rFonts w:ascii="Times New Roman" w:hAnsi="Times New Roman"/>
          <w:bCs/>
          <w:sz w:val="24"/>
          <w:szCs w:val="24"/>
        </w:rPr>
        <w:t xml:space="preserve">, bus ne didesnė nei apskaičiuota išmokų suma, kuri skaičiuojama kaip sukontraktuotų ir į Portfelį įtrauktų Faktoringo sandorių išmokėtų Faktoringo avansų </w:t>
      </w:r>
      <w:r w:rsidR="00233A82">
        <w:rPr>
          <w:rFonts w:ascii="Times New Roman" w:hAnsi="Times New Roman"/>
          <w:bCs/>
          <w:sz w:val="24"/>
          <w:szCs w:val="24"/>
        </w:rPr>
        <w:t xml:space="preserve">labai mažoms, mažoms ir vidutinėms įmonėms (toliau – </w:t>
      </w:r>
      <w:r w:rsidR="002E4CFB" w:rsidRPr="00A1481B">
        <w:rPr>
          <w:rFonts w:ascii="Times New Roman" w:hAnsi="Times New Roman"/>
          <w:bCs/>
          <w:sz w:val="24"/>
          <w:szCs w:val="24"/>
        </w:rPr>
        <w:t>MVĮ</w:t>
      </w:r>
      <w:r w:rsidR="00233A82">
        <w:rPr>
          <w:rFonts w:ascii="Times New Roman" w:hAnsi="Times New Roman"/>
          <w:bCs/>
          <w:sz w:val="24"/>
          <w:szCs w:val="24"/>
        </w:rPr>
        <w:t>)</w:t>
      </w:r>
      <w:r w:rsidR="002E4CFB" w:rsidRPr="00A1481B">
        <w:rPr>
          <w:rFonts w:ascii="Times New Roman" w:hAnsi="Times New Roman"/>
          <w:bCs/>
          <w:sz w:val="24"/>
          <w:szCs w:val="24"/>
        </w:rPr>
        <w:t xml:space="preserve"> suma, neviršijanti Faktoringo limito, padauginta iš garantijos dydžio (80 proc.) ir iš Viršutinės ribos normos (20 proc.). Įgyvendinant </w:t>
      </w:r>
      <w:r w:rsidRPr="00A1481B">
        <w:rPr>
          <w:rFonts w:ascii="Times New Roman" w:hAnsi="Times New Roman"/>
          <w:bCs/>
          <w:sz w:val="24"/>
          <w:szCs w:val="24"/>
        </w:rPr>
        <w:t>PGF2</w:t>
      </w:r>
      <w:r w:rsidR="002E4CFB" w:rsidRPr="00A1481B">
        <w:rPr>
          <w:rFonts w:ascii="Times New Roman" w:hAnsi="Times New Roman"/>
          <w:bCs/>
          <w:sz w:val="24"/>
          <w:szCs w:val="24"/>
        </w:rPr>
        <w:t xml:space="preserve"> priemonę, garantuojami Nuostoliai (negrąžinta Faktoringo avansų dalis), kuriuos patiria </w:t>
      </w:r>
      <w:r w:rsidR="00FE6E82" w:rsidRPr="00A1481B">
        <w:rPr>
          <w:rFonts w:ascii="Times New Roman" w:hAnsi="Times New Roman"/>
          <w:bCs/>
          <w:sz w:val="24"/>
          <w:szCs w:val="24"/>
        </w:rPr>
        <w:t>FT</w:t>
      </w:r>
      <w:r w:rsidR="002E4CFB" w:rsidRPr="00A1481B">
        <w:rPr>
          <w:rFonts w:ascii="Times New Roman" w:hAnsi="Times New Roman"/>
          <w:bCs/>
          <w:sz w:val="24"/>
          <w:szCs w:val="24"/>
        </w:rPr>
        <w:t xml:space="preserve">, pagal kiekvieną Probleminį Faktoringo </w:t>
      </w:r>
      <w:r w:rsidR="002E4CFB" w:rsidRPr="00A1481B">
        <w:rPr>
          <w:rFonts w:ascii="Times New Roman" w:hAnsi="Times New Roman"/>
          <w:bCs/>
          <w:sz w:val="24"/>
          <w:szCs w:val="24"/>
        </w:rPr>
        <w:lastRenderedPageBreak/>
        <w:t xml:space="preserve">sandorį iki didžiausios nustatytos Sutartimi išmokų sumos. </w:t>
      </w:r>
      <w:r w:rsidR="00FE6E82" w:rsidRPr="00A1481B">
        <w:rPr>
          <w:rFonts w:ascii="Times New Roman" w:hAnsi="Times New Roman"/>
          <w:bCs/>
          <w:sz w:val="24"/>
          <w:szCs w:val="24"/>
        </w:rPr>
        <w:t>FT</w:t>
      </w:r>
      <w:r w:rsidR="002E4CFB" w:rsidRPr="00A1481B">
        <w:rPr>
          <w:rFonts w:ascii="Times New Roman" w:hAnsi="Times New Roman"/>
          <w:bCs/>
          <w:sz w:val="24"/>
          <w:szCs w:val="24"/>
        </w:rPr>
        <w:t xml:space="preserve"> prisiima ne mažesnį nei 20 proc. suformuoto Portfelio nuostolingumą.</w:t>
      </w:r>
    </w:p>
    <w:p w14:paraId="39179EAF" w14:textId="77777777" w:rsidR="008E6007" w:rsidRPr="00A1481B" w:rsidRDefault="00A95EC7" w:rsidP="00035106">
      <w:pPr>
        <w:pStyle w:val="ListParagraph"/>
        <w:numPr>
          <w:ilvl w:val="2"/>
          <w:numId w:val="3"/>
        </w:numPr>
        <w:autoSpaceDE w:val="0"/>
        <w:autoSpaceDN w:val="0"/>
        <w:adjustRightInd w:val="0"/>
        <w:spacing w:after="0" w:line="240" w:lineRule="auto"/>
        <w:ind w:left="0" w:firstLine="426"/>
        <w:jc w:val="both"/>
        <w:rPr>
          <w:rFonts w:ascii="Times New Roman" w:hAnsi="Times New Roman"/>
          <w:bCs/>
          <w:sz w:val="24"/>
          <w:szCs w:val="24"/>
        </w:rPr>
      </w:pPr>
      <w:r w:rsidRPr="00A1481B">
        <w:rPr>
          <w:rFonts w:ascii="Times New Roman" w:hAnsi="Times New Roman"/>
          <w:bCs/>
          <w:sz w:val="24"/>
          <w:szCs w:val="24"/>
        </w:rPr>
        <w:t>G</w:t>
      </w:r>
      <w:r w:rsidR="002E4CFB" w:rsidRPr="00A1481B">
        <w:rPr>
          <w:rFonts w:ascii="Times New Roman" w:hAnsi="Times New Roman"/>
          <w:bCs/>
          <w:sz w:val="24"/>
          <w:szCs w:val="24"/>
        </w:rPr>
        <w:t xml:space="preserve">arantija įsigalioja automatiškai nuo </w:t>
      </w:r>
      <w:r w:rsidR="005F22C2" w:rsidRPr="00A1481B">
        <w:rPr>
          <w:rFonts w:ascii="Times New Roman" w:hAnsi="Times New Roman"/>
          <w:bCs/>
          <w:sz w:val="24"/>
          <w:szCs w:val="24"/>
        </w:rPr>
        <w:t>FT</w:t>
      </w:r>
      <w:r w:rsidR="002E4CFB" w:rsidRPr="00A1481B">
        <w:rPr>
          <w:rFonts w:ascii="Times New Roman" w:hAnsi="Times New Roman"/>
          <w:bCs/>
          <w:sz w:val="24"/>
          <w:szCs w:val="24"/>
        </w:rPr>
        <w:t xml:space="preserve"> </w:t>
      </w:r>
      <w:r w:rsidR="007B6AD5" w:rsidRPr="00A1481B">
        <w:rPr>
          <w:rFonts w:ascii="Times New Roman" w:hAnsi="Times New Roman"/>
          <w:bCs/>
          <w:sz w:val="24"/>
          <w:szCs w:val="24"/>
        </w:rPr>
        <w:t xml:space="preserve">faktoringo </w:t>
      </w:r>
      <w:r w:rsidR="002E4CFB" w:rsidRPr="00A1481B">
        <w:rPr>
          <w:rFonts w:ascii="Times New Roman" w:hAnsi="Times New Roman"/>
          <w:bCs/>
          <w:sz w:val="24"/>
          <w:szCs w:val="24"/>
        </w:rPr>
        <w:t xml:space="preserve">sutarties su MVĮ pasirašymo momento, su sąlyga, kad pasirašytas </w:t>
      </w:r>
      <w:r w:rsidR="003F6337" w:rsidRPr="00A1481B">
        <w:rPr>
          <w:rFonts w:ascii="Times New Roman" w:hAnsi="Times New Roman"/>
          <w:bCs/>
          <w:sz w:val="24"/>
          <w:szCs w:val="24"/>
        </w:rPr>
        <w:t>PGF2</w:t>
      </w:r>
      <w:r w:rsidR="002E4CFB" w:rsidRPr="00A1481B">
        <w:rPr>
          <w:rFonts w:ascii="Times New Roman" w:hAnsi="Times New Roman"/>
          <w:bCs/>
          <w:sz w:val="24"/>
          <w:szCs w:val="24"/>
        </w:rPr>
        <w:t xml:space="preserve"> priemonės Tinkamumo sąlygas atitinkantis Faktoringo sandoris yra įtrauktas į Portfelį (įtrauktas į ataskaitinio laikotarpio Portfelio ataskaitą) ir sumokėtas garantijos mokestis. Portfelio ataskaita rengiama</w:t>
      </w:r>
      <w:r w:rsidR="006F035E" w:rsidRPr="00A1481B">
        <w:rPr>
          <w:rFonts w:ascii="Times New Roman" w:hAnsi="Times New Roman"/>
          <w:bCs/>
          <w:sz w:val="24"/>
          <w:szCs w:val="24"/>
        </w:rPr>
        <w:t xml:space="preserve"> ir teikiama</w:t>
      </w:r>
      <w:r w:rsidR="002E4CFB" w:rsidRPr="00A1481B">
        <w:rPr>
          <w:rFonts w:ascii="Times New Roman" w:hAnsi="Times New Roman"/>
          <w:bCs/>
          <w:sz w:val="24"/>
          <w:szCs w:val="24"/>
        </w:rPr>
        <w:t xml:space="preserve"> kartą per ketvirtį. Pateikus ataskaitą, </w:t>
      </w:r>
      <w:r w:rsidR="003F6337" w:rsidRPr="00A1481B">
        <w:rPr>
          <w:rFonts w:ascii="Times New Roman" w:hAnsi="Times New Roman"/>
          <w:bCs/>
          <w:sz w:val="24"/>
          <w:szCs w:val="24"/>
        </w:rPr>
        <w:t>PGF2</w:t>
      </w:r>
      <w:r w:rsidR="002E4CFB" w:rsidRPr="00A1481B">
        <w:rPr>
          <w:rFonts w:ascii="Times New Roman" w:hAnsi="Times New Roman"/>
          <w:bCs/>
          <w:sz w:val="24"/>
          <w:szCs w:val="24"/>
        </w:rPr>
        <w:t xml:space="preserve"> priemonės valdytojas INVEGOS fondui perveda garantijos mokestį už kiekvieną į Portfelį įtraukiamą Faktoringo sandorį</w:t>
      </w:r>
      <w:r w:rsidR="006F035E" w:rsidRPr="00A1481B">
        <w:rPr>
          <w:rFonts w:ascii="Times New Roman" w:hAnsi="Times New Roman"/>
          <w:bCs/>
          <w:sz w:val="24"/>
          <w:szCs w:val="24"/>
        </w:rPr>
        <w:t xml:space="preserve">. </w:t>
      </w:r>
      <w:r w:rsidR="002E4CFB" w:rsidRPr="00A1481B">
        <w:rPr>
          <w:rFonts w:ascii="Times New Roman" w:hAnsi="Times New Roman"/>
          <w:bCs/>
          <w:sz w:val="24"/>
          <w:szCs w:val="24"/>
        </w:rPr>
        <w:t>Mokestis priklauso nuo įtraukiamos į Portfelį garantuojamos Faktoringo limito sumos</w:t>
      </w:r>
      <w:r w:rsidR="00FE2937" w:rsidRPr="00A1481B">
        <w:rPr>
          <w:rFonts w:ascii="Times New Roman" w:hAnsi="Times New Roman"/>
          <w:bCs/>
          <w:sz w:val="24"/>
          <w:szCs w:val="24"/>
        </w:rPr>
        <w:t>, Faktoringo sandorio finansavimo laikotarpio</w:t>
      </w:r>
      <w:r w:rsidR="002E4CFB" w:rsidRPr="00A1481B">
        <w:rPr>
          <w:rFonts w:ascii="Times New Roman" w:hAnsi="Times New Roman"/>
          <w:bCs/>
          <w:sz w:val="24"/>
          <w:szCs w:val="24"/>
        </w:rPr>
        <w:t xml:space="preserve"> ir </w:t>
      </w:r>
      <w:r w:rsidR="002E4CFB" w:rsidRPr="00A1481B">
        <w:rPr>
          <w:rFonts w:ascii="Times New Roman" w:hAnsi="Times New Roman"/>
          <w:sz w:val="24"/>
          <w:szCs w:val="24"/>
        </w:rPr>
        <w:t>Maksimalaus mokėjimo atidėjimo pirkėjams termino</w:t>
      </w:r>
      <w:r w:rsidR="002E4CFB" w:rsidRPr="00A1481B">
        <w:rPr>
          <w:rFonts w:ascii="Times New Roman" w:hAnsi="Times New Roman"/>
          <w:bCs/>
          <w:sz w:val="24"/>
          <w:szCs w:val="24"/>
        </w:rPr>
        <w:t>.</w:t>
      </w:r>
    </w:p>
    <w:p w14:paraId="5A2F7631" w14:textId="727A005F" w:rsidR="006F035E" w:rsidRPr="00A1481B" w:rsidRDefault="006F035E" w:rsidP="00035106">
      <w:pPr>
        <w:pStyle w:val="ListParagraph"/>
        <w:numPr>
          <w:ilvl w:val="1"/>
          <w:numId w:val="3"/>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Detalus </w:t>
      </w:r>
      <w:r w:rsidR="00365949" w:rsidRPr="00A1481B">
        <w:rPr>
          <w:rFonts w:ascii="Times New Roman" w:hAnsi="Times New Roman"/>
          <w:sz w:val="24"/>
          <w:szCs w:val="24"/>
        </w:rPr>
        <w:t>PGF2 priemonės</w:t>
      </w:r>
      <w:r w:rsidRPr="00A1481B">
        <w:rPr>
          <w:rFonts w:ascii="Times New Roman" w:hAnsi="Times New Roman"/>
          <w:sz w:val="24"/>
          <w:szCs w:val="24"/>
        </w:rPr>
        <w:t xml:space="preserve"> </w:t>
      </w:r>
      <w:r w:rsidR="007B6AD5" w:rsidRPr="00A1481B">
        <w:rPr>
          <w:rFonts w:ascii="Times New Roman" w:hAnsi="Times New Roman"/>
          <w:sz w:val="24"/>
          <w:szCs w:val="24"/>
        </w:rPr>
        <w:t xml:space="preserve">sąlygų </w:t>
      </w:r>
      <w:r w:rsidRPr="00A1481B">
        <w:rPr>
          <w:rFonts w:ascii="Times New Roman" w:hAnsi="Times New Roman"/>
          <w:sz w:val="24"/>
          <w:szCs w:val="24"/>
        </w:rPr>
        <w:t>aprašymas pateikiamas Aprašo 1 priede (</w:t>
      </w:r>
      <w:r w:rsidR="0006097C">
        <w:rPr>
          <w:rFonts w:ascii="Times New Roman" w:hAnsi="Times New Roman"/>
          <w:sz w:val="24"/>
          <w:szCs w:val="24"/>
        </w:rPr>
        <w:t>Pagrindinės sąlygos</w:t>
      </w:r>
      <w:r w:rsidRPr="00A1481B">
        <w:rPr>
          <w:rFonts w:ascii="Times New Roman" w:hAnsi="Times New Roman"/>
          <w:sz w:val="24"/>
          <w:szCs w:val="24"/>
        </w:rPr>
        <w:t>).</w:t>
      </w:r>
    </w:p>
    <w:p w14:paraId="69D60EBD" w14:textId="77777777" w:rsidR="008D1382" w:rsidRDefault="008D1382" w:rsidP="0041074D">
      <w:pPr>
        <w:autoSpaceDE w:val="0"/>
        <w:autoSpaceDN w:val="0"/>
        <w:adjustRightInd w:val="0"/>
        <w:spacing w:after="0" w:line="240" w:lineRule="auto"/>
        <w:ind w:firstLine="851"/>
        <w:jc w:val="both"/>
        <w:rPr>
          <w:rFonts w:ascii="Times New Roman" w:hAnsi="Times New Roman"/>
          <w:sz w:val="24"/>
          <w:szCs w:val="24"/>
        </w:rPr>
      </w:pPr>
    </w:p>
    <w:p w14:paraId="540059CD" w14:textId="77777777" w:rsidR="00431922" w:rsidRPr="007B6AD5" w:rsidRDefault="00431922"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7B6AD5">
        <w:rPr>
          <w:rFonts w:ascii="Times New Roman" w:hAnsi="Times New Roman"/>
          <w:b/>
          <w:bCs/>
          <w:sz w:val="24"/>
          <w:szCs w:val="24"/>
        </w:rPr>
        <w:t xml:space="preserve">PRAŠYMO </w:t>
      </w:r>
      <w:r w:rsidR="00F056ED" w:rsidRPr="007B6AD5">
        <w:rPr>
          <w:rFonts w:ascii="Times New Roman" w:hAnsi="Times New Roman"/>
          <w:b/>
          <w:bCs/>
          <w:sz w:val="24"/>
          <w:szCs w:val="24"/>
        </w:rPr>
        <w:t>PATEIKIMAS</w:t>
      </w:r>
    </w:p>
    <w:p w14:paraId="2C81F1F4" w14:textId="77777777" w:rsidR="00C23C16" w:rsidRPr="00431922" w:rsidRDefault="00C23C16" w:rsidP="00431922">
      <w:pPr>
        <w:autoSpaceDE w:val="0"/>
        <w:autoSpaceDN w:val="0"/>
        <w:adjustRightInd w:val="0"/>
        <w:spacing w:after="0" w:line="240" w:lineRule="auto"/>
        <w:ind w:firstLine="851"/>
        <w:jc w:val="both"/>
        <w:rPr>
          <w:rFonts w:ascii="Times New Roman" w:hAnsi="Times New Roman"/>
          <w:sz w:val="24"/>
          <w:szCs w:val="24"/>
        </w:rPr>
      </w:pPr>
    </w:p>
    <w:p w14:paraId="102BE760" w14:textId="77777777" w:rsidR="000C696D" w:rsidRPr="000C696D" w:rsidRDefault="000C696D" w:rsidP="00BF7FC9">
      <w:pPr>
        <w:pStyle w:val="ListParagraph"/>
        <w:tabs>
          <w:tab w:val="left" w:pos="1418"/>
        </w:tabs>
        <w:autoSpaceDE w:val="0"/>
        <w:autoSpaceDN w:val="0"/>
        <w:adjustRightInd w:val="0"/>
        <w:spacing w:after="0" w:line="240" w:lineRule="auto"/>
        <w:ind w:left="0" w:firstLine="360"/>
        <w:jc w:val="both"/>
        <w:rPr>
          <w:rFonts w:ascii="Times New Roman" w:hAnsi="Times New Roman"/>
          <w:vanish/>
          <w:sz w:val="24"/>
          <w:szCs w:val="24"/>
        </w:rPr>
      </w:pPr>
    </w:p>
    <w:p w14:paraId="7F57F728" w14:textId="534FD141" w:rsidR="00B52574" w:rsidRPr="00251916" w:rsidRDefault="00B52574"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51916">
        <w:rPr>
          <w:rFonts w:ascii="Times New Roman" w:hAnsi="Times New Roman"/>
          <w:sz w:val="24"/>
          <w:szCs w:val="24"/>
        </w:rPr>
        <w:t xml:space="preserve">Prašymų teikimas vykdomas etapais. Pirmasis prašymų teikimo etapas </w:t>
      </w:r>
      <w:r w:rsidR="00AA5AD3" w:rsidRPr="00251916">
        <w:rPr>
          <w:rFonts w:ascii="Times New Roman" w:hAnsi="Times New Roman"/>
          <w:sz w:val="24"/>
          <w:szCs w:val="24"/>
        </w:rPr>
        <w:t>planuojamas 2020</w:t>
      </w:r>
      <w:r w:rsidR="00531CBF" w:rsidRPr="00251916">
        <w:rPr>
          <w:rFonts w:ascii="Times New Roman" w:hAnsi="Times New Roman"/>
          <w:sz w:val="24"/>
          <w:szCs w:val="24"/>
        </w:rPr>
        <w:t> </w:t>
      </w:r>
      <w:r w:rsidR="00AA5AD3" w:rsidRPr="00251916">
        <w:rPr>
          <w:rFonts w:ascii="Times New Roman" w:hAnsi="Times New Roman"/>
          <w:sz w:val="24"/>
          <w:szCs w:val="24"/>
        </w:rPr>
        <w:t>m. bal</w:t>
      </w:r>
      <w:r w:rsidR="00BB5ACC" w:rsidRPr="00251916">
        <w:rPr>
          <w:rFonts w:ascii="Times New Roman" w:hAnsi="Times New Roman"/>
          <w:sz w:val="24"/>
          <w:szCs w:val="24"/>
        </w:rPr>
        <w:t>a</w:t>
      </w:r>
      <w:r w:rsidR="00AA5AD3" w:rsidRPr="00251916">
        <w:rPr>
          <w:rFonts w:ascii="Times New Roman" w:hAnsi="Times New Roman"/>
          <w:sz w:val="24"/>
          <w:szCs w:val="24"/>
        </w:rPr>
        <w:t>nd</w:t>
      </w:r>
      <w:r w:rsidR="00BB5ACC" w:rsidRPr="00251916">
        <w:rPr>
          <w:rFonts w:ascii="Times New Roman" w:hAnsi="Times New Roman"/>
          <w:sz w:val="24"/>
          <w:szCs w:val="24"/>
        </w:rPr>
        <w:t>ž</w:t>
      </w:r>
      <w:r w:rsidR="00AA5AD3" w:rsidRPr="00251916">
        <w:rPr>
          <w:rFonts w:ascii="Times New Roman" w:hAnsi="Times New Roman"/>
          <w:sz w:val="24"/>
          <w:szCs w:val="24"/>
        </w:rPr>
        <w:t>io m</w:t>
      </w:r>
      <w:r w:rsidR="00BB5ACC" w:rsidRPr="00251916">
        <w:rPr>
          <w:rFonts w:ascii="Times New Roman" w:hAnsi="Times New Roman"/>
          <w:sz w:val="24"/>
          <w:szCs w:val="24"/>
        </w:rPr>
        <w:t>ė</w:t>
      </w:r>
      <w:r w:rsidR="00AA5AD3" w:rsidRPr="00251916">
        <w:rPr>
          <w:rFonts w:ascii="Times New Roman" w:hAnsi="Times New Roman"/>
          <w:sz w:val="24"/>
          <w:szCs w:val="24"/>
        </w:rPr>
        <w:t>n.</w:t>
      </w:r>
      <w:r w:rsidR="00BB5ACC" w:rsidRPr="00251916">
        <w:rPr>
          <w:rFonts w:ascii="Times New Roman" w:hAnsi="Times New Roman"/>
          <w:sz w:val="24"/>
          <w:szCs w:val="24"/>
        </w:rPr>
        <w:t xml:space="preserve"> numatant 7 </w:t>
      </w:r>
      <w:r w:rsidR="0095163A" w:rsidRPr="00251916">
        <w:rPr>
          <w:rFonts w:ascii="Times New Roman" w:hAnsi="Times New Roman"/>
          <w:sz w:val="24"/>
          <w:szCs w:val="24"/>
        </w:rPr>
        <w:t xml:space="preserve">(septynių) </w:t>
      </w:r>
      <w:r w:rsidR="00BB5ACC" w:rsidRPr="00251916">
        <w:rPr>
          <w:rFonts w:ascii="Times New Roman" w:hAnsi="Times New Roman"/>
          <w:sz w:val="24"/>
          <w:szCs w:val="24"/>
        </w:rPr>
        <w:t>darbo dienų prašymų</w:t>
      </w:r>
      <w:r w:rsidR="00AA5AD3" w:rsidRPr="00251916">
        <w:rPr>
          <w:rFonts w:ascii="Times New Roman" w:hAnsi="Times New Roman"/>
          <w:sz w:val="24"/>
          <w:szCs w:val="24"/>
        </w:rPr>
        <w:t xml:space="preserve"> pateik</w:t>
      </w:r>
      <w:r w:rsidR="00BB5ACC" w:rsidRPr="00251916">
        <w:rPr>
          <w:rFonts w:ascii="Times New Roman" w:hAnsi="Times New Roman"/>
          <w:sz w:val="24"/>
          <w:szCs w:val="24"/>
        </w:rPr>
        <w:t>im</w:t>
      </w:r>
      <w:r w:rsidR="00AA5AD3" w:rsidRPr="00251916">
        <w:rPr>
          <w:rFonts w:ascii="Times New Roman" w:hAnsi="Times New Roman"/>
          <w:sz w:val="24"/>
          <w:szCs w:val="24"/>
        </w:rPr>
        <w:t>o termin</w:t>
      </w:r>
      <w:r w:rsidR="00BB5ACC" w:rsidRPr="00251916">
        <w:rPr>
          <w:rFonts w:ascii="Times New Roman" w:hAnsi="Times New Roman"/>
          <w:sz w:val="24"/>
          <w:szCs w:val="24"/>
        </w:rPr>
        <w:t>ą</w:t>
      </w:r>
      <w:r w:rsidR="00AA5AD3" w:rsidRPr="00251916">
        <w:rPr>
          <w:rFonts w:ascii="Times New Roman" w:hAnsi="Times New Roman"/>
          <w:sz w:val="24"/>
          <w:szCs w:val="24"/>
        </w:rPr>
        <w:t>.</w:t>
      </w:r>
      <w:r w:rsidRPr="00251916">
        <w:rPr>
          <w:rFonts w:ascii="Times New Roman" w:hAnsi="Times New Roman"/>
          <w:sz w:val="24"/>
          <w:szCs w:val="24"/>
        </w:rPr>
        <w:t xml:space="preserve"> </w:t>
      </w:r>
    </w:p>
    <w:p w14:paraId="081B6985" w14:textId="77777777" w:rsidR="00CE2D01" w:rsidRPr="00251916" w:rsidRDefault="00CE2D01"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51916">
        <w:rPr>
          <w:rFonts w:ascii="Times New Roman" w:hAnsi="Times New Roman"/>
          <w:sz w:val="24"/>
          <w:szCs w:val="24"/>
        </w:rPr>
        <w:t xml:space="preserve">Pirmajame etape dalyvavusiems FT paskirsčius PGF2 priemonė lėšas ir sudarius Sutartis, pradedamas antrasis prašymų teikimo etapas, kuris tęsiamas tol, </w:t>
      </w:r>
      <w:bookmarkStart w:id="2" w:name="_Hlk36718771"/>
      <w:r w:rsidRPr="00251916">
        <w:rPr>
          <w:rFonts w:ascii="Times New Roman" w:hAnsi="Times New Roman"/>
          <w:bCs/>
          <w:sz w:val="24"/>
          <w:szCs w:val="24"/>
        </w:rPr>
        <w:t>kol reikalavimus atitinkantiems FT paskirstomos visos PGF2 priemonei skirtos lėšos</w:t>
      </w:r>
      <w:bookmarkEnd w:id="2"/>
      <w:r w:rsidRPr="00251916">
        <w:rPr>
          <w:rFonts w:ascii="Times New Roman" w:hAnsi="Times New Roman"/>
          <w:bCs/>
          <w:sz w:val="24"/>
          <w:szCs w:val="24"/>
        </w:rPr>
        <w:t>.</w:t>
      </w:r>
    </w:p>
    <w:p w14:paraId="6BB67800" w14:textId="21F081F4" w:rsidR="00CE2D01" w:rsidRPr="00531CBF" w:rsidRDefault="00CE2D01"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 xml:space="preserve"> Nepaskirstyta PGF2 priemon</w:t>
      </w:r>
      <w:r w:rsidR="005D2E5E" w:rsidRPr="00531CBF">
        <w:rPr>
          <w:rFonts w:ascii="Times New Roman" w:hAnsi="Times New Roman"/>
          <w:sz w:val="24"/>
          <w:szCs w:val="24"/>
        </w:rPr>
        <w:t>ei skirta</w:t>
      </w:r>
      <w:r w:rsidRPr="00531CBF">
        <w:rPr>
          <w:rFonts w:ascii="Times New Roman" w:hAnsi="Times New Roman"/>
          <w:sz w:val="24"/>
          <w:szCs w:val="24"/>
        </w:rPr>
        <w:t xml:space="preserve"> lėšų suma nuolat atnaujinama ir skelbiama „Invegos“ interneto svetainėje </w:t>
      </w:r>
      <w:hyperlink r:id="rId13" w:history="1">
        <w:r w:rsidRPr="00531CBF">
          <w:rPr>
            <w:rStyle w:val="Hyperlink"/>
            <w:rFonts w:ascii="Times New Roman" w:hAnsi="Times New Roman"/>
            <w:sz w:val="24"/>
            <w:szCs w:val="24"/>
          </w:rPr>
          <w:t>www.invega.lt</w:t>
        </w:r>
      </w:hyperlink>
      <w:r w:rsidRPr="00531CBF">
        <w:rPr>
          <w:rFonts w:ascii="Times New Roman" w:hAnsi="Times New Roman"/>
          <w:sz w:val="24"/>
          <w:szCs w:val="24"/>
        </w:rPr>
        <w:t>.</w:t>
      </w:r>
    </w:p>
    <w:p w14:paraId="06BFF0C6" w14:textId="2704F942" w:rsidR="00CE2D01" w:rsidRPr="00531CBF" w:rsidRDefault="00CE2D01"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Nepaskirstytą PGF2 priemon</w:t>
      </w:r>
      <w:r w:rsidR="00FA3706" w:rsidRPr="00531CBF">
        <w:rPr>
          <w:rFonts w:ascii="Times New Roman" w:hAnsi="Times New Roman"/>
          <w:sz w:val="24"/>
          <w:szCs w:val="24"/>
        </w:rPr>
        <w:t>ei skirtą</w:t>
      </w:r>
      <w:r w:rsidRPr="00531CBF">
        <w:rPr>
          <w:rFonts w:ascii="Times New Roman" w:hAnsi="Times New Roman"/>
          <w:sz w:val="24"/>
          <w:szCs w:val="24"/>
        </w:rPr>
        <w:t xml:space="preserve"> lėšų sumą sudaro:</w:t>
      </w:r>
    </w:p>
    <w:p w14:paraId="0C84A01E" w14:textId="77777777" w:rsidR="00CE2D01" w:rsidRPr="00531CBF" w:rsidRDefault="00CE2D01" w:rsidP="00035106">
      <w:pPr>
        <w:pStyle w:val="ListParagraph"/>
        <w:numPr>
          <w:ilvl w:val="2"/>
          <w:numId w:val="8"/>
        </w:numPr>
        <w:tabs>
          <w:tab w:val="left" w:pos="851"/>
        </w:tabs>
        <w:autoSpaceDE w:val="0"/>
        <w:autoSpaceDN w:val="0"/>
        <w:adjustRightInd w:val="0"/>
        <w:spacing w:after="0" w:line="240" w:lineRule="auto"/>
        <w:jc w:val="both"/>
        <w:rPr>
          <w:rFonts w:ascii="Times New Roman" w:hAnsi="Times New Roman"/>
          <w:sz w:val="24"/>
          <w:szCs w:val="24"/>
        </w:rPr>
      </w:pPr>
      <w:r w:rsidRPr="00531CBF">
        <w:rPr>
          <w:rFonts w:ascii="Times New Roman" w:hAnsi="Times New Roman"/>
          <w:sz w:val="24"/>
          <w:szCs w:val="24"/>
        </w:rPr>
        <w:t>Per pirmą kvietimą FT nepaskirstytos PGF2 priemonės lėšos;</w:t>
      </w:r>
    </w:p>
    <w:p w14:paraId="56FF5D9D" w14:textId="6234C90A" w:rsidR="00CE2D01" w:rsidRPr="00531CBF" w:rsidRDefault="00CE2D01" w:rsidP="00035106">
      <w:pPr>
        <w:pStyle w:val="ListParagraph"/>
        <w:numPr>
          <w:ilvl w:val="2"/>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531CBF">
        <w:rPr>
          <w:rFonts w:ascii="Times New Roman" w:hAnsi="Times New Roman"/>
          <w:sz w:val="24"/>
          <w:szCs w:val="24"/>
        </w:rPr>
        <w:t>PGF2 priemonės lėšos, kurių FT atsisakė</w:t>
      </w:r>
      <w:r w:rsidR="003A0F59">
        <w:rPr>
          <w:rFonts w:ascii="Times New Roman" w:hAnsi="Times New Roman"/>
          <w:sz w:val="24"/>
          <w:szCs w:val="24"/>
        </w:rPr>
        <w:t>,</w:t>
      </w:r>
      <w:r w:rsidRPr="00531CBF">
        <w:rPr>
          <w:rFonts w:ascii="Times New Roman" w:hAnsi="Times New Roman"/>
          <w:sz w:val="24"/>
          <w:szCs w:val="24"/>
        </w:rPr>
        <w:t xml:space="preserve"> arba FT, kuriam skirta PGF2 priemonės lėšų suma, nesudar</w:t>
      </w:r>
      <w:r w:rsidR="003A0F59">
        <w:rPr>
          <w:rFonts w:ascii="Times New Roman" w:hAnsi="Times New Roman"/>
          <w:sz w:val="24"/>
          <w:szCs w:val="24"/>
        </w:rPr>
        <w:t>ė</w:t>
      </w:r>
      <w:r w:rsidRPr="00531CBF">
        <w:rPr>
          <w:rFonts w:ascii="Times New Roman" w:hAnsi="Times New Roman"/>
          <w:sz w:val="24"/>
          <w:szCs w:val="24"/>
        </w:rPr>
        <w:t xml:space="preserve"> Sutarti</w:t>
      </w:r>
      <w:r w:rsidR="003A0F59">
        <w:rPr>
          <w:rFonts w:ascii="Times New Roman" w:hAnsi="Times New Roman"/>
          <w:sz w:val="24"/>
          <w:szCs w:val="24"/>
        </w:rPr>
        <w:t>e</w:t>
      </w:r>
      <w:r w:rsidRPr="00531CBF">
        <w:rPr>
          <w:rFonts w:ascii="Times New Roman" w:hAnsi="Times New Roman"/>
          <w:sz w:val="24"/>
          <w:szCs w:val="24"/>
        </w:rPr>
        <w:t xml:space="preserve">s; </w:t>
      </w:r>
    </w:p>
    <w:p w14:paraId="1DB72B26" w14:textId="23F4B225" w:rsidR="00CE2D01" w:rsidRPr="00531CBF" w:rsidRDefault="00CE2D01" w:rsidP="00035106">
      <w:pPr>
        <w:pStyle w:val="ListParagraph"/>
        <w:numPr>
          <w:ilvl w:val="2"/>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4"/>
          <w:szCs w:val="24"/>
        </w:rPr>
      </w:pPr>
      <w:r w:rsidRPr="00531CBF">
        <w:rPr>
          <w:rFonts w:ascii="Times New Roman" w:hAnsi="Times New Roman"/>
          <w:sz w:val="24"/>
          <w:szCs w:val="24"/>
        </w:rPr>
        <w:t>Sutartimi FT skirta PGF2 priemonės lėšų suma sumažin</w:t>
      </w:r>
      <w:r w:rsidR="00531CBF">
        <w:rPr>
          <w:rFonts w:ascii="Times New Roman" w:hAnsi="Times New Roman"/>
          <w:sz w:val="24"/>
          <w:szCs w:val="24"/>
        </w:rPr>
        <w:t>ta</w:t>
      </w:r>
      <w:r w:rsidRPr="00531CBF">
        <w:rPr>
          <w:rFonts w:ascii="Times New Roman" w:hAnsi="Times New Roman"/>
          <w:sz w:val="24"/>
          <w:szCs w:val="24"/>
        </w:rPr>
        <w:t xml:space="preserve"> Aprašo 1 priede (</w:t>
      </w:r>
      <w:r w:rsidR="0006097C">
        <w:rPr>
          <w:rFonts w:ascii="Times New Roman" w:hAnsi="Times New Roman"/>
          <w:sz w:val="24"/>
          <w:szCs w:val="24"/>
        </w:rPr>
        <w:t>Pagrindinės sąlygos</w:t>
      </w:r>
      <w:r w:rsidRPr="00531CBF">
        <w:rPr>
          <w:rFonts w:ascii="Times New Roman" w:hAnsi="Times New Roman"/>
          <w:sz w:val="24"/>
          <w:szCs w:val="24"/>
        </w:rPr>
        <w:t>) nustatyta tvarka;</w:t>
      </w:r>
    </w:p>
    <w:p w14:paraId="16FF25DA" w14:textId="77777777" w:rsidR="00CE2D01" w:rsidRPr="00531CBF" w:rsidRDefault="00CE2D01" w:rsidP="00035106">
      <w:pPr>
        <w:pStyle w:val="ListParagraph"/>
        <w:numPr>
          <w:ilvl w:val="2"/>
          <w:numId w:val="8"/>
        </w:numPr>
        <w:tabs>
          <w:tab w:val="left" w:pos="851"/>
        </w:tabs>
        <w:autoSpaceDE w:val="0"/>
        <w:autoSpaceDN w:val="0"/>
        <w:adjustRightInd w:val="0"/>
        <w:spacing w:after="0" w:line="240" w:lineRule="auto"/>
        <w:rPr>
          <w:rFonts w:ascii="Times New Roman" w:hAnsi="Times New Roman"/>
          <w:sz w:val="24"/>
          <w:szCs w:val="24"/>
        </w:rPr>
      </w:pPr>
      <w:r w:rsidRPr="00531CBF">
        <w:rPr>
          <w:rFonts w:ascii="Times New Roman" w:hAnsi="Times New Roman"/>
          <w:sz w:val="24"/>
          <w:szCs w:val="24"/>
        </w:rPr>
        <w:t>PGF2 priemonės įgyvendinimui skiriama papildomų lėšų.</w:t>
      </w:r>
    </w:p>
    <w:p w14:paraId="79AACD8E" w14:textId="32241DDE" w:rsidR="0081125E" w:rsidRPr="000C696D" w:rsidRDefault="00BF7024"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Nustatytos formos prašymą</w:t>
      </w:r>
      <w:r w:rsidR="00050030" w:rsidRPr="00531CBF">
        <w:rPr>
          <w:rFonts w:ascii="Times New Roman" w:hAnsi="Times New Roman"/>
          <w:sz w:val="24"/>
          <w:szCs w:val="24"/>
        </w:rPr>
        <w:t xml:space="preserve"> (Aprašo 2 priedas)</w:t>
      </w:r>
      <w:r w:rsidRPr="00531CBF">
        <w:rPr>
          <w:rFonts w:ascii="Times New Roman" w:hAnsi="Times New Roman"/>
          <w:sz w:val="24"/>
          <w:szCs w:val="24"/>
        </w:rPr>
        <w:t xml:space="preserve"> ir kitus dokumentus, siekiant įvertinti FT atitikimą Apraš</w:t>
      </w:r>
      <w:r w:rsidR="002C3C15" w:rsidRPr="00531CBF">
        <w:rPr>
          <w:rFonts w:ascii="Times New Roman" w:hAnsi="Times New Roman"/>
          <w:sz w:val="24"/>
          <w:szCs w:val="24"/>
        </w:rPr>
        <w:t>e</w:t>
      </w:r>
      <w:r w:rsidRPr="00531CBF">
        <w:rPr>
          <w:rFonts w:ascii="Times New Roman" w:hAnsi="Times New Roman"/>
          <w:sz w:val="24"/>
          <w:szCs w:val="24"/>
        </w:rPr>
        <w:t xml:space="preserve"> nustatytiems reikalavimams</w:t>
      </w:r>
      <w:r w:rsidR="00C22D76" w:rsidRPr="00531CBF">
        <w:rPr>
          <w:rFonts w:ascii="Times New Roman" w:hAnsi="Times New Roman"/>
          <w:sz w:val="24"/>
          <w:szCs w:val="24"/>
        </w:rPr>
        <w:t>,</w:t>
      </w:r>
      <w:r w:rsidRPr="00531CBF">
        <w:rPr>
          <w:rFonts w:ascii="Times New Roman" w:hAnsi="Times New Roman"/>
          <w:sz w:val="24"/>
          <w:szCs w:val="24"/>
        </w:rPr>
        <w:t xml:space="preserve"> </w:t>
      </w:r>
      <w:r w:rsidR="003A528C" w:rsidRPr="00531CBF">
        <w:rPr>
          <w:rFonts w:ascii="Times New Roman" w:hAnsi="Times New Roman"/>
          <w:sz w:val="24"/>
          <w:szCs w:val="24"/>
        </w:rPr>
        <w:t>FT</w:t>
      </w:r>
      <w:r w:rsidR="00431922" w:rsidRPr="00531CBF">
        <w:rPr>
          <w:rFonts w:ascii="Times New Roman" w:hAnsi="Times New Roman"/>
          <w:sz w:val="24"/>
          <w:szCs w:val="24"/>
        </w:rPr>
        <w:t xml:space="preserve"> </w:t>
      </w:r>
      <w:r w:rsidR="002E5367" w:rsidRPr="00531CBF">
        <w:rPr>
          <w:rFonts w:ascii="Times New Roman" w:hAnsi="Times New Roman"/>
          <w:sz w:val="24"/>
          <w:szCs w:val="24"/>
        </w:rPr>
        <w:t>„Invegai“</w:t>
      </w:r>
      <w:r w:rsidR="00C22D76" w:rsidRPr="00531CBF">
        <w:rPr>
          <w:rFonts w:ascii="Times New Roman" w:hAnsi="Times New Roman"/>
          <w:sz w:val="24"/>
          <w:szCs w:val="24"/>
        </w:rPr>
        <w:t xml:space="preserve"> teikia </w:t>
      </w:r>
      <w:r w:rsidR="00F37C6C" w:rsidRPr="00531CBF">
        <w:rPr>
          <w:rFonts w:ascii="Times New Roman" w:hAnsi="Times New Roman"/>
          <w:sz w:val="24"/>
          <w:szCs w:val="24"/>
        </w:rPr>
        <w:t>elektroniniu paštu</w:t>
      </w:r>
      <w:r w:rsidR="00F37C6C" w:rsidRPr="000C696D">
        <w:rPr>
          <w:rFonts w:ascii="Times New Roman" w:hAnsi="Times New Roman"/>
          <w:sz w:val="24"/>
          <w:szCs w:val="24"/>
        </w:rPr>
        <w:t xml:space="preserve"> </w:t>
      </w:r>
      <w:hyperlink r:id="rId14" w:history="1">
        <w:r w:rsidR="00A55E69" w:rsidRPr="00A1481B">
          <w:rPr>
            <w:rStyle w:val="Hyperlink"/>
            <w:rFonts w:ascii="Times New Roman" w:hAnsi="Times New Roman"/>
            <w:sz w:val="24"/>
            <w:szCs w:val="24"/>
          </w:rPr>
          <w:t>pgf2@invega.lt</w:t>
        </w:r>
      </w:hyperlink>
      <w:r w:rsidR="001B34D0" w:rsidRPr="000C696D">
        <w:rPr>
          <w:rFonts w:ascii="Times New Roman" w:hAnsi="Times New Roman"/>
          <w:sz w:val="24"/>
          <w:szCs w:val="24"/>
        </w:rPr>
        <w:t>.</w:t>
      </w:r>
      <w:r w:rsidR="00431922" w:rsidRPr="000C696D">
        <w:rPr>
          <w:rFonts w:ascii="Times New Roman" w:hAnsi="Times New Roman"/>
          <w:sz w:val="24"/>
          <w:szCs w:val="24"/>
        </w:rPr>
        <w:t xml:space="preserve"> </w:t>
      </w:r>
    </w:p>
    <w:p w14:paraId="289CB69A" w14:textId="5699D086" w:rsidR="00431922" w:rsidRPr="000C696D" w:rsidRDefault="00A55E69"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Prašymas privalo būti pasirašyta</w:t>
      </w:r>
      <w:r w:rsidR="00B068F0" w:rsidRPr="000C696D">
        <w:rPr>
          <w:rFonts w:ascii="Times New Roman" w:hAnsi="Times New Roman"/>
          <w:sz w:val="24"/>
          <w:szCs w:val="24"/>
        </w:rPr>
        <w:t>s</w:t>
      </w:r>
      <w:r w:rsidRPr="000C696D">
        <w:rPr>
          <w:rFonts w:ascii="Times New Roman" w:hAnsi="Times New Roman"/>
          <w:sz w:val="24"/>
          <w:szCs w:val="24"/>
        </w:rPr>
        <w:t xml:space="preserve"> saugiu </w:t>
      </w:r>
      <w:r w:rsidR="00307B9A">
        <w:rPr>
          <w:rFonts w:ascii="Times New Roman" w:hAnsi="Times New Roman"/>
          <w:sz w:val="24"/>
          <w:szCs w:val="24"/>
        </w:rPr>
        <w:t xml:space="preserve">kvalifikuotu </w:t>
      </w:r>
      <w:r w:rsidRPr="000C696D">
        <w:rPr>
          <w:rFonts w:ascii="Times New Roman" w:hAnsi="Times New Roman"/>
          <w:sz w:val="24"/>
          <w:szCs w:val="24"/>
        </w:rPr>
        <w:t xml:space="preserve">elektroniniu parašu, atitinkančiu </w:t>
      </w:r>
      <w:r w:rsidR="008D449D" w:rsidRPr="002B30B6">
        <w:rPr>
          <w:rFonts w:ascii="Times New Roman" w:hAnsi="Times New Roman"/>
          <w:sz w:val="24"/>
          <w:szCs w:val="24"/>
        </w:rPr>
        <w:t>2014 m. liepos 23 d. Europos Parlamento ir Tarybos reglamento (ES) Nr. 910/2014 dėl elektroninės atpažinties ir elektroninių operacijų patikimumo užtikrinimo paslaugų vidaus rinkoje nustatytus reikalavimus</w:t>
      </w:r>
      <w:r w:rsidR="00DA38AB" w:rsidRPr="000C696D">
        <w:rPr>
          <w:rFonts w:ascii="Times New Roman" w:hAnsi="Times New Roman"/>
          <w:sz w:val="24"/>
          <w:szCs w:val="24"/>
        </w:rPr>
        <w:t>.</w:t>
      </w:r>
      <w:r w:rsidRPr="000C696D">
        <w:rPr>
          <w:rFonts w:ascii="Times New Roman" w:hAnsi="Times New Roman"/>
          <w:sz w:val="24"/>
          <w:szCs w:val="24"/>
        </w:rPr>
        <w:t xml:space="preserve"> </w:t>
      </w:r>
      <w:r w:rsidR="00431922" w:rsidRPr="000C696D">
        <w:rPr>
          <w:rFonts w:ascii="Times New Roman" w:hAnsi="Times New Roman"/>
          <w:sz w:val="24"/>
          <w:szCs w:val="24"/>
        </w:rPr>
        <w:t xml:space="preserve">Prašymas, priedai ir kartu su jais pateikiama informacija (įskaitant </w:t>
      </w:r>
      <w:r w:rsidR="00307B9A">
        <w:rPr>
          <w:rFonts w:ascii="Times New Roman" w:hAnsi="Times New Roman"/>
          <w:sz w:val="24"/>
          <w:szCs w:val="24"/>
        </w:rPr>
        <w:t xml:space="preserve">bet kokius kitus </w:t>
      </w:r>
      <w:r w:rsidR="00431922" w:rsidRPr="000C696D">
        <w:rPr>
          <w:rFonts w:ascii="Times New Roman" w:hAnsi="Times New Roman"/>
          <w:sz w:val="24"/>
          <w:szCs w:val="24"/>
        </w:rPr>
        <w:t xml:space="preserve">dokumentus, kuriuos </w:t>
      </w:r>
      <w:r w:rsidR="003A528C" w:rsidRPr="000C696D">
        <w:rPr>
          <w:rFonts w:ascii="Times New Roman" w:hAnsi="Times New Roman"/>
          <w:sz w:val="24"/>
          <w:szCs w:val="24"/>
        </w:rPr>
        <w:t>FT</w:t>
      </w:r>
      <w:r w:rsidR="00431922" w:rsidRPr="000C696D">
        <w:rPr>
          <w:rFonts w:ascii="Times New Roman" w:hAnsi="Times New Roman"/>
          <w:sz w:val="24"/>
          <w:szCs w:val="24"/>
        </w:rPr>
        <w:t xml:space="preserve"> mano esant reikalingus arba aktualius pateikti) privalo būti tiksli ir aiški, kad </w:t>
      </w:r>
      <w:r w:rsidR="00CE166A">
        <w:rPr>
          <w:rFonts w:ascii="Times New Roman" w:hAnsi="Times New Roman"/>
          <w:sz w:val="24"/>
          <w:szCs w:val="24"/>
        </w:rPr>
        <w:t>„</w:t>
      </w:r>
      <w:r w:rsidR="002E5367">
        <w:rPr>
          <w:rFonts w:ascii="Times New Roman" w:hAnsi="Times New Roman"/>
          <w:sz w:val="24"/>
          <w:szCs w:val="24"/>
        </w:rPr>
        <w:t>Invega“</w:t>
      </w:r>
      <w:r w:rsidR="00431922" w:rsidRPr="000C696D">
        <w:rPr>
          <w:rFonts w:ascii="Times New Roman" w:hAnsi="Times New Roman"/>
          <w:sz w:val="24"/>
          <w:szCs w:val="24"/>
        </w:rPr>
        <w:t xml:space="preserve"> galėtų atlikti išsamų, informacija pagrįstą </w:t>
      </w:r>
      <w:r w:rsidR="004F4BA1" w:rsidRPr="000C696D">
        <w:rPr>
          <w:rFonts w:ascii="Times New Roman" w:hAnsi="Times New Roman"/>
          <w:sz w:val="24"/>
          <w:szCs w:val="24"/>
        </w:rPr>
        <w:t>FT</w:t>
      </w:r>
      <w:r w:rsidR="00431922" w:rsidRPr="000C696D">
        <w:rPr>
          <w:rFonts w:ascii="Times New Roman" w:hAnsi="Times New Roman"/>
          <w:sz w:val="24"/>
          <w:szCs w:val="24"/>
        </w:rPr>
        <w:t xml:space="preserve"> atitikimo </w:t>
      </w:r>
      <w:r w:rsidR="00307B9A">
        <w:rPr>
          <w:rFonts w:ascii="Times New Roman" w:hAnsi="Times New Roman"/>
          <w:sz w:val="24"/>
          <w:szCs w:val="24"/>
        </w:rPr>
        <w:t xml:space="preserve">nustatytiems tinkamumo </w:t>
      </w:r>
      <w:r w:rsidR="00431922" w:rsidRPr="000C696D">
        <w:rPr>
          <w:rFonts w:ascii="Times New Roman" w:hAnsi="Times New Roman"/>
          <w:sz w:val="24"/>
          <w:szCs w:val="24"/>
        </w:rPr>
        <w:t xml:space="preserve">reikalavimams vertinimą. </w:t>
      </w:r>
      <w:r w:rsidR="00406E13">
        <w:rPr>
          <w:rFonts w:ascii="Times New Roman" w:hAnsi="Times New Roman"/>
          <w:sz w:val="24"/>
          <w:szCs w:val="24"/>
        </w:rPr>
        <w:t>„</w:t>
      </w:r>
      <w:r w:rsidR="002E5367">
        <w:rPr>
          <w:rFonts w:ascii="Times New Roman" w:hAnsi="Times New Roman"/>
          <w:sz w:val="24"/>
          <w:szCs w:val="24"/>
        </w:rPr>
        <w:t>Invega“</w:t>
      </w:r>
      <w:r w:rsidR="00431922" w:rsidRPr="000C696D">
        <w:rPr>
          <w:rFonts w:ascii="Times New Roman" w:hAnsi="Times New Roman"/>
          <w:sz w:val="24"/>
          <w:szCs w:val="24"/>
        </w:rPr>
        <w:t xml:space="preserve"> gali paprašyti pateikti papildomą informaciją ir dokumentus, kai </w:t>
      </w:r>
      <w:r w:rsidR="00307B9A">
        <w:rPr>
          <w:rFonts w:ascii="Times New Roman" w:hAnsi="Times New Roman"/>
          <w:sz w:val="24"/>
          <w:szCs w:val="24"/>
        </w:rPr>
        <w:t xml:space="preserve">FT </w:t>
      </w:r>
      <w:r w:rsidR="00431922" w:rsidRPr="000C696D">
        <w:rPr>
          <w:rFonts w:ascii="Times New Roman" w:hAnsi="Times New Roman"/>
          <w:sz w:val="24"/>
          <w:szCs w:val="24"/>
        </w:rPr>
        <w:t xml:space="preserve">pateiktų duomenų nepakanka pagrįsti </w:t>
      </w:r>
      <w:r w:rsidR="00F22B18" w:rsidRPr="000C696D">
        <w:rPr>
          <w:rFonts w:ascii="Times New Roman" w:hAnsi="Times New Roman"/>
          <w:sz w:val="24"/>
          <w:szCs w:val="24"/>
        </w:rPr>
        <w:t>FT</w:t>
      </w:r>
      <w:r w:rsidR="00431922" w:rsidRPr="000C696D">
        <w:rPr>
          <w:rFonts w:ascii="Times New Roman" w:hAnsi="Times New Roman"/>
          <w:sz w:val="24"/>
          <w:szCs w:val="24"/>
        </w:rPr>
        <w:t xml:space="preserve"> atitikimą </w:t>
      </w:r>
      <w:r w:rsidR="00211ADB" w:rsidRPr="000C696D">
        <w:rPr>
          <w:rFonts w:ascii="Times New Roman" w:hAnsi="Times New Roman"/>
          <w:sz w:val="24"/>
          <w:szCs w:val="24"/>
        </w:rPr>
        <w:t>Apraše</w:t>
      </w:r>
      <w:r w:rsidR="00431922" w:rsidRPr="000C696D">
        <w:rPr>
          <w:rFonts w:ascii="Times New Roman" w:hAnsi="Times New Roman"/>
          <w:sz w:val="24"/>
          <w:szCs w:val="24"/>
        </w:rPr>
        <w:t xml:space="preserve"> nustatytiems </w:t>
      </w:r>
      <w:r w:rsidR="00307B9A">
        <w:rPr>
          <w:rFonts w:ascii="Times New Roman" w:hAnsi="Times New Roman"/>
          <w:sz w:val="24"/>
          <w:szCs w:val="24"/>
        </w:rPr>
        <w:t xml:space="preserve">tinkamumo </w:t>
      </w:r>
      <w:r w:rsidR="00431922" w:rsidRPr="000C696D">
        <w:rPr>
          <w:rFonts w:ascii="Times New Roman" w:hAnsi="Times New Roman"/>
          <w:sz w:val="24"/>
          <w:szCs w:val="24"/>
        </w:rPr>
        <w:t>reikalavimams.</w:t>
      </w:r>
    </w:p>
    <w:p w14:paraId="1F15E8B8" w14:textId="77777777" w:rsidR="001B308F" w:rsidRPr="000C696D" w:rsidRDefault="00B068F0"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 xml:space="preserve">Popierinėje formoje arba ne </w:t>
      </w:r>
      <w:r w:rsidR="002E5367">
        <w:rPr>
          <w:rFonts w:ascii="Times New Roman" w:hAnsi="Times New Roman"/>
          <w:sz w:val="24"/>
          <w:szCs w:val="24"/>
        </w:rPr>
        <w:t>„Invegos“</w:t>
      </w:r>
      <w:r w:rsidR="002E5367" w:rsidRPr="000C696D">
        <w:rPr>
          <w:rFonts w:ascii="Times New Roman" w:hAnsi="Times New Roman"/>
          <w:sz w:val="24"/>
          <w:szCs w:val="24"/>
        </w:rPr>
        <w:t xml:space="preserve"> </w:t>
      </w:r>
      <w:r w:rsidRPr="000C696D">
        <w:rPr>
          <w:rFonts w:ascii="Times New Roman" w:hAnsi="Times New Roman"/>
          <w:sz w:val="24"/>
          <w:szCs w:val="24"/>
        </w:rPr>
        <w:t>nurodytomis elektroninėmis priemonėmis pateikt</w:t>
      </w:r>
      <w:r w:rsidR="00DA38AB" w:rsidRPr="000C696D">
        <w:rPr>
          <w:rFonts w:ascii="Times New Roman" w:hAnsi="Times New Roman"/>
          <w:sz w:val="24"/>
          <w:szCs w:val="24"/>
        </w:rPr>
        <w:t>i prašymai</w:t>
      </w:r>
      <w:r w:rsidRPr="000C696D">
        <w:rPr>
          <w:rFonts w:ascii="Times New Roman" w:hAnsi="Times New Roman"/>
          <w:sz w:val="24"/>
          <w:szCs w:val="24"/>
        </w:rPr>
        <w:t xml:space="preserve"> nėra vertinam</w:t>
      </w:r>
      <w:r w:rsidR="00DA38AB" w:rsidRPr="000C696D">
        <w:rPr>
          <w:rFonts w:ascii="Times New Roman" w:hAnsi="Times New Roman"/>
          <w:sz w:val="24"/>
          <w:szCs w:val="24"/>
        </w:rPr>
        <w:t>i</w:t>
      </w:r>
      <w:r w:rsidRPr="000C696D">
        <w:rPr>
          <w:rFonts w:ascii="Times New Roman" w:hAnsi="Times New Roman"/>
          <w:sz w:val="24"/>
          <w:szCs w:val="24"/>
        </w:rPr>
        <w:t xml:space="preserve">. </w:t>
      </w:r>
    </w:p>
    <w:p w14:paraId="268DAC38" w14:textId="77777777" w:rsidR="00D02B9B" w:rsidRPr="000C696D" w:rsidRDefault="00DA38AB"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FT prašymas ir kita korespondencija pateikiama lietuvių kalba. Jei atitinkami dokumentai yra išduoti kita kalba, turi būti pateiktas FT ar jo įgalioto asmens parašu patvirtintas vertimas į lietuvių kalbą. Vertimas, patvirtintas FT ar jo įgalioto asmens parašu, bus laikomas tinkamu.</w:t>
      </w:r>
    </w:p>
    <w:p w14:paraId="24149DDD" w14:textId="77777777" w:rsidR="004D1A78" w:rsidRPr="000C696D" w:rsidRDefault="004D1A78"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Atitikimui Apraše nurodytiems reikalavimams pagrįsti būtina pateikti pagrindžiančius dokumentus ar informaciją, jei atitinkama informacija nėra viešai skelbiama ar prieinama (pvz., finansų įstaigos ar Lietuvos banko internetinė</w:t>
      </w:r>
      <w:r w:rsidR="002E5367">
        <w:rPr>
          <w:rFonts w:ascii="Times New Roman" w:hAnsi="Times New Roman"/>
          <w:sz w:val="24"/>
          <w:szCs w:val="24"/>
        </w:rPr>
        <w:t>je</w:t>
      </w:r>
      <w:r w:rsidRPr="000C696D">
        <w:rPr>
          <w:rFonts w:ascii="Times New Roman" w:hAnsi="Times New Roman"/>
          <w:sz w:val="24"/>
          <w:szCs w:val="24"/>
        </w:rPr>
        <w:t xml:space="preserve"> svetainė</w:t>
      </w:r>
      <w:r w:rsidR="002E5367">
        <w:rPr>
          <w:rFonts w:ascii="Times New Roman" w:hAnsi="Times New Roman"/>
          <w:sz w:val="24"/>
          <w:szCs w:val="24"/>
        </w:rPr>
        <w:t>je</w:t>
      </w:r>
      <w:r w:rsidRPr="000C696D">
        <w:rPr>
          <w:rFonts w:ascii="Times New Roman" w:hAnsi="Times New Roman"/>
          <w:sz w:val="24"/>
          <w:szCs w:val="24"/>
        </w:rPr>
        <w:t xml:space="preserve">). </w:t>
      </w:r>
    </w:p>
    <w:p w14:paraId="45F8DFA2" w14:textId="77777777" w:rsidR="00786928" w:rsidRPr="000C696D" w:rsidRDefault="00D02B9B"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 xml:space="preserve">Vienas </w:t>
      </w:r>
      <w:r w:rsidR="00786928" w:rsidRPr="000C696D">
        <w:rPr>
          <w:rFonts w:ascii="Times New Roman" w:hAnsi="Times New Roman"/>
          <w:sz w:val="24"/>
          <w:szCs w:val="24"/>
        </w:rPr>
        <w:t xml:space="preserve">FT gali pateikti tik vieną </w:t>
      </w:r>
      <w:r w:rsidR="007B6AD5" w:rsidRPr="000C696D">
        <w:rPr>
          <w:rFonts w:ascii="Times New Roman" w:hAnsi="Times New Roman"/>
          <w:sz w:val="24"/>
          <w:szCs w:val="24"/>
        </w:rPr>
        <w:t>prašymą</w:t>
      </w:r>
      <w:r w:rsidR="00307B9A">
        <w:rPr>
          <w:rFonts w:ascii="Times New Roman" w:hAnsi="Times New Roman"/>
          <w:sz w:val="24"/>
          <w:szCs w:val="24"/>
        </w:rPr>
        <w:t xml:space="preserve"> dėl Sutarties sudarymo. </w:t>
      </w:r>
    </w:p>
    <w:p w14:paraId="77A8141A" w14:textId="77777777" w:rsidR="00786928" w:rsidRPr="000C696D" w:rsidRDefault="00786928"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lastRenderedPageBreak/>
        <w:t xml:space="preserve">FT pasiūlyme turi nurodyti, kokia </w:t>
      </w:r>
      <w:r w:rsidR="001B7D40" w:rsidRPr="000C696D">
        <w:rPr>
          <w:rFonts w:ascii="Times New Roman" w:hAnsi="Times New Roman"/>
          <w:sz w:val="24"/>
          <w:szCs w:val="24"/>
        </w:rPr>
        <w:t xml:space="preserve">prašyme </w:t>
      </w:r>
      <w:r w:rsidRPr="000C696D">
        <w:rPr>
          <w:rFonts w:ascii="Times New Roman" w:hAnsi="Times New Roman"/>
          <w:sz w:val="24"/>
          <w:szCs w:val="24"/>
        </w:rPr>
        <w:t xml:space="preserve">pateikta informacija yra konfidenciali. </w:t>
      </w:r>
      <w:r w:rsidR="00C3281F">
        <w:rPr>
          <w:rFonts w:ascii="Times New Roman" w:hAnsi="Times New Roman"/>
          <w:sz w:val="24"/>
          <w:szCs w:val="24"/>
        </w:rPr>
        <w:t>„</w:t>
      </w:r>
      <w:r w:rsidR="002E5367">
        <w:rPr>
          <w:rFonts w:ascii="Times New Roman" w:hAnsi="Times New Roman"/>
          <w:sz w:val="24"/>
          <w:szCs w:val="24"/>
        </w:rPr>
        <w:t>Invega“</w:t>
      </w:r>
      <w:r w:rsidRPr="000C696D">
        <w:rPr>
          <w:rFonts w:ascii="Times New Roman" w:hAnsi="Times New Roman"/>
          <w:sz w:val="24"/>
          <w:szCs w:val="24"/>
        </w:rPr>
        <w:t xml:space="preserve">, </w:t>
      </w:r>
      <w:r w:rsidR="002E5367">
        <w:rPr>
          <w:rFonts w:ascii="Times New Roman" w:hAnsi="Times New Roman"/>
          <w:sz w:val="24"/>
          <w:szCs w:val="24"/>
        </w:rPr>
        <w:t>„Invegos“</w:t>
      </w:r>
      <w:r w:rsidR="002E5367" w:rsidRPr="000C696D">
        <w:rPr>
          <w:rFonts w:ascii="Times New Roman" w:hAnsi="Times New Roman"/>
          <w:sz w:val="24"/>
          <w:szCs w:val="24"/>
        </w:rPr>
        <w:t xml:space="preserve"> </w:t>
      </w:r>
      <w:r w:rsidR="00FF5DF5" w:rsidRPr="000C696D">
        <w:rPr>
          <w:rFonts w:ascii="Times New Roman" w:hAnsi="Times New Roman"/>
          <w:sz w:val="24"/>
          <w:szCs w:val="24"/>
        </w:rPr>
        <w:t>vertinimo</w:t>
      </w:r>
      <w:r w:rsidRPr="000C696D">
        <w:rPr>
          <w:rFonts w:ascii="Times New Roman" w:hAnsi="Times New Roman"/>
          <w:sz w:val="24"/>
          <w:szCs w:val="24"/>
        </w:rPr>
        <w:t xml:space="preserve"> komisija (toliau – vadinama Komisija), jos nariai ar ekspertai ir kiti asmenys negali atskleisti FT pateiktos informacijos, kurią FT nurodė kaip konfidencialią</w:t>
      </w:r>
      <w:r w:rsidR="00D374BF">
        <w:rPr>
          <w:rFonts w:ascii="Times New Roman" w:hAnsi="Times New Roman"/>
          <w:sz w:val="24"/>
          <w:szCs w:val="24"/>
        </w:rPr>
        <w:t>, išskyrus kai tokia informacija laikoma nekonfidencialia pagal Lietuvos Respublikos teisės aktus</w:t>
      </w:r>
      <w:r w:rsidRPr="000C696D">
        <w:rPr>
          <w:rFonts w:ascii="Times New Roman" w:hAnsi="Times New Roman"/>
          <w:sz w:val="24"/>
          <w:szCs w:val="24"/>
        </w:rPr>
        <w:t xml:space="preserve">. </w:t>
      </w:r>
    </w:p>
    <w:p w14:paraId="061829E0" w14:textId="5BBB34CF" w:rsidR="000D16D4" w:rsidRPr="000C696D" w:rsidRDefault="000D16D4"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D16D4">
        <w:rPr>
          <w:rFonts w:ascii="Times New Roman" w:hAnsi="Times New Roman"/>
          <w:sz w:val="24"/>
          <w:szCs w:val="24"/>
        </w:rPr>
        <w:t>Visus dokumentus,</w:t>
      </w:r>
      <w:r>
        <w:rPr>
          <w:rFonts w:ascii="Times New Roman" w:hAnsi="Times New Roman"/>
          <w:sz w:val="24"/>
          <w:szCs w:val="24"/>
        </w:rPr>
        <w:t xml:space="preserve"> tvarkas ir metodikas,</w:t>
      </w:r>
      <w:r w:rsidRPr="000D16D4">
        <w:rPr>
          <w:rFonts w:ascii="Times New Roman" w:hAnsi="Times New Roman"/>
          <w:sz w:val="24"/>
          <w:szCs w:val="24"/>
        </w:rPr>
        <w:t xml:space="preserve"> kurių turėjimą ir atitikimą teisės aktų reikalavima</w:t>
      </w:r>
      <w:r w:rsidR="008D449D">
        <w:rPr>
          <w:rFonts w:ascii="Times New Roman" w:hAnsi="Times New Roman"/>
          <w:sz w:val="24"/>
          <w:szCs w:val="24"/>
        </w:rPr>
        <w:t>m</w:t>
      </w:r>
      <w:r w:rsidRPr="000D16D4">
        <w:rPr>
          <w:rFonts w:ascii="Times New Roman" w:hAnsi="Times New Roman"/>
          <w:sz w:val="24"/>
          <w:szCs w:val="24"/>
        </w:rPr>
        <w:t>s prašoma patvirtinti</w:t>
      </w:r>
      <w:r>
        <w:rPr>
          <w:rFonts w:ascii="Times New Roman" w:hAnsi="Times New Roman"/>
          <w:sz w:val="24"/>
          <w:szCs w:val="24"/>
        </w:rPr>
        <w:t xml:space="preserve"> teikiant prašymą</w:t>
      </w:r>
      <w:r w:rsidR="005B1796">
        <w:rPr>
          <w:rFonts w:ascii="Times New Roman" w:hAnsi="Times New Roman"/>
          <w:sz w:val="24"/>
          <w:szCs w:val="24"/>
        </w:rPr>
        <w:t>,</w:t>
      </w:r>
      <w:r w:rsidRPr="000D16D4">
        <w:rPr>
          <w:rFonts w:ascii="Times New Roman" w:hAnsi="Times New Roman"/>
          <w:sz w:val="24"/>
          <w:szCs w:val="24"/>
        </w:rPr>
        <w:t xml:space="preserve"> FT įsipareigoja pate</w:t>
      </w:r>
      <w:r w:rsidR="00F22BBB">
        <w:rPr>
          <w:rFonts w:ascii="Times New Roman" w:hAnsi="Times New Roman"/>
          <w:sz w:val="24"/>
          <w:szCs w:val="24"/>
        </w:rPr>
        <w:t>i</w:t>
      </w:r>
      <w:r w:rsidRPr="000D16D4">
        <w:rPr>
          <w:rFonts w:ascii="Times New Roman" w:hAnsi="Times New Roman"/>
          <w:sz w:val="24"/>
          <w:szCs w:val="24"/>
        </w:rPr>
        <w:t>kti „</w:t>
      </w:r>
      <w:r w:rsidR="00384AC7">
        <w:rPr>
          <w:rFonts w:ascii="Times New Roman" w:hAnsi="Times New Roman"/>
          <w:sz w:val="24"/>
          <w:szCs w:val="24"/>
        </w:rPr>
        <w:t>Invega</w:t>
      </w:r>
      <w:r w:rsidR="002E5367">
        <w:rPr>
          <w:rFonts w:ascii="Times New Roman" w:hAnsi="Times New Roman"/>
          <w:sz w:val="24"/>
          <w:szCs w:val="24"/>
        </w:rPr>
        <w:t>i</w:t>
      </w:r>
      <w:r w:rsidR="00384AC7">
        <w:rPr>
          <w:rFonts w:ascii="Times New Roman" w:hAnsi="Times New Roman"/>
          <w:sz w:val="24"/>
          <w:szCs w:val="24"/>
        </w:rPr>
        <w:t>“</w:t>
      </w:r>
      <w:r w:rsidRPr="000D16D4">
        <w:rPr>
          <w:rFonts w:ascii="Times New Roman" w:hAnsi="Times New Roman"/>
          <w:sz w:val="24"/>
          <w:szCs w:val="24"/>
        </w:rPr>
        <w:t xml:space="preserve"> ar kitoms audito institucijoms </w:t>
      </w:r>
      <w:r w:rsidR="008D449D">
        <w:rPr>
          <w:rFonts w:ascii="Times New Roman" w:hAnsi="Times New Roman"/>
          <w:sz w:val="24"/>
          <w:szCs w:val="24"/>
        </w:rPr>
        <w:t>S</w:t>
      </w:r>
      <w:r w:rsidRPr="000D16D4">
        <w:rPr>
          <w:rFonts w:ascii="Times New Roman" w:hAnsi="Times New Roman"/>
          <w:sz w:val="24"/>
          <w:szCs w:val="24"/>
        </w:rPr>
        <w:t>utartyje numatyta tvarka</w:t>
      </w:r>
      <w:r>
        <w:rPr>
          <w:rFonts w:ascii="Times New Roman" w:hAnsi="Times New Roman"/>
          <w:sz w:val="24"/>
          <w:szCs w:val="24"/>
        </w:rPr>
        <w:t xml:space="preserve"> bet kuriuo metu</w:t>
      </w:r>
      <w:r w:rsidRPr="000D16D4">
        <w:rPr>
          <w:rFonts w:ascii="Times New Roman" w:hAnsi="Times New Roman"/>
          <w:sz w:val="24"/>
          <w:szCs w:val="24"/>
        </w:rPr>
        <w:t>.</w:t>
      </w:r>
    </w:p>
    <w:p w14:paraId="680B36BC" w14:textId="77777777" w:rsidR="00773CA5" w:rsidRPr="00786928" w:rsidRDefault="00773CA5" w:rsidP="003D395D">
      <w:pPr>
        <w:autoSpaceDE w:val="0"/>
        <w:autoSpaceDN w:val="0"/>
        <w:adjustRightInd w:val="0"/>
        <w:spacing w:after="0" w:line="240" w:lineRule="auto"/>
        <w:ind w:firstLine="360"/>
        <w:jc w:val="both"/>
        <w:rPr>
          <w:rFonts w:ascii="Times New Roman" w:hAnsi="Times New Roman"/>
          <w:sz w:val="24"/>
          <w:szCs w:val="24"/>
        </w:rPr>
      </w:pPr>
    </w:p>
    <w:p w14:paraId="113FCBA0" w14:textId="77777777" w:rsidR="0081125E" w:rsidRPr="001B7D40" w:rsidRDefault="00773CA5" w:rsidP="003D395D">
      <w:pPr>
        <w:pStyle w:val="ListParagraph"/>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1B7D40">
        <w:rPr>
          <w:rFonts w:ascii="Times New Roman" w:hAnsi="Times New Roman"/>
          <w:b/>
          <w:bCs/>
          <w:sz w:val="24"/>
          <w:szCs w:val="24"/>
        </w:rPr>
        <w:t>PRAŠYMŲ VERTINIMAS</w:t>
      </w:r>
    </w:p>
    <w:p w14:paraId="5773803B" w14:textId="77777777" w:rsidR="00C03AB7" w:rsidRDefault="00C03AB7" w:rsidP="003D395D">
      <w:pPr>
        <w:tabs>
          <w:tab w:val="left" w:pos="851"/>
        </w:tabs>
        <w:autoSpaceDE w:val="0"/>
        <w:autoSpaceDN w:val="0"/>
        <w:adjustRightInd w:val="0"/>
        <w:spacing w:after="0" w:line="240" w:lineRule="auto"/>
        <w:ind w:firstLine="360"/>
        <w:jc w:val="both"/>
        <w:rPr>
          <w:rFonts w:ascii="Times New Roman" w:hAnsi="Times New Roman"/>
          <w:sz w:val="24"/>
          <w:szCs w:val="24"/>
        </w:rPr>
      </w:pPr>
    </w:p>
    <w:p w14:paraId="050B3FBD" w14:textId="77777777" w:rsidR="0013426E" w:rsidRPr="00EB7004" w:rsidRDefault="00773CA5"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 xml:space="preserve">FT </w:t>
      </w:r>
      <w:r w:rsidR="0081125E" w:rsidRPr="00EB7004">
        <w:rPr>
          <w:rFonts w:ascii="Times New Roman" w:hAnsi="Times New Roman"/>
          <w:sz w:val="24"/>
          <w:szCs w:val="24"/>
        </w:rPr>
        <w:t xml:space="preserve">prašymai </w:t>
      </w:r>
      <w:r w:rsidRPr="00EB7004">
        <w:rPr>
          <w:rFonts w:ascii="Times New Roman" w:hAnsi="Times New Roman"/>
          <w:sz w:val="24"/>
          <w:szCs w:val="24"/>
        </w:rPr>
        <w:t xml:space="preserve">vertinami vadovaujantis lygiateisiškumo, nediskriminavimo, skaidrumo, abipusio pripažinimo ir proporcingumo principais bei laikantis konfidencialumo ir nešališkumo reikalavimų. </w:t>
      </w:r>
      <w:r w:rsidR="0013426E" w:rsidRPr="00EB7004">
        <w:rPr>
          <w:rFonts w:ascii="Times New Roman" w:hAnsi="Times New Roman"/>
          <w:sz w:val="24"/>
          <w:szCs w:val="24"/>
        </w:rPr>
        <w:t xml:space="preserve">Priimant sprendimus dėl </w:t>
      </w:r>
      <w:r w:rsidR="001D6F62" w:rsidRPr="00EB7004">
        <w:rPr>
          <w:rFonts w:ascii="Times New Roman" w:hAnsi="Times New Roman"/>
          <w:sz w:val="24"/>
          <w:szCs w:val="24"/>
        </w:rPr>
        <w:t>Aprašo</w:t>
      </w:r>
      <w:r w:rsidR="0013426E" w:rsidRPr="00EB7004">
        <w:rPr>
          <w:rFonts w:ascii="Times New Roman" w:hAnsi="Times New Roman"/>
          <w:sz w:val="24"/>
          <w:szCs w:val="24"/>
        </w:rPr>
        <w:t xml:space="preserve"> sąlygų ir jas aiškinant vadovaujamasi racionalumo principu.</w:t>
      </w:r>
    </w:p>
    <w:p w14:paraId="1B98E325" w14:textId="77777777" w:rsidR="00650E83" w:rsidRPr="00EB7004" w:rsidRDefault="00650E83"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 xml:space="preserve">Prašymai vertinami </w:t>
      </w:r>
      <w:r w:rsidR="00105EAB" w:rsidRPr="00EB7004">
        <w:rPr>
          <w:rFonts w:ascii="Times New Roman" w:hAnsi="Times New Roman"/>
          <w:sz w:val="24"/>
          <w:szCs w:val="24"/>
        </w:rPr>
        <w:t>eiliškumo</w:t>
      </w:r>
      <w:r w:rsidR="00571BCF" w:rsidRPr="00EB7004">
        <w:rPr>
          <w:rFonts w:ascii="Times New Roman" w:hAnsi="Times New Roman"/>
          <w:sz w:val="24"/>
          <w:szCs w:val="24"/>
        </w:rPr>
        <w:t xml:space="preserve"> tvarka </w:t>
      </w:r>
      <w:r w:rsidRPr="00EB7004">
        <w:rPr>
          <w:rFonts w:ascii="Times New Roman" w:hAnsi="Times New Roman"/>
          <w:sz w:val="24"/>
          <w:szCs w:val="24"/>
        </w:rPr>
        <w:t xml:space="preserve">pagal jų gavimo </w:t>
      </w:r>
      <w:r w:rsidR="002E5367">
        <w:rPr>
          <w:rFonts w:ascii="Times New Roman" w:hAnsi="Times New Roman"/>
          <w:sz w:val="24"/>
          <w:szCs w:val="24"/>
        </w:rPr>
        <w:t>„Invegoje“</w:t>
      </w:r>
      <w:r w:rsidR="002E5367" w:rsidRPr="00EB7004">
        <w:rPr>
          <w:rFonts w:ascii="Times New Roman" w:hAnsi="Times New Roman"/>
          <w:sz w:val="24"/>
          <w:szCs w:val="24"/>
        </w:rPr>
        <w:t xml:space="preserve"> </w:t>
      </w:r>
      <w:r w:rsidRPr="00EB7004">
        <w:rPr>
          <w:rFonts w:ascii="Times New Roman" w:hAnsi="Times New Roman"/>
          <w:sz w:val="24"/>
          <w:szCs w:val="24"/>
        </w:rPr>
        <w:t>datą ir laiką</w:t>
      </w:r>
      <w:r w:rsidR="00571BCF" w:rsidRPr="00EB7004">
        <w:rPr>
          <w:rFonts w:ascii="Times New Roman" w:hAnsi="Times New Roman"/>
          <w:sz w:val="24"/>
          <w:szCs w:val="24"/>
        </w:rPr>
        <w:t>.</w:t>
      </w:r>
    </w:p>
    <w:p w14:paraId="534EBFBB" w14:textId="77777777" w:rsidR="004F4430" w:rsidRDefault="007A4114"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Pra</w:t>
      </w:r>
      <w:r w:rsidR="004F4430" w:rsidRPr="00EB7004">
        <w:rPr>
          <w:rFonts w:ascii="Times New Roman" w:hAnsi="Times New Roman"/>
          <w:sz w:val="24"/>
          <w:szCs w:val="24"/>
        </w:rPr>
        <w:t xml:space="preserve">šymas turi būti įvertintas per </w:t>
      </w:r>
      <w:r w:rsidR="00676ED6" w:rsidRPr="00676ED6">
        <w:rPr>
          <w:rFonts w:ascii="Times New Roman" w:hAnsi="Times New Roman"/>
          <w:sz w:val="24"/>
          <w:szCs w:val="24"/>
        </w:rPr>
        <w:t>5</w:t>
      </w:r>
      <w:r w:rsidR="004F4430" w:rsidRPr="00EB7004">
        <w:rPr>
          <w:rFonts w:ascii="Times New Roman" w:hAnsi="Times New Roman"/>
          <w:sz w:val="24"/>
          <w:szCs w:val="24"/>
        </w:rPr>
        <w:t xml:space="preserve"> darbo dien</w:t>
      </w:r>
      <w:r w:rsidR="00676ED6">
        <w:rPr>
          <w:rFonts w:ascii="Times New Roman" w:hAnsi="Times New Roman"/>
          <w:sz w:val="24"/>
          <w:szCs w:val="24"/>
        </w:rPr>
        <w:t>as</w:t>
      </w:r>
      <w:r w:rsidR="004F4430" w:rsidRPr="00EB7004">
        <w:rPr>
          <w:rFonts w:ascii="Times New Roman" w:hAnsi="Times New Roman"/>
          <w:sz w:val="24"/>
          <w:szCs w:val="24"/>
        </w:rPr>
        <w:t xml:space="preserve"> </w:t>
      </w:r>
      <w:r w:rsidR="001B7D40" w:rsidRPr="00EB7004">
        <w:rPr>
          <w:rFonts w:ascii="Times New Roman" w:hAnsi="Times New Roman"/>
          <w:sz w:val="24"/>
          <w:szCs w:val="24"/>
        </w:rPr>
        <w:t xml:space="preserve">nuo prašymo ir visų vertinimui reikalingų tinkamai užpildytų dokumentų gavimo </w:t>
      </w:r>
      <w:bookmarkStart w:id="3" w:name="_Hlk36239824"/>
      <w:r w:rsidR="003C4866">
        <w:rPr>
          <w:rFonts w:ascii="Times New Roman" w:hAnsi="Times New Roman"/>
          <w:sz w:val="24"/>
          <w:szCs w:val="24"/>
        </w:rPr>
        <w:t>„</w:t>
      </w:r>
      <w:bookmarkEnd w:id="3"/>
      <w:r w:rsidR="003C4866">
        <w:rPr>
          <w:rFonts w:ascii="Times New Roman" w:hAnsi="Times New Roman"/>
          <w:sz w:val="24"/>
          <w:szCs w:val="24"/>
        </w:rPr>
        <w:t>Invegoje“</w:t>
      </w:r>
      <w:r w:rsidR="003C4866" w:rsidRPr="00EB7004">
        <w:rPr>
          <w:rFonts w:ascii="Times New Roman" w:hAnsi="Times New Roman"/>
          <w:sz w:val="24"/>
          <w:szCs w:val="24"/>
        </w:rPr>
        <w:t xml:space="preserve"> </w:t>
      </w:r>
      <w:r w:rsidR="001B7D40" w:rsidRPr="00EB7004">
        <w:rPr>
          <w:rFonts w:ascii="Times New Roman" w:hAnsi="Times New Roman"/>
          <w:sz w:val="24"/>
          <w:szCs w:val="24"/>
        </w:rPr>
        <w:t>dienos</w:t>
      </w:r>
      <w:r w:rsidR="004F4430" w:rsidRPr="00EB7004">
        <w:rPr>
          <w:rFonts w:ascii="Times New Roman" w:hAnsi="Times New Roman"/>
          <w:sz w:val="24"/>
          <w:szCs w:val="24"/>
        </w:rPr>
        <w:t>.</w:t>
      </w:r>
    </w:p>
    <w:p w14:paraId="0F1E591B" w14:textId="77777777" w:rsidR="00D57E23" w:rsidRPr="00EB7004" w:rsidRDefault="00D57E23"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Tai</w:t>
      </w:r>
      <w:r w:rsidR="00960949">
        <w:rPr>
          <w:rFonts w:ascii="Times New Roman" w:hAnsi="Times New Roman"/>
          <w:sz w:val="24"/>
          <w:szCs w:val="24"/>
        </w:rPr>
        <w:t>s</w:t>
      </w:r>
      <w:r>
        <w:rPr>
          <w:rFonts w:ascii="Times New Roman" w:hAnsi="Times New Roman"/>
          <w:sz w:val="24"/>
          <w:szCs w:val="24"/>
        </w:rPr>
        <w:t xml:space="preserve"> atvejais, kai FT jau yra sudaręs sutart</w:t>
      </w:r>
      <w:r w:rsidR="00960949">
        <w:rPr>
          <w:rFonts w:ascii="Times New Roman" w:hAnsi="Times New Roman"/>
          <w:sz w:val="24"/>
          <w:szCs w:val="24"/>
        </w:rPr>
        <w:t xml:space="preserve">į (-is) </w:t>
      </w:r>
      <w:r>
        <w:rPr>
          <w:rFonts w:ascii="Times New Roman" w:hAnsi="Times New Roman"/>
          <w:sz w:val="24"/>
          <w:szCs w:val="24"/>
        </w:rPr>
        <w:t xml:space="preserve">dėl </w:t>
      </w:r>
      <w:r w:rsidR="00960949">
        <w:rPr>
          <w:rFonts w:ascii="Times New Roman" w:hAnsi="Times New Roman"/>
          <w:sz w:val="24"/>
          <w:szCs w:val="24"/>
        </w:rPr>
        <w:t>veikiančių</w:t>
      </w:r>
      <w:r w:rsidR="00E61442">
        <w:rPr>
          <w:rFonts w:ascii="Times New Roman" w:hAnsi="Times New Roman"/>
          <w:sz w:val="24"/>
          <w:szCs w:val="24"/>
        </w:rPr>
        <w:t xml:space="preserve"> </w:t>
      </w:r>
      <w:r w:rsidR="00960949">
        <w:rPr>
          <w:rFonts w:ascii="Times New Roman" w:hAnsi="Times New Roman"/>
          <w:sz w:val="24"/>
          <w:szCs w:val="24"/>
        </w:rPr>
        <w:t xml:space="preserve">„Invegos“ </w:t>
      </w:r>
      <w:r>
        <w:rPr>
          <w:rFonts w:ascii="Times New Roman" w:hAnsi="Times New Roman"/>
          <w:sz w:val="24"/>
          <w:szCs w:val="24"/>
        </w:rPr>
        <w:t>finansinių priemonių įgyvendinimo</w:t>
      </w:r>
      <w:r w:rsidR="00EE7368">
        <w:rPr>
          <w:rFonts w:ascii="Times New Roman" w:hAnsi="Times New Roman"/>
          <w:sz w:val="24"/>
          <w:szCs w:val="24"/>
        </w:rPr>
        <w:t xml:space="preserve"> per 12 mėn. iki prašymo pateikimo</w:t>
      </w:r>
      <w:r>
        <w:rPr>
          <w:rFonts w:ascii="Times New Roman" w:hAnsi="Times New Roman"/>
          <w:sz w:val="24"/>
          <w:szCs w:val="24"/>
        </w:rPr>
        <w:t xml:space="preserve">, </w:t>
      </w:r>
      <w:r w:rsidR="00960949">
        <w:rPr>
          <w:rFonts w:ascii="Times New Roman" w:hAnsi="Times New Roman"/>
          <w:sz w:val="24"/>
          <w:szCs w:val="24"/>
        </w:rPr>
        <w:t>gali būti a</w:t>
      </w:r>
      <w:r>
        <w:rPr>
          <w:rFonts w:ascii="Times New Roman" w:hAnsi="Times New Roman"/>
          <w:sz w:val="24"/>
          <w:szCs w:val="24"/>
        </w:rPr>
        <w:t xml:space="preserve">tliekamas supaprastintas </w:t>
      </w:r>
      <w:r w:rsidR="00E61442">
        <w:rPr>
          <w:rFonts w:ascii="Times New Roman" w:hAnsi="Times New Roman"/>
          <w:sz w:val="24"/>
          <w:szCs w:val="24"/>
        </w:rPr>
        <w:t xml:space="preserve">FT </w:t>
      </w:r>
      <w:r>
        <w:rPr>
          <w:rFonts w:ascii="Times New Roman" w:hAnsi="Times New Roman"/>
          <w:sz w:val="24"/>
          <w:szCs w:val="24"/>
        </w:rPr>
        <w:t>vertinima</w:t>
      </w:r>
      <w:r w:rsidR="00960949">
        <w:rPr>
          <w:rFonts w:ascii="Times New Roman" w:hAnsi="Times New Roman"/>
          <w:sz w:val="24"/>
          <w:szCs w:val="24"/>
        </w:rPr>
        <w:t>s. Tokiu atveju vertinam</w:t>
      </w:r>
      <w:r w:rsidR="000A635C">
        <w:rPr>
          <w:rFonts w:ascii="Times New Roman" w:hAnsi="Times New Roman"/>
          <w:sz w:val="24"/>
          <w:szCs w:val="24"/>
        </w:rPr>
        <w:t>i</w:t>
      </w:r>
      <w:r w:rsidR="002E5B78">
        <w:rPr>
          <w:rFonts w:ascii="Times New Roman" w:hAnsi="Times New Roman"/>
          <w:sz w:val="24"/>
          <w:szCs w:val="24"/>
        </w:rPr>
        <w:t xml:space="preserve"> tik </w:t>
      </w:r>
      <w:r>
        <w:rPr>
          <w:rFonts w:ascii="Times New Roman" w:hAnsi="Times New Roman"/>
          <w:sz w:val="24"/>
          <w:szCs w:val="24"/>
        </w:rPr>
        <w:t>su PGF2 įgyvendinimu susij</w:t>
      </w:r>
      <w:r w:rsidR="002E5B78">
        <w:rPr>
          <w:rFonts w:ascii="Times New Roman" w:hAnsi="Times New Roman"/>
          <w:sz w:val="24"/>
          <w:szCs w:val="24"/>
        </w:rPr>
        <w:t>ę</w:t>
      </w:r>
      <w:r>
        <w:rPr>
          <w:rFonts w:ascii="Times New Roman" w:hAnsi="Times New Roman"/>
          <w:sz w:val="24"/>
          <w:szCs w:val="24"/>
        </w:rPr>
        <w:t xml:space="preserve"> </w:t>
      </w:r>
      <w:r w:rsidR="00E51F59">
        <w:rPr>
          <w:rFonts w:ascii="Times New Roman" w:hAnsi="Times New Roman"/>
          <w:sz w:val="24"/>
          <w:szCs w:val="24"/>
        </w:rPr>
        <w:t>dokument</w:t>
      </w:r>
      <w:r w:rsidR="002E5B78">
        <w:rPr>
          <w:rFonts w:ascii="Times New Roman" w:hAnsi="Times New Roman"/>
          <w:sz w:val="24"/>
          <w:szCs w:val="24"/>
        </w:rPr>
        <w:t>ai</w:t>
      </w:r>
      <w:r>
        <w:rPr>
          <w:rFonts w:ascii="Times New Roman" w:hAnsi="Times New Roman"/>
          <w:sz w:val="24"/>
          <w:szCs w:val="24"/>
        </w:rPr>
        <w:t xml:space="preserve"> ir </w:t>
      </w:r>
      <w:r w:rsidR="00E51F59">
        <w:rPr>
          <w:rFonts w:ascii="Times New Roman" w:hAnsi="Times New Roman"/>
          <w:sz w:val="24"/>
          <w:szCs w:val="24"/>
        </w:rPr>
        <w:t>informacij</w:t>
      </w:r>
      <w:r w:rsidR="002E5B78">
        <w:rPr>
          <w:rFonts w:ascii="Times New Roman" w:hAnsi="Times New Roman"/>
          <w:sz w:val="24"/>
          <w:szCs w:val="24"/>
        </w:rPr>
        <w:t>a</w:t>
      </w:r>
      <w:r w:rsidR="00EE7368">
        <w:rPr>
          <w:rFonts w:ascii="Times New Roman" w:hAnsi="Times New Roman"/>
          <w:sz w:val="24"/>
          <w:szCs w:val="24"/>
        </w:rPr>
        <w:t>, o FT turi pateikti patvirtinimą, kad tinkamumo reikalavimų duomenys ir informacija nuo pr</w:t>
      </w:r>
      <w:r w:rsidR="00676ED6">
        <w:rPr>
          <w:rFonts w:ascii="Times New Roman" w:hAnsi="Times New Roman"/>
          <w:sz w:val="24"/>
          <w:szCs w:val="24"/>
        </w:rPr>
        <w:t>a</w:t>
      </w:r>
      <w:r w:rsidR="00EE7368">
        <w:rPr>
          <w:rFonts w:ascii="Times New Roman" w:hAnsi="Times New Roman"/>
          <w:sz w:val="24"/>
          <w:szCs w:val="24"/>
        </w:rPr>
        <w:t>ėjusio FT vertinimo nepasikeitė</w:t>
      </w:r>
      <w:r w:rsidR="00E61442">
        <w:rPr>
          <w:rFonts w:ascii="Times New Roman" w:hAnsi="Times New Roman"/>
          <w:sz w:val="24"/>
          <w:szCs w:val="24"/>
        </w:rPr>
        <w:t>.</w:t>
      </w:r>
      <w:r w:rsidR="00FA7E20">
        <w:rPr>
          <w:rFonts w:ascii="Times New Roman" w:hAnsi="Times New Roman"/>
          <w:sz w:val="24"/>
          <w:szCs w:val="24"/>
        </w:rPr>
        <w:t xml:space="preserve"> </w:t>
      </w:r>
      <w:r w:rsidR="002E5B78">
        <w:rPr>
          <w:rFonts w:ascii="Times New Roman" w:hAnsi="Times New Roman"/>
          <w:sz w:val="24"/>
          <w:szCs w:val="24"/>
        </w:rPr>
        <w:t>Tačiau</w:t>
      </w:r>
      <w:r w:rsidR="00EE7368">
        <w:rPr>
          <w:rFonts w:ascii="Times New Roman" w:hAnsi="Times New Roman"/>
          <w:sz w:val="24"/>
          <w:szCs w:val="24"/>
        </w:rPr>
        <w:t xml:space="preserve"> bet kokiu atveju,</w:t>
      </w:r>
      <w:r w:rsidR="002E5B78">
        <w:rPr>
          <w:rFonts w:ascii="Times New Roman" w:hAnsi="Times New Roman"/>
          <w:sz w:val="24"/>
          <w:szCs w:val="24"/>
        </w:rPr>
        <w:t xml:space="preserve"> „</w:t>
      </w:r>
      <w:r w:rsidR="00FA7E20">
        <w:rPr>
          <w:rFonts w:ascii="Times New Roman" w:hAnsi="Times New Roman"/>
          <w:sz w:val="24"/>
          <w:szCs w:val="24"/>
        </w:rPr>
        <w:t>Inveg</w:t>
      </w:r>
      <w:r w:rsidR="00EE7368">
        <w:rPr>
          <w:rFonts w:ascii="Times New Roman" w:hAnsi="Times New Roman"/>
          <w:sz w:val="24"/>
          <w:szCs w:val="24"/>
        </w:rPr>
        <w:t>a</w:t>
      </w:r>
      <w:r w:rsidR="002E5B78">
        <w:rPr>
          <w:rFonts w:ascii="Times New Roman" w:hAnsi="Times New Roman"/>
          <w:sz w:val="24"/>
          <w:szCs w:val="24"/>
        </w:rPr>
        <w:t>“</w:t>
      </w:r>
      <w:r w:rsidR="00FA7E20">
        <w:rPr>
          <w:rFonts w:ascii="Times New Roman" w:hAnsi="Times New Roman"/>
          <w:sz w:val="24"/>
          <w:szCs w:val="24"/>
        </w:rPr>
        <w:t xml:space="preserve"> </w:t>
      </w:r>
      <w:r w:rsidR="00EE7368">
        <w:rPr>
          <w:rFonts w:ascii="Times New Roman" w:hAnsi="Times New Roman"/>
          <w:sz w:val="24"/>
          <w:szCs w:val="24"/>
        </w:rPr>
        <w:t>turi teisę prašyti pate</w:t>
      </w:r>
      <w:r w:rsidR="00016EC2">
        <w:rPr>
          <w:rFonts w:ascii="Times New Roman" w:hAnsi="Times New Roman"/>
          <w:sz w:val="24"/>
          <w:szCs w:val="24"/>
        </w:rPr>
        <w:t>i</w:t>
      </w:r>
      <w:r w:rsidR="00EE7368">
        <w:rPr>
          <w:rFonts w:ascii="Times New Roman" w:hAnsi="Times New Roman"/>
          <w:sz w:val="24"/>
          <w:szCs w:val="24"/>
        </w:rPr>
        <w:t>kti visus tinkamumo reikalavimams</w:t>
      </w:r>
      <w:r w:rsidR="00676ED6">
        <w:rPr>
          <w:rFonts w:ascii="Times New Roman" w:hAnsi="Times New Roman"/>
          <w:sz w:val="24"/>
          <w:szCs w:val="24"/>
        </w:rPr>
        <w:t xml:space="preserve"> įvertinti reikalingus dokumentus</w:t>
      </w:r>
      <w:r w:rsidR="00113AAD">
        <w:rPr>
          <w:rFonts w:ascii="Times New Roman" w:hAnsi="Times New Roman"/>
          <w:sz w:val="24"/>
          <w:szCs w:val="24"/>
        </w:rPr>
        <w:t xml:space="preserve">. </w:t>
      </w:r>
    </w:p>
    <w:p w14:paraId="1A4D1111" w14:textId="77777777" w:rsidR="000D5887" w:rsidRPr="00531CBF" w:rsidRDefault="000D5887"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Pr>
          <w:rFonts w:ascii="Times New Roman" w:hAnsi="Times New Roman"/>
          <w:sz w:val="24"/>
          <w:szCs w:val="24"/>
        </w:rPr>
        <w:t xml:space="preserve"> </w:t>
      </w:r>
      <w:r w:rsidRPr="00531CBF">
        <w:rPr>
          <w:rFonts w:ascii="Times New Roman" w:hAnsi="Times New Roman"/>
          <w:sz w:val="24"/>
          <w:szCs w:val="24"/>
        </w:rPr>
        <w:t xml:space="preserve">Informacija apie </w:t>
      </w:r>
      <w:r w:rsidR="00D641FB" w:rsidRPr="00531CBF">
        <w:rPr>
          <w:rFonts w:ascii="Times New Roman" w:hAnsi="Times New Roman"/>
          <w:sz w:val="24"/>
          <w:szCs w:val="24"/>
        </w:rPr>
        <w:t xml:space="preserve">kiekvieno </w:t>
      </w:r>
      <w:r w:rsidRPr="00531CBF">
        <w:rPr>
          <w:rFonts w:ascii="Times New Roman" w:hAnsi="Times New Roman"/>
          <w:sz w:val="24"/>
          <w:szCs w:val="24"/>
        </w:rPr>
        <w:t>FT prašym</w:t>
      </w:r>
      <w:r w:rsidR="00D641FB" w:rsidRPr="00531CBF">
        <w:rPr>
          <w:rFonts w:ascii="Times New Roman" w:hAnsi="Times New Roman"/>
          <w:sz w:val="24"/>
          <w:szCs w:val="24"/>
        </w:rPr>
        <w:t>o</w:t>
      </w:r>
      <w:r w:rsidRPr="00531CBF">
        <w:rPr>
          <w:rFonts w:ascii="Times New Roman" w:hAnsi="Times New Roman"/>
          <w:sz w:val="24"/>
          <w:szCs w:val="24"/>
        </w:rPr>
        <w:t xml:space="preserve"> vertinimo statusą </w:t>
      </w:r>
      <w:r w:rsidR="00016EC2" w:rsidRPr="00531CBF">
        <w:rPr>
          <w:rFonts w:ascii="Times New Roman" w:hAnsi="Times New Roman"/>
          <w:sz w:val="24"/>
          <w:szCs w:val="24"/>
        </w:rPr>
        <w:t>ir</w:t>
      </w:r>
      <w:r w:rsidRPr="00531CBF">
        <w:rPr>
          <w:rFonts w:ascii="Times New Roman" w:hAnsi="Times New Roman"/>
          <w:sz w:val="24"/>
          <w:szCs w:val="24"/>
        </w:rPr>
        <w:t xml:space="preserve"> </w:t>
      </w:r>
      <w:r w:rsidR="00D641FB" w:rsidRPr="00531CBF">
        <w:rPr>
          <w:rFonts w:ascii="Times New Roman" w:hAnsi="Times New Roman"/>
          <w:sz w:val="24"/>
          <w:szCs w:val="24"/>
        </w:rPr>
        <w:t>S</w:t>
      </w:r>
      <w:r w:rsidRPr="00531CBF">
        <w:rPr>
          <w:rFonts w:ascii="Times New Roman" w:hAnsi="Times New Roman"/>
          <w:sz w:val="24"/>
          <w:szCs w:val="24"/>
        </w:rPr>
        <w:t>utar</w:t>
      </w:r>
      <w:r w:rsidR="00D641FB" w:rsidRPr="00531CBF">
        <w:rPr>
          <w:rFonts w:ascii="Times New Roman" w:hAnsi="Times New Roman"/>
          <w:sz w:val="24"/>
          <w:szCs w:val="24"/>
        </w:rPr>
        <w:t>ties</w:t>
      </w:r>
      <w:r w:rsidRPr="00531CBF">
        <w:rPr>
          <w:rFonts w:ascii="Times New Roman" w:hAnsi="Times New Roman"/>
          <w:sz w:val="24"/>
          <w:szCs w:val="24"/>
        </w:rPr>
        <w:t xml:space="preserve"> su FT pasirašymą pateikiama „Invegos“ interneto svetainėje.</w:t>
      </w:r>
    </w:p>
    <w:p w14:paraId="19946BC1" w14:textId="3E0E3350" w:rsidR="00937BAD" w:rsidRPr="00531CBF" w:rsidRDefault="00937BAD"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 xml:space="preserve">Tinkamumo </w:t>
      </w:r>
      <w:r w:rsidR="007A0E2B" w:rsidRPr="00531CBF">
        <w:rPr>
          <w:rFonts w:ascii="Times New Roman" w:hAnsi="Times New Roman"/>
          <w:sz w:val="24"/>
          <w:szCs w:val="24"/>
        </w:rPr>
        <w:t xml:space="preserve">reikalavimus </w:t>
      </w:r>
      <w:r w:rsidRPr="00531CBF">
        <w:rPr>
          <w:rFonts w:ascii="Times New Roman" w:hAnsi="Times New Roman"/>
          <w:sz w:val="24"/>
          <w:szCs w:val="24"/>
        </w:rPr>
        <w:t xml:space="preserve">atitinkantis FT yra raštu </w:t>
      </w:r>
      <w:bookmarkStart w:id="4" w:name="_Hlk36718661"/>
      <w:r w:rsidR="00DB0115" w:rsidRPr="00531CBF">
        <w:rPr>
          <w:rFonts w:ascii="Times New Roman" w:hAnsi="Times New Roman"/>
          <w:sz w:val="24"/>
          <w:szCs w:val="24"/>
        </w:rPr>
        <w:t>prašyme nurodytu elektroninio pašto adresu</w:t>
      </w:r>
      <w:bookmarkEnd w:id="4"/>
      <w:r w:rsidR="00DB0115" w:rsidRPr="00531CBF">
        <w:rPr>
          <w:rFonts w:ascii="Times New Roman" w:hAnsi="Times New Roman"/>
          <w:sz w:val="24"/>
          <w:szCs w:val="24"/>
        </w:rPr>
        <w:t xml:space="preserve"> </w:t>
      </w:r>
      <w:r w:rsidRPr="00531CBF">
        <w:rPr>
          <w:rFonts w:ascii="Times New Roman" w:hAnsi="Times New Roman"/>
          <w:sz w:val="24"/>
          <w:szCs w:val="24"/>
        </w:rPr>
        <w:t xml:space="preserve">informuojamas apie </w:t>
      </w:r>
      <w:r w:rsidR="001276AF" w:rsidRPr="00531CBF">
        <w:rPr>
          <w:rFonts w:ascii="Times New Roman" w:hAnsi="Times New Roman"/>
          <w:sz w:val="24"/>
          <w:szCs w:val="24"/>
        </w:rPr>
        <w:t>sprendimą</w:t>
      </w:r>
      <w:r w:rsidR="00973E97" w:rsidRPr="00531CBF">
        <w:rPr>
          <w:rFonts w:ascii="Times New Roman" w:hAnsi="Times New Roman"/>
          <w:sz w:val="24"/>
          <w:szCs w:val="24"/>
        </w:rPr>
        <w:t xml:space="preserve"> sudaryti </w:t>
      </w:r>
      <w:r w:rsidR="001B7D40" w:rsidRPr="00531CBF">
        <w:rPr>
          <w:rFonts w:ascii="Times New Roman" w:hAnsi="Times New Roman"/>
          <w:sz w:val="24"/>
          <w:szCs w:val="24"/>
        </w:rPr>
        <w:t>Sutartį</w:t>
      </w:r>
      <w:r w:rsidR="0090009B" w:rsidRPr="00531CBF">
        <w:rPr>
          <w:rFonts w:ascii="Times New Roman" w:hAnsi="Times New Roman"/>
          <w:sz w:val="24"/>
          <w:szCs w:val="24"/>
        </w:rPr>
        <w:t xml:space="preserve"> ir </w:t>
      </w:r>
      <w:r w:rsidR="001D4F06" w:rsidRPr="00531CBF">
        <w:rPr>
          <w:rFonts w:ascii="Times New Roman" w:hAnsi="Times New Roman"/>
          <w:sz w:val="24"/>
          <w:szCs w:val="24"/>
        </w:rPr>
        <w:t>jam skirtą PGF2 priemonės lėšų sumą</w:t>
      </w:r>
      <w:r w:rsidR="00F22BBB" w:rsidRPr="00531CBF">
        <w:rPr>
          <w:rFonts w:ascii="Times New Roman" w:hAnsi="Times New Roman"/>
          <w:sz w:val="24"/>
          <w:szCs w:val="24"/>
        </w:rPr>
        <w:t>.</w:t>
      </w:r>
      <w:r w:rsidR="00F85AD0" w:rsidRPr="00531CBF">
        <w:rPr>
          <w:rFonts w:ascii="Times New Roman" w:hAnsi="Times New Roman"/>
          <w:sz w:val="24"/>
          <w:szCs w:val="24"/>
        </w:rPr>
        <w:t xml:space="preserve"> </w:t>
      </w:r>
      <w:r w:rsidR="00F22BBB" w:rsidRPr="00531CBF">
        <w:rPr>
          <w:rFonts w:ascii="Times New Roman" w:hAnsi="Times New Roman"/>
          <w:sz w:val="24"/>
          <w:szCs w:val="24"/>
        </w:rPr>
        <w:t>K</w:t>
      </w:r>
      <w:r w:rsidR="0098342A" w:rsidRPr="00531CBF">
        <w:rPr>
          <w:rFonts w:ascii="Times New Roman" w:hAnsi="Times New Roman"/>
          <w:sz w:val="24"/>
          <w:szCs w:val="24"/>
        </w:rPr>
        <w:t>artu pateikiama</w:t>
      </w:r>
      <w:r w:rsidR="00F85AD0" w:rsidRPr="00531CBF">
        <w:rPr>
          <w:rFonts w:ascii="Times New Roman" w:hAnsi="Times New Roman"/>
          <w:sz w:val="24"/>
          <w:szCs w:val="24"/>
        </w:rPr>
        <w:t>s</w:t>
      </w:r>
      <w:r w:rsidR="0098342A" w:rsidRPr="00531CBF">
        <w:rPr>
          <w:rFonts w:ascii="Times New Roman" w:hAnsi="Times New Roman"/>
          <w:sz w:val="24"/>
          <w:szCs w:val="24"/>
        </w:rPr>
        <w:t xml:space="preserve"> </w:t>
      </w:r>
      <w:r w:rsidR="001B7D40" w:rsidRPr="00531CBF">
        <w:rPr>
          <w:rFonts w:ascii="Times New Roman" w:hAnsi="Times New Roman"/>
          <w:sz w:val="24"/>
          <w:szCs w:val="24"/>
        </w:rPr>
        <w:t>S</w:t>
      </w:r>
      <w:r w:rsidR="0098342A" w:rsidRPr="00531CBF">
        <w:rPr>
          <w:rFonts w:ascii="Times New Roman" w:hAnsi="Times New Roman"/>
          <w:sz w:val="24"/>
          <w:szCs w:val="24"/>
        </w:rPr>
        <w:t>utarties projektas.</w:t>
      </w:r>
    </w:p>
    <w:p w14:paraId="6DF695E4" w14:textId="2EEBDC8A" w:rsidR="004A3DE3" w:rsidRPr="00531CBF" w:rsidRDefault="008047D3"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 xml:space="preserve">Tinkamumo </w:t>
      </w:r>
      <w:r w:rsidR="007A0E2B" w:rsidRPr="00531CBF">
        <w:rPr>
          <w:rFonts w:ascii="Times New Roman" w:hAnsi="Times New Roman"/>
          <w:sz w:val="24"/>
          <w:szCs w:val="24"/>
        </w:rPr>
        <w:t xml:space="preserve">reikalavimų </w:t>
      </w:r>
      <w:r w:rsidRPr="00531CBF">
        <w:rPr>
          <w:rFonts w:ascii="Times New Roman" w:hAnsi="Times New Roman"/>
          <w:sz w:val="24"/>
          <w:szCs w:val="24"/>
        </w:rPr>
        <w:t xml:space="preserve">neatitinkantis FT </w:t>
      </w:r>
      <w:r w:rsidR="00B52574" w:rsidRPr="00531CBF">
        <w:rPr>
          <w:rFonts w:ascii="Times New Roman" w:hAnsi="Times New Roman"/>
          <w:sz w:val="24"/>
          <w:szCs w:val="24"/>
        </w:rPr>
        <w:t xml:space="preserve">arba FT, per </w:t>
      </w:r>
      <w:r w:rsidR="001F272D" w:rsidRPr="00531CBF">
        <w:rPr>
          <w:rFonts w:ascii="Times New Roman" w:hAnsi="Times New Roman"/>
          <w:sz w:val="24"/>
          <w:szCs w:val="24"/>
        </w:rPr>
        <w:t xml:space="preserve">10 </w:t>
      </w:r>
      <w:r w:rsidR="00B52574" w:rsidRPr="00531CBF">
        <w:rPr>
          <w:rFonts w:ascii="Times New Roman" w:hAnsi="Times New Roman"/>
          <w:sz w:val="24"/>
          <w:szCs w:val="24"/>
        </w:rPr>
        <w:t xml:space="preserve">darbo dienų po „Invegos“ prašymo pateikti papildomus dokumentus dėl atitikimo nustatytiems tinkamumo reikalavimams nepateikęs „Invegai“ prašomų papildomų dokumentų </w:t>
      </w:r>
      <w:r w:rsidR="00576E68" w:rsidRPr="00531CBF">
        <w:rPr>
          <w:rFonts w:ascii="Times New Roman" w:hAnsi="Times New Roman"/>
          <w:sz w:val="24"/>
          <w:szCs w:val="24"/>
        </w:rPr>
        <w:t xml:space="preserve">atitikimą </w:t>
      </w:r>
      <w:r w:rsidR="00B52574" w:rsidRPr="00531CBF">
        <w:rPr>
          <w:rFonts w:ascii="Times New Roman" w:hAnsi="Times New Roman"/>
          <w:sz w:val="24"/>
          <w:szCs w:val="24"/>
        </w:rPr>
        <w:t xml:space="preserve">tinkamumo reikalavimams pagrįsti </w:t>
      </w:r>
      <w:r w:rsidRPr="00531CBF">
        <w:rPr>
          <w:rFonts w:ascii="Times New Roman" w:hAnsi="Times New Roman"/>
          <w:sz w:val="24"/>
          <w:szCs w:val="24"/>
        </w:rPr>
        <w:t xml:space="preserve">yra raštu </w:t>
      </w:r>
      <w:r w:rsidR="00DB0115" w:rsidRPr="00531CBF">
        <w:rPr>
          <w:rFonts w:ascii="Times New Roman" w:hAnsi="Times New Roman"/>
          <w:sz w:val="24"/>
          <w:szCs w:val="24"/>
        </w:rPr>
        <w:t xml:space="preserve">prašyme nurodytu elektroninio pašto adresu </w:t>
      </w:r>
      <w:r w:rsidRPr="00531CBF">
        <w:rPr>
          <w:rFonts w:ascii="Times New Roman" w:hAnsi="Times New Roman"/>
          <w:sz w:val="24"/>
          <w:szCs w:val="24"/>
        </w:rPr>
        <w:t xml:space="preserve">informuojamas apie atsisakymą sudaryti </w:t>
      </w:r>
      <w:r w:rsidR="001B7D40" w:rsidRPr="00531CBF">
        <w:rPr>
          <w:rFonts w:ascii="Times New Roman" w:hAnsi="Times New Roman"/>
          <w:sz w:val="24"/>
          <w:szCs w:val="24"/>
        </w:rPr>
        <w:t>Sutartį</w:t>
      </w:r>
      <w:r w:rsidRPr="00531CBF">
        <w:rPr>
          <w:rFonts w:ascii="Times New Roman" w:hAnsi="Times New Roman"/>
          <w:sz w:val="24"/>
          <w:szCs w:val="24"/>
        </w:rPr>
        <w:t>.</w:t>
      </w:r>
      <w:r w:rsidR="00EE7249" w:rsidRPr="00531CBF">
        <w:rPr>
          <w:rFonts w:ascii="Times New Roman" w:hAnsi="Times New Roman"/>
          <w:sz w:val="24"/>
          <w:szCs w:val="24"/>
        </w:rPr>
        <w:t xml:space="preserve"> </w:t>
      </w:r>
    </w:p>
    <w:p w14:paraId="27E1304F" w14:textId="77777777" w:rsidR="00B52574" w:rsidRPr="00531CBF" w:rsidRDefault="00B52574"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Pateikus melagingą informaciją, kurią „Invega“ gali įrodyti bet kokiomis teisėtomis priemonėmis, FT prašymas yra atmetamas, nurodant atmetimo priežastis.</w:t>
      </w:r>
    </w:p>
    <w:p w14:paraId="67FA5066" w14:textId="673AF52B" w:rsidR="0053271E" w:rsidRPr="00531CBF" w:rsidRDefault="00BE0FD5" w:rsidP="00035106">
      <w:pPr>
        <w:pStyle w:val="ListParagraph"/>
        <w:numPr>
          <w:ilvl w:val="1"/>
          <w:numId w:val="4"/>
        </w:numPr>
        <w:tabs>
          <w:tab w:val="left" w:pos="993"/>
        </w:tabs>
        <w:ind w:left="-142" w:firstLine="568"/>
        <w:jc w:val="both"/>
        <w:rPr>
          <w:rFonts w:ascii="Times New Roman" w:hAnsi="Times New Roman"/>
          <w:sz w:val="24"/>
          <w:szCs w:val="24"/>
        </w:rPr>
      </w:pPr>
      <w:r w:rsidRPr="00531CBF">
        <w:rPr>
          <w:rFonts w:ascii="Times New Roman" w:hAnsi="Times New Roman"/>
          <w:sz w:val="24"/>
          <w:szCs w:val="24"/>
        </w:rPr>
        <w:t>Prašymų priėmimas ir vertinimas vykdomas pagal 3.2 papunktį, kol reikalavimus atitinkantiems FT paskirstomos visos PGF2 priemonei skirtos lėšos.</w:t>
      </w:r>
      <w:r w:rsidR="0053271E" w:rsidRPr="00531CBF">
        <w:rPr>
          <w:rFonts w:ascii="Times New Roman" w:hAnsi="Times New Roman"/>
          <w:sz w:val="24"/>
          <w:szCs w:val="24"/>
        </w:rPr>
        <w:t xml:space="preserve">. </w:t>
      </w:r>
    </w:p>
    <w:p w14:paraId="0F15EA18" w14:textId="77777777" w:rsidR="0053271E" w:rsidRPr="00EB7004" w:rsidRDefault="0053271E" w:rsidP="00035106">
      <w:pPr>
        <w:pStyle w:val="ListParagraph"/>
        <w:numPr>
          <w:ilvl w:val="1"/>
          <w:numId w:val="4"/>
        </w:numPr>
        <w:tabs>
          <w:tab w:val="left" w:pos="851"/>
          <w:tab w:val="left" w:pos="993"/>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Naujų prašymų priėmimas ir prašymų vertinimas stabdomas, kai paskirstomos visos</w:t>
      </w:r>
      <w:r w:rsidRPr="00EB7004">
        <w:rPr>
          <w:rFonts w:ascii="Times New Roman" w:hAnsi="Times New Roman"/>
          <w:sz w:val="24"/>
          <w:szCs w:val="24"/>
        </w:rPr>
        <w:t xml:space="preserve"> PGF2 priemonės lėšos Aprašo reikalavimus atitikusiems FT</w:t>
      </w:r>
      <w:r>
        <w:rPr>
          <w:rFonts w:ascii="Times New Roman" w:hAnsi="Times New Roman"/>
          <w:sz w:val="24"/>
          <w:szCs w:val="24"/>
        </w:rPr>
        <w:t xml:space="preserve"> ir PGF2 priemonei nėra skirta papildomų lėšų</w:t>
      </w:r>
      <w:r w:rsidRPr="00EB7004">
        <w:rPr>
          <w:rFonts w:ascii="Times New Roman" w:hAnsi="Times New Roman"/>
          <w:sz w:val="24"/>
          <w:szCs w:val="24"/>
        </w:rPr>
        <w:t>.</w:t>
      </w:r>
    </w:p>
    <w:p w14:paraId="558C769F" w14:textId="37632D25" w:rsidR="00786928" w:rsidRPr="00EB7004" w:rsidRDefault="00CF3143" w:rsidP="00035106">
      <w:pPr>
        <w:pStyle w:val="ListParagraph"/>
        <w:numPr>
          <w:ilvl w:val="1"/>
          <w:numId w:val="4"/>
        </w:numPr>
        <w:tabs>
          <w:tab w:val="left" w:pos="851"/>
          <w:tab w:val="left" w:pos="993"/>
        </w:tabs>
        <w:autoSpaceDE w:val="0"/>
        <w:autoSpaceDN w:val="0"/>
        <w:adjustRightInd w:val="0"/>
        <w:spacing w:after="0" w:line="240" w:lineRule="auto"/>
        <w:ind w:left="-142" w:firstLine="568"/>
        <w:jc w:val="both"/>
        <w:rPr>
          <w:rFonts w:ascii="Times New Roman" w:hAnsi="Times New Roman"/>
          <w:sz w:val="24"/>
          <w:szCs w:val="24"/>
        </w:rPr>
      </w:pPr>
      <w:r w:rsidRPr="00EB7004">
        <w:rPr>
          <w:rFonts w:ascii="Times New Roman" w:hAnsi="Times New Roman"/>
          <w:sz w:val="24"/>
          <w:szCs w:val="24"/>
        </w:rPr>
        <w:t>Preten</w:t>
      </w:r>
      <w:r w:rsidR="00094741" w:rsidRPr="00EB7004">
        <w:rPr>
          <w:rFonts w:ascii="Times New Roman" w:hAnsi="Times New Roman"/>
          <w:sz w:val="24"/>
          <w:szCs w:val="24"/>
        </w:rPr>
        <w:t xml:space="preserve">zijos </w:t>
      </w:r>
      <w:r w:rsidR="005E7AA1" w:rsidRPr="00EB7004">
        <w:rPr>
          <w:rFonts w:ascii="Times New Roman" w:hAnsi="Times New Roman"/>
          <w:sz w:val="24"/>
          <w:szCs w:val="24"/>
        </w:rPr>
        <w:t xml:space="preserve">dėl </w:t>
      </w:r>
      <w:r w:rsidR="001E2D60" w:rsidRPr="00EB7004">
        <w:rPr>
          <w:rFonts w:ascii="Times New Roman" w:hAnsi="Times New Roman"/>
          <w:sz w:val="24"/>
          <w:szCs w:val="24"/>
        </w:rPr>
        <w:t xml:space="preserve">priimtų sprendimų teikiamos </w:t>
      </w:r>
      <w:r w:rsidR="004679BA">
        <w:rPr>
          <w:rFonts w:ascii="Times New Roman" w:hAnsi="Times New Roman"/>
          <w:sz w:val="24"/>
          <w:szCs w:val="24"/>
        </w:rPr>
        <w:t>„</w:t>
      </w:r>
      <w:r w:rsidR="003C4866">
        <w:rPr>
          <w:rFonts w:ascii="Times New Roman" w:hAnsi="Times New Roman"/>
          <w:sz w:val="24"/>
          <w:szCs w:val="24"/>
        </w:rPr>
        <w:t>Invegai“</w:t>
      </w:r>
      <w:r w:rsidR="001E2D60" w:rsidRPr="00EB7004">
        <w:rPr>
          <w:rFonts w:ascii="Times New Roman" w:hAnsi="Times New Roman"/>
          <w:sz w:val="24"/>
          <w:szCs w:val="24"/>
        </w:rPr>
        <w:t>, kuri pretenzij</w:t>
      </w:r>
      <w:r w:rsidR="005C71E8" w:rsidRPr="00EB7004">
        <w:rPr>
          <w:rFonts w:ascii="Times New Roman" w:hAnsi="Times New Roman"/>
          <w:sz w:val="24"/>
          <w:szCs w:val="24"/>
        </w:rPr>
        <w:t>ą</w:t>
      </w:r>
      <w:r w:rsidR="001E2D60" w:rsidRPr="00EB7004">
        <w:rPr>
          <w:rFonts w:ascii="Times New Roman" w:hAnsi="Times New Roman"/>
          <w:sz w:val="24"/>
          <w:szCs w:val="24"/>
        </w:rPr>
        <w:t xml:space="preserve"> </w:t>
      </w:r>
      <w:r w:rsidR="00286A8C" w:rsidRPr="00EB7004">
        <w:rPr>
          <w:rFonts w:ascii="Times New Roman" w:hAnsi="Times New Roman"/>
          <w:sz w:val="24"/>
          <w:szCs w:val="24"/>
        </w:rPr>
        <w:t>išnagrinėja</w:t>
      </w:r>
      <w:r w:rsidR="001E2D60" w:rsidRPr="00EB7004">
        <w:rPr>
          <w:rFonts w:ascii="Times New Roman" w:hAnsi="Times New Roman"/>
          <w:sz w:val="24"/>
          <w:szCs w:val="24"/>
        </w:rPr>
        <w:t xml:space="preserve"> </w:t>
      </w:r>
      <w:r w:rsidR="00286A8C" w:rsidRPr="00EB7004">
        <w:rPr>
          <w:rFonts w:ascii="Times New Roman" w:hAnsi="Times New Roman"/>
          <w:sz w:val="24"/>
          <w:szCs w:val="24"/>
        </w:rPr>
        <w:t xml:space="preserve">ne vėliau, kaip per </w:t>
      </w:r>
      <w:r w:rsidR="005C71E8" w:rsidRPr="00EB7004">
        <w:rPr>
          <w:rFonts w:ascii="Times New Roman" w:hAnsi="Times New Roman"/>
          <w:sz w:val="24"/>
          <w:szCs w:val="24"/>
        </w:rPr>
        <w:t>20</w:t>
      </w:r>
      <w:r w:rsidR="00286A8C" w:rsidRPr="00EB7004">
        <w:rPr>
          <w:rFonts w:ascii="Times New Roman" w:hAnsi="Times New Roman"/>
          <w:sz w:val="24"/>
          <w:szCs w:val="24"/>
        </w:rPr>
        <w:t xml:space="preserve"> darbo dienų.</w:t>
      </w:r>
      <w:r w:rsidR="00D82B01" w:rsidRPr="00EB7004">
        <w:rPr>
          <w:rFonts w:ascii="Times New Roman" w:hAnsi="Times New Roman"/>
          <w:sz w:val="24"/>
          <w:szCs w:val="24"/>
        </w:rPr>
        <w:t xml:space="preserve"> </w:t>
      </w:r>
      <w:r w:rsidR="0096641C">
        <w:rPr>
          <w:rFonts w:ascii="Times New Roman" w:hAnsi="Times New Roman"/>
          <w:sz w:val="24"/>
          <w:szCs w:val="24"/>
        </w:rPr>
        <w:t>„Invegos“</w:t>
      </w:r>
      <w:r w:rsidR="00962B93">
        <w:rPr>
          <w:rFonts w:ascii="Times New Roman" w:hAnsi="Times New Roman"/>
          <w:sz w:val="24"/>
          <w:szCs w:val="24"/>
        </w:rPr>
        <w:t xml:space="preserve"> </w:t>
      </w:r>
      <w:r w:rsidR="00850A5E" w:rsidRPr="00EB7004">
        <w:rPr>
          <w:rFonts w:ascii="Times New Roman" w:hAnsi="Times New Roman"/>
          <w:sz w:val="24"/>
          <w:szCs w:val="24"/>
        </w:rPr>
        <w:t>veiksmai ar sprendimai</w:t>
      </w:r>
      <w:r w:rsidR="00BF2499" w:rsidRPr="00EB7004">
        <w:rPr>
          <w:rFonts w:ascii="Times New Roman" w:hAnsi="Times New Roman"/>
          <w:sz w:val="24"/>
          <w:szCs w:val="24"/>
        </w:rPr>
        <w:t xml:space="preserve"> </w:t>
      </w:r>
      <w:r w:rsidR="003E5FC0" w:rsidRPr="00EB7004">
        <w:rPr>
          <w:rFonts w:ascii="Times New Roman" w:hAnsi="Times New Roman"/>
          <w:sz w:val="24"/>
          <w:szCs w:val="24"/>
        </w:rPr>
        <w:t xml:space="preserve">gali būti skundžiami </w:t>
      </w:r>
      <w:r w:rsidR="00850A5E" w:rsidRPr="00EB7004">
        <w:rPr>
          <w:rFonts w:ascii="Times New Roman" w:hAnsi="Times New Roman"/>
          <w:sz w:val="24"/>
          <w:szCs w:val="24"/>
        </w:rPr>
        <w:t xml:space="preserve">Lietuvos Respublikos </w:t>
      </w:r>
      <w:r w:rsidR="00D82B01" w:rsidRPr="00EB7004">
        <w:rPr>
          <w:rFonts w:ascii="Times New Roman" w:hAnsi="Times New Roman"/>
          <w:sz w:val="24"/>
          <w:szCs w:val="24"/>
        </w:rPr>
        <w:t>įstatymų nustatyta tvarka.</w:t>
      </w:r>
    </w:p>
    <w:p w14:paraId="08AFA2FB" w14:textId="77777777" w:rsidR="00D82B01" w:rsidRPr="00786928" w:rsidRDefault="00D82B01" w:rsidP="00EB7004">
      <w:pPr>
        <w:autoSpaceDE w:val="0"/>
        <w:autoSpaceDN w:val="0"/>
        <w:adjustRightInd w:val="0"/>
        <w:spacing w:after="0" w:line="240" w:lineRule="auto"/>
        <w:ind w:left="-142" w:firstLine="568"/>
        <w:jc w:val="both"/>
        <w:rPr>
          <w:rFonts w:ascii="Times New Roman" w:hAnsi="Times New Roman"/>
          <w:sz w:val="24"/>
          <w:szCs w:val="24"/>
        </w:rPr>
      </w:pPr>
    </w:p>
    <w:p w14:paraId="550C3C44" w14:textId="77777777" w:rsidR="003A479B" w:rsidRDefault="007A0E2B"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rPr>
        <w:t xml:space="preserve">TINKAMUMO </w:t>
      </w:r>
      <w:r w:rsidR="00266D32" w:rsidRPr="005C71E8">
        <w:rPr>
          <w:rFonts w:ascii="Times New Roman" w:hAnsi="Times New Roman"/>
          <w:b/>
          <w:bCs/>
          <w:sz w:val="24"/>
          <w:szCs w:val="24"/>
        </w:rPr>
        <w:t xml:space="preserve">REIKALAVIMAI </w:t>
      </w:r>
    </w:p>
    <w:p w14:paraId="5170E8AD" w14:textId="77777777" w:rsidR="001E73A9" w:rsidRPr="005C71E8" w:rsidRDefault="001E73A9" w:rsidP="001E73A9">
      <w:pPr>
        <w:pStyle w:val="ListParagraph"/>
        <w:autoSpaceDE w:val="0"/>
        <w:autoSpaceDN w:val="0"/>
        <w:adjustRightInd w:val="0"/>
        <w:spacing w:after="0" w:line="240" w:lineRule="auto"/>
        <w:ind w:left="1211"/>
        <w:rPr>
          <w:rFonts w:ascii="Times New Roman" w:hAnsi="Times New Roman"/>
          <w:b/>
          <w:bCs/>
          <w:sz w:val="24"/>
          <w:szCs w:val="24"/>
        </w:rPr>
      </w:pPr>
    </w:p>
    <w:p w14:paraId="739B04DE" w14:textId="77777777" w:rsidR="00FF7511" w:rsidRDefault="00EB7004" w:rsidP="00EB7004">
      <w:pPr>
        <w:tabs>
          <w:tab w:val="left" w:pos="709"/>
        </w:tabs>
        <w:autoSpaceDE w:val="0"/>
        <w:autoSpaceDN w:val="0"/>
        <w:adjustRightInd w:val="0"/>
        <w:spacing w:after="0" w:line="240" w:lineRule="auto"/>
        <w:ind w:left="-142" w:firstLine="568"/>
        <w:jc w:val="both"/>
        <w:rPr>
          <w:rFonts w:ascii="Times New Roman" w:hAnsi="Times New Roman"/>
          <w:bCs/>
          <w:sz w:val="24"/>
          <w:szCs w:val="24"/>
        </w:rPr>
        <w:sectPr w:rsidR="00FF7511" w:rsidSect="006968FD">
          <w:headerReference w:type="default" r:id="rId15"/>
          <w:footerReference w:type="default" r:id="rId16"/>
          <w:pgSz w:w="11906" w:h="16838"/>
          <w:pgMar w:top="993" w:right="709" w:bottom="851" w:left="1701" w:header="454" w:footer="567" w:gutter="0"/>
          <w:cols w:space="1296"/>
          <w:titlePg/>
          <w:docGrid w:linePitch="360"/>
        </w:sectPr>
      </w:pPr>
      <w:r>
        <w:rPr>
          <w:rFonts w:ascii="Times New Roman" w:hAnsi="Times New Roman"/>
          <w:bCs/>
          <w:sz w:val="24"/>
          <w:szCs w:val="24"/>
        </w:rPr>
        <w:t xml:space="preserve">5.1. </w:t>
      </w:r>
      <w:r w:rsidR="0085016C" w:rsidRPr="0040505A">
        <w:rPr>
          <w:rFonts w:ascii="Times New Roman" w:hAnsi="Times New Roman"/>
          <w:bCs/>
          <w:sz w:val="24"/>
          <w:szCs w:val="24"/>
        </w:rPr>
        <w:t>P</w:t>
      </w:r>
      <w:r w:rsidR="0025588C" w:rsidRPr="0040505A">
        <w:rPr>
          <w:rFonts w:ascii="Times New Roman" w:hAnsi="Times New Roman"/>
          <w:bCs/>
          <w:sz w:val="24"/>
          <w:szCs w:val="24"/>
        </w:rPr>
        <w:t>rašymus</w:t>
      </w:r>
      <w:r w:rsidR="0085016C" w:rsidRPr="0040505A">
        <w:rPr>
          <w:rFonts w:ascii="Times New Roman" w:hAnsi="Times New Roman"/>
          <w:bCs/>
          <w:sz w:val="24"/>
          <w:szCs w:val="24"/>
        </w:rPr>
        <w:t xml:space="preserve"> </w:t>
      </w:r>
      <w:r w:rsidR="00E87AAE">
        <w:rPr>
          <w:rFonts w:ascii="Times New Roman" w:hAnsi="Times New Roman"/>
          <w:bCs/>
          <w:sz w:val="24"/>
          <w:szCs w:val="24"/>
        </w:rPr>
        <w:t xml:space="preserve">dėl </w:t>
      </w:r>
      <w:r w:rsidR="005C71E8">
        <w:rPr>
          <w:rFonts w:ascii="Times New Roman" w:hAnsi="Times New Roman"/>
          <w:bCs/>
          <w:sz w:val="24"/>
          <w:szCs w:val="24"/>
        </w:rPr>
        <w:t>S</w:t>
      </w:r>
      <w:r w:rsidR="0025588C" w:rsidRPr="0040505A">
        <w:rPr>
          <w:rFonts w:ascii="Times New Roman" w:hAnsi="Times New Roman"/>
          <w:bCs/>
          <w:sz w:val="24"/>
          <w:szCs w:val="24"/>
        </w:rPr>
        <w:t xml:space="preserve">utarties sudarymo </w:t>
      </w:r>
      <w:r w:rsidR="0085016C" w:rsidRPr="0040505A">
        <w:rPr>
          <w:rFonts w:ascii="Times New Roman" w:hAnsi="Times New Roman"/>
          <w:bCs/>
          <w:sz w:val="24"/>
          <w:szCs w:val="24"/>
        </w:rPr>
        <w:t>teik</w:t>
      </w:r>
      <w:r w:rsidR="003A479B" w:rsidRPr="0040505A">
        <w:rPr>
          <w:rFonts w:ascii="Times New Roman" w:hAnsi="Times New Roman"/>
          <w:bCs/>
          <w:sz w:val="24"/>
          <w:szCs w:val="24"/>
        </w:rPr>
        <w:t xml:space="preserve">iantys </w:t>
      </w:r>
      <w:r w:rsidR="00266D32" w:rsidRPr="0040505A">
        <w:rPr>
          <w:rFonts w:ascii="Times New Roman" w:hAnsi="Times New Roman"/>
          <w:bCs/>
          <w:sz w:val="24"/>
          <w:szCs w:val="24"/>
        </w:rPr>
        <w:t>FT</w:t>
      </w:r>
      <w:r w:rsidR="003A479B" w:rsidRPr="0040505A">
        <w:rPr>
          <w:rFonts w:ascii="Times New Roman" w:hAnsi="Times New Roman"/>
          <w:bCs/>
          <w:sz w:val="24"/>
          <w:szCs w:val="24"/>
        </w:rPr>
        <w:t xml:space="preserve"> turi atitikti </w:t>
      </w:r>
      <w:r w:rsidR="002E5B78">
        <w:rPr>
          <w:rFonts w:ascii="Times New Roman" w:hAnsi="Times New Roman"/>
          <w:bCs/>
          <w:sz w:val="24"/>
          <w:szCs w:val="24"/>
        </w:rPr>
        <w:t xml:space="preserve">tinkamumo </w:t>
      </w:r>
      <w:r w:rsidR="00266D32" w:rsidRPr="0040505A">
        <w:rPr>
          <w:rFonts w:ascii="Times New Roman" w:hAnsi="Times New Roman"/>
          <w:bCs/>
          <w:sz w:val="24"/>
          <w:szCs w:val="24"/>
        </w:rPr>
        <w:t>reikalavimus</w:t>
      </w:r>
      <w:r w:rsidR="002E5B78">
        <w:rPr>
          <w:rFonts w:ascii="Times New Roman" w:hAnsi="Times New Roman"/>
          <w:bCs/>
          <w:sz w:val="24"/>
          <w:szCs w:val="24"/>
        </w:rPr>
        <w:t>, nurodytus</w:t>
      </w:r>
      <w:r w:rsidR="009763AC">
        <w:rPr>
          <w:rFonts w:ascii="Times New Roman" w:hAnsi="Times New Roman"/>
          <w:bCs/>
          <w:sz w:val="24"/>
          <w:szCs w:val="24"/>
        </w:rPr>
        <w:t xml:space="preserve"> </w:t>
      </w:r>
      <w:r w:rsidR="00A3031C">
        <w:rPr>
          <w:rFonts w:ascii="Times New Roman" w:hAnsi="Times New Roman"/>
          <w:bCs/>
          <w:sz w:val="24"/>
          <w:szCs w:val="24"/>
        </w:rPr>
        <w:t>1 lentelė</w:t>
      </w:r>
      <w:r w:rsidR="009345E4">
        <w:rPr>
          <w:rFonts w:ascii="Times New Roman" w:hAnsi="Times New Roman"/>
          <w:bCs/>
          <w:sz w:val="24"/>
          <w:szCs w:val="24"/>
        </w:rPr>
        <w:t>je</w:t>
      </w:r>
      <w:r w:rsidR="00A71989">
        <w:rPr>
          <w:rFonts w:ascii="Times New Roman" w:hAnsi="Times New Roman"/>
          <w:bCs/>
          <w:sz w:val="24"/>
          <w:szCs w:val="24"/>
        </w:rPr>
        <w:t>.</w:t>
      </w:r>
    </w:p>
    <w:p w14:paraId="1D16B88E" w14:textId="77777777" w:rsidR="00FD05FB"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r>
        <w:rPr>
          <w:rFonts w:ascii="Times New Roman" w:hAnsi="Times New Roman"/>
          <w:bCs/>
          <w:sz w:val="24"/>
          <w:szCs w:val="24"/>
        </w:rPr>
        <w:lastRenderedPageBreak/>
        <w:t>1 lentelė</w:t>
      </w:r>
    </w:p>
    <w:p w14:paraId="0BB2D577" w14:textId="77777777" w:rsidR="00A3031C" w:rsidRPr="00C14798"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p>
    <w:tbl>
      <w:tblPr>
        <w:tblStyle w:val="TableGrid2"/>
        <w:tblW w:w="15304" w:type="dxa"/>
        <w:tblLook w:val="04A0" w:firstRow="1" w:lastRow="0" w:firstColumn="1" w:lastColumn="0" w:noHBand="0" w:noVBand="1"/>
      </w:tblPr>
      <w:tblGrid>
        <w:gridCol w:w="2972"/>
        <w:gridCol w:w="3402"/>
        <w:gridCol w:w="3724"/>
        <w:gridCol w:w="5206"/>
      </w:tblGrid>
      <w:tr w:rsidR="00A3031C" w:rsidRPr="00E0686E" w14:paraId="169177D3" w14:textId="77777777" w:rsidTr="009167F4">
        <w:tc>
          <w:tcPr>
            <w:tcW w:w="2972" w:type="dxa"/>
          </w:tcPr>
          <w:p w14:paraId="66B3DA58" w14:textId="77777777" w:rsidR="009B7B60" w:rsidRPr="00F30EC1" w:rsidRDefault="009B7B60" w:rsidP="003929B4">
            <w:pPr>
              <w:spacing w:after="0"/>
              <w:jc w:val="both"/>
              <w:rPr>
                <w:rFonts w:ascii="Times New Roman" w:hAnsi="Times New Roman" w:cs="Times New Roman"/>
                <w:b/>
                <w:bCs/>
              </w:rPr>
            </w:pPr>
            <w:r w:rsidRPr="00F30EC1">
              <w:rPr>
                <w:rFonts w:ascii="Times New Roman" w:hAnsi="Times New Roman" w:cs="Times New Roman"/>
                <w:b/>
                <w:bCs/>
              </w:rPr>
              <w:t>Kriterijus</w:t>
            </w:r>
          </w:p>
        </w:tc>
        <w:tc>
          <w:tcPr>
            <w:tcW w:w="3402" w:type="dxa"/>
          </w:tcPr>
          <w:p w14:paraId="1CCC50F1" w14:textId="77777777" w:rsidR="009B7B60" w:rsidRPr="00E0686E" w:rsidRDefault="009B7B60" w:rsidP="003929B4">
            <w:pPr>
              <w:spacing w:after="0"/>
              <w:jc w:val="both"/>
              <w:rPr>
                <w:rFonts w:ascii="Times New Roman" w:hAnsi="Times New Roman" w:cs="Times New Roman"/>
                <w:b/>
                <w:bCs/>
              </w:rPr>
            </w:pPr>
            <w:r w:rsidRPr="00E0686E">
              <w:rPr>
                <w:rFonts w:ascii="Times New Roman" w:hAnsi="Times New Roman" w:cs="Times New Roman"/>
                <w:b/>
                <w:bCs/>
              </w:rPr>
              <w:t xml:space="preserve">Lietuvos banko prižiūrimas </w:t>
            </w:r>
            <w:r w:rsidR="00F30EC1">
              <w:rPr>
                <w:rFonts w:ascii="Times New Roman" w:hAnsi="Times New Roman" w:cs="Times New Roman"/>
                <w:b/>
                <w:bCs/>
              </w:rPr>
              <w:t>FT</w:t>
            </w:r>
          </w:p>
        </w:tc>
        <w:tc>
          <w:tcPr>
            <w:tcW w:w="3724" w:type="dxa"/>
          </w:tcPr>
          <w:p w14:paraId="6549E166" w14:textId="77777777" w:rsidR="009B7B60" w:rsidRPr="00E0686E" w:rsidRDefault="009B7B60" w:rsidP="003929B4">
            <w:pPr>
              <w:spacing w:after="0"/>
              <w:jc w:val="both"/>
              <w:rPr>
                <w:rFonts w:ascii="Times New Roman" w:hAnsi="Times New Roman" w:cs="Times New Roman"/>
                <w:b/>
                <w:bCs/>
              </w:rPr>
            </w:pPr>
            <w:r w:rsidRPr="00E0686E">
              <w:rPr>
                <w:rFonts w:ascii="Times New Roman" w:hAnsi="Times New Roman" w:cs="Times New Roman"/>
                <w:b/>
                <w:bCs/>
              </w:rPr>
              <w:t xml:space="preserve">Lietuvos banko neprižiūrimas </w:t>
            </w:r>
            <w:r w:rsidR="00F30EC1">
              <w:rPr>
                <w:rFonts w:ascii="Times New Roman" w:hAnsi="Times New Roman" w:cs="Times New Roman"/>
                <w:b/>
                <w:bCs/>
              </w:rPr>
              <w:t>FT</w:t>
            </w:r>
          </w:p>
        </w:tc>
        <w:tc>
          <w:tcPr>
            <w:tcW w:w="5206" w:type="dxa"/>
          </w:tcPr>
          <w:p w14:paraId="5E58FA91" w14:textId="77777777" w:rsidR="009B7B60" w:rsidRPr="00E0686E" w:rsidRDefault="00A3031C" w:rsidP="003929B4">
            <w:pPr>
              <w:spacing w:after="0"/>
              <w:jc w:val="both"/>
              <w:rPr>
                <w:rFonts w:ascii="Times New Roman" w:hAnsi="Times New Roman"/>
                <w:b/>
                <w:bCs/>
              </w:rPr>
            </w:pPr>
            <w:r>
              <w:rPr>
                <w:rFonts w:ascii="Times New Roman" w:hAnsi="Times New Roman"/>
                <w:b/>
                <w:bCs/>
              </w:rPr>
              <w:t>P</w:t>
            </w:r>
            <w:r w:rsidR="00080232">
              <w:rPr>
                <w:rFonts w:ascii="Times New Roman" w:hAnsi="Times New Roman"/>
                <w:b/>
                <w:bCs/>
              </w:rPr>
              <w:t>aaiškinimai</w:t>
            </w:r>
            <w:r>
              <w:rPr>
                <w:rFonts w:ascii="Times New Roman" w:hAnsi="Times New Roman"/>
                <w:b/>
                <w:bCs/>
              </w:rPr>
              <w:t xml:space="preserve"> dėl teikiamų dokumentų ir informacijos</w:t>
            </w:r>
          </w:p>
        </w:tc>
      </w:tr>
      <w:tr w:rsidR="00A3031C" w:rsidRPr="00E0686E" w14:paraId="0F420C78" w14:textId="77777777" w:rsidTr="009167F4">
        <w:tc>
          <w:tcPr>
            <w:tcW w:w="2972" w:type="dxa"/>
          </w:tcPr>
          <w:p w14:paraId="65AEA9C0" w14:textId="77777777" w:rsidR="00F30EC1" w:rsidRPr="00F30EC1" w:rsidRDefault="00F30EC1" w:rsidP="003929B4">
            <w:pPr>
              <w:spacing w:after="0"/>
              <w:jc w:val="both"/>
              <w:rPr>
                <w:rFonts w:ascii="Times New Roman" w:hAnsi="Times New Roman" w:cs="Times New Roman"/>
                <w:b/>
                <w:bCs/>
              </w:rPr>
            </w:pPr>
            <w:r w:rsidRPr="00F30EC1">
              <w:rPr>
                <w:rFonts w:ascii="Times New Roman" w:hAnsi="Times New Roman"/>
                <w:b/>
                <w:bCs/>
              </w:rPr>
              <w:t>FT yra finansų įstaiga, veikianti pagal Lietuvos Respublikos finansų įstaigų įstatymą, turinti teisę teikti finansines paslaugas</w:t>
            </w:r>
          </w:p>
        </w:tc>
        <w:tc>
          <w:tcPr>
            <w:tcW w:w="3402" w:type="dxa"/>
          </w:tcPr>
          <w:p w14:paraId="78B30B41" w14:textId="77777777" w:rsidR="00F30EC1" w:rsidRPr="00E0686E" w:rsidRDefault="00BF7FC9" w:rsidP="0038367D">
            <w:pPr>
              <w:spacing w:after="0"/>
              <w:jc w:val="both"/>
              <w:rPr>
                <w:rFonts w:ascii="Times New Roman" w:hAnsi="Times New Roman" w:cs="Times New Roman"/>
              </w:rPr>
            </w:pPr>
            <w:r>
              <w:rPr>
                <w:rFonts w:ascii="Times New Roman" w:hAnsi="Times New Roman" w:cs="Times New Roman"/>
              </w:rPr>
              <w:t xml:space="preserve">FT </w:t>
            </w:r>
            <w:r w:rsidR="0038367D">
              <w:rPr>
                <w:rFonts w:ascii="Times New Roman" w:hAnsi="Times New Roman" w:cs="Times New Roman"/>
              </w:rPr>
              <w:t>yra Lietuvos banko prižiūrimų finansų rinkų dalyvių sąraše</w:t>
            </w:r>
          </w:p>
        </w:tc>
        <w:tc>
          <w:tcPr>
            <w:tcW w:w="3724" w:type="dxa"/>
          </w:tcPr>
          <w:p w14:paraId="07C3BB05" w14:textId="77777777" w:rsidR="00F30EC1" w:rsidRPr="00E0686E" w:rsidRDefault="00F30EC1" w:rsidP="0038367D">
            <w:pPr>
              <w:spacing w:after="0"/>
              <w:jc w:val="both"/>
              <w:rPr>
                <w:rFonts w:ascii="Times New Roman" w:hAnsi="Times New Roman" w:cs="Times New Roman"/>
              </w:rPr>
            </w:pPr>
            <w:r>
              <w:rPr>
                <w:rFonts w:ascii="Times New Roman" w:hAnsi="Times New Roman" w:cs="Times New Roman"/>
              </w:rPr>
              <w:t>FT</w:t>
            </w:r>
            <w:r w:rsidRPr="00E0686E">
              <w:rPr>
                <w:rFonts w:ascii="Times New Roman" w:hAnsi="Times New Roman" w:cs="Times New Roman"/>
              </w:rPr>
              <w:t xml:space="preserve"> </w:t>
            </w:r>
            <w:r w:rsidR="0038367D">
              <w:rPr>
                <w:rFonts w:ascii="Times New Roman" w:hAnsi="Times New Roman" w:cs="Times New Roman"/>
              </w:rPr>
              <w:t xml:space="preserve">turi </w:t>
            </w:r>
            <w:r w:rsidRPr="00E0686E">
              <w:rPr>
                <w:rFonts w:ascii="Times New Roman" w:hAnsi="Times New Roman" w:cs="Times New Roman"/>
              </w:rPr>
              <w:t xml:space="preserve">teisę teikti </w:t>
            </w:r>
            <w:r w:rsidR="0038367D">
              <w:rPr>
                <w:rFonts w:ascii="Times New Roman" w:hAnsi="Times New Roman" w:cs="Times New Roman"/>
              </w:rPr>
              <w:t>finansavimo</w:t>
            </w:r>
            <w:r w:rsidR="0038367D" w:rsidRPr="00E0686E">
              <w:rPr>
                <w:rFonts w:ascii="Times New Roman" w:hAnsi="Times New Roman" w:cs="Times New Roman"/>
              </w:rPr>
              <w:t xml:space="preserve"> </w:t>
            </w:r>
            <w:r w:rsidRPr="00E0686E">
              <w:rPr>
                <w:rFonts w:ascii="Times New Roman" w:hAnsi="Times New Roman" w:cs="Times New Roman"/>
              </w:rPr>
              <w:t>paslaugas</w:t>
            </w:r>
          </w:p>
        </w:tc>
        <w:tc>
          <w:tcPr>
            <w:tcW w:w="5206" w:type="dxa"/>
          </w:tcPr>
          <w:p w14:paraId="7AEA72C6" w14:textId="77777777" w:rsidR="00F30EC1" w:rsidRPr="00E0686E" w:rsidRDefault="0038367D" w:rsidP="0038367D">
            <w:pPr>
              <w:spacing w:after="0"/>
              <w:jc w:val="both"/>
              <w:rPr>
                <w:rFonts w:ascii="Times New Roman" w:hAnsi="Times New Roman"/>
              </w:rPr>
            </w:pPr>
            <w:r>
              <w:rPr>
                <w:rFonts w:ascii="Times New Roman" w:hAnsi="Times New Roman" w:cs="Times New Roman"/>
              </w:rPr>
              <w:t xml:space="preserve">Lietuvos banko neprižiūrimas FT pateikia </w:t>
            </w:r>
            <w:r w:rsidR="00F30EC1" w:rsidRPr="00E0686E">
              <w:rPr>
                <w:rFonts w:ascii="Times New Roman" w:hAnsi="Times New Roman" w:cs="Times New Roman"/>
              </w:rPr>
              <w:t>VĮ „Registrų centras“ išraš</w:t>
            </w:r>
            <w:r>
              <w:rPr>
                <w:rFonts w:ascii="Times New Roman" w:hAnsi="Times New Roman" w:cs="Times New Roman"/>
              </w:rPr>
              <w:t xml:space="preserve">ą, kuriame nurodoma, kad FT teikia finansavimo paslaugas. Jeigu </w:t>
            </w:r>
            <w:r w:rsidRPr="00E0686E">
              <w:rPr>
                <w:rFonts w:ascii="Times New Roman" w:hAnsi="Times New Roman" w:cs="Times New Roman"/>
              </w:rPr>
              <w:t>VĮ „Registrų centras“ išraš</w:t>
            </w:r>
            <w:r>
              <w:rPr>
                <w:rFonts w:ascii="Times New Roman" w:hAnsi="Times New Roman" w:cs="Times New Roman"/>
              </w:rPr>
              <w:t>e</w:t>
            </w:r>
            <w:r w:rsidR="00F30EC1" w:rsidRPr="00E0686E">
              <w:rPr>
                <w:rFonts w:ascii="Times New Roman" w:hAnsi="Times New Roman" w:cs="Times New Roman"/>
              </w:rPr>
              <w:t xml:space="preserve"> nenurodoma </w:t>
            </w:r>
            <w:r w:rsidR="00F30EC1">
              <w:rPr>
                <w:rFonts w:ascii="Times New Roman" w:hAnsi="Times New Roman" w:cs="Times New Roman"/>
              </w:rPr>
              <w:t>FT</w:t>
            </w:r>
            <w:r w:rsidR="00F30EC1" w:rsidRPr="00E0686E">
              <w:rPr>
                <w:rFonts w:ascii="Times New Roman" w:hAnsi="Times New Roman" w:cs="Times New Roman"/>
              </w:rPr>
              <w:t xml:space="preserve"> veikla, nustatyta Lietuvos Respublikos finansų įstaigų įstatymo 3 straipsnyje, </w:t>
            </w:r>
            <w:r w:rsidR="00F30EC1">
              <w:rPr>
                <w:rFonts w:ascii="Times New Roman" w:hAnsi="Times New Roman" w:cs="Times New Roman"/>
              </w:rPr>
              <w:t>FT</w:t>
            </w:r>
            <w:r w:rsidR="00F30EC1" w:rsidRPr="00E0686E">
              <w:rPr>
                <w:rFonts w:ascii="Times New Roman" w:hAnsi="Times New Roman" w:cs="Times New Roman"/>
              </w:rPr>
              <w:t xml:space="preserve"> turi pateikti papildomus dokumentus ir paaiškinimus</w:t>
            </w:r>
            <w:r>
              <w:rPr>
                <w:rFonts w:ascii="Times New Roman" w:hAnsi="Times New Roman" w:cs="Times New Roman"/>
              </w:rPr>
              <w:t xml:space="preserve"> (PGF2 priemonės įgyvendinimo aprašyme)</w:t>
            </w:r>
            <w:r w:rsidR="00F30EC1" w:rsidRPr="00E0686E">
              <w:rPr>
                <w:rFonts w:ascii="Times New Roman" w:hAnsi="Times New Roman" w:cs="Times New Roman"/>
              </w:rPr>
              <w:t xml:space="preserve">, iš kurių būtų galima įsitikinti, kad </w:t>
            </w:r>
            <w:r w:rsidR="00F30EC1">
              <w:rPr>
                <w:rFonts w:ascii="Times New Roman" w:hAnsi="Times New Roman" w:cs="Times New Roman"/>
              </w:rPr>
              <w:t>FT</w:t>
            </w:r>
            <w:r w:rsidR="00F30EC1" w:rsidRPr="00E0686E">
              <w:rPr>
                <w:rFonts w:ascii="Times New Roman" w:hAnsi="Times New Roman" w:cs="Times New Roman"/>
              </w:rPr>
              <w:t xml:space="preserve"> yra finansų įstaiga ir turi teisę teikti </w:t>
            </w:r>
            <w:r>
              <w:rPr>
                <w:rFonts w:ascii="Times New Roman" w:hAnsi="Times New Roman" w:cs="Times New Roman"/>
              </w:rPr>
              <w:t xml:space="preserve">finansavimo </w:t>
            </w:r>
            <w:r w:rsidR="00F30EC1" w:rsidRPr="00E0686E">
              <w:rPr>
                <w:rFonts w:ascii="Times New Roman" w:hAnsi="Times New Roman" w:cs="Times New Roman"/>
              </w:rPr>
              <w:t>paslaugas</w:t>
            </w:r>
          </w:p>
        </w:tc>
      </w:tr>
      <w:tr w:rsidR="00A3031C" w:rsidRPr="00E0686E" w14:paraId="212E3612" w14:textId="77777777" w:rsidTr="009167F4">
        <w:tc>
          <w:tcPr>
            <w:tcW w:w="2972" w:type="dxa"/>
          </w:tcPr>
          <w:p w14:paraId="73E518DA" w14:textId="77777777" w:rsidR="00F30EC1" w:rsidRPr="00F30EC1" w:rsidRDefault="00F30EC1" w:rsidP="003929B4">
            <w:pPr>
              <w:spacing w:after="0"/>
              <w:jc w:val="both"/>
              <w:rPr>
                <w:rFonts w:ascii="Times New Roman" w:hAnsi="Times New Roman" w:cs="Times New Roman"/>
                <w:b/>
                <w:bCs/>
              </w:rPr>
            </w:pPr>
            <w:r w:rsidRPr="00F30EC1">
              <w:rPr>
                <w:rFonts w:ascii="Times New Roman" w:hAnsi="Times New Roman" w:cs="Times New Roman"/>
                <w:b/>
                <w:bCs/>
              </w:rPr>
              <w:t>FT ir jo grupės valdymo struktūra</w:t>
            </w:r>
          </w:p>
        </w:tc>
        <w:tc>
          <w:tcPr>
            <w:tcW w:w="3402" w:type="dxa"/>
          </w:tcPr>
          <w:p w14:paraId="36F76B6A" w14:textId="77777777" w:rsidR="00F30EC1" w:rsidRPr="00E0686E" w:rsidRDefault="00F30EC1" w:rsidP="003929B4">
            <w:pPr>
              <w:spacing w:after="0"/>
              <w:jc w:val="both"/>
              <w:rPr>
                <w:rFonts w:ascii="Times New Roman" w:hAnsi="Times New Roman" w:cs="Times New Roman"/>
              </w:rPr>
            </w:pPr>
            <w:r w:rsidRPr="00E0686E">
              <w:rPr>
                <w:rFonts w:ascii="Times New Roman" w:hAnsi="Times New Roman" w:cs="Times New Roman"/>
              </w:rPr>
              <w:t>Nereikia pateikti</w:t>
            </w:r>
          </w:p>
        </w:tc>
        <w:tc>
          <w:tcPr>
            <w:tcW w:w="3724" w:type="dxa"/>
          </w:tcPr>
          <w:p w14:paraId="4CE0A40A" w14:textId="77777777" w:rsidR="00F30EC1" w:rsidRPr="00E0686E" w:rsidRDefault="00F30EC1" w:rsidP="003929B4">
            <w:pPr>
              <w:spacing w:after="0"/>
              <w:jc w:val="both"/>
              <w:rPr>
                <w:rFonts w:ascii="Times New Roman" w:hAnsi="Times New Roman" w:cs="Times New Roman"/>
              </w:rPr>
            </w:pPr>
            <w:r w:rsidRPr="00E0686E">
              <w:rPr>
                <w:rFonts w:ascii="Times New Roman" w:hAnsi="Times New Roman" w:cs="Times New Roman"/>
              </w:rPr>
              <w:t>Privaloma pateikti</w:t>
            </w:r>
          </w:p>
        </w:tc>
        <w:tc>
          <w:tcPr>
            <w:tcW w:w="5206" w:type="dxa"/>
          </w:tcPr>
          <w:p w14:paraId="6101E800" w14:textId="77777777" w:rsidR="00F30EC1" w:rsidRPr="00E0686E" w:rsidRDefault="00962812" w:rsidP="00962812">
            <w:pPr>
              <w:spacing w:after="0"/>
              <w:jc w:val="both"/>
              <w:rPr>
                <w:rFonts w:ascii="Times New Roman" w:hAnsi="Times New Roman"/>
              </w:rPr>
            </w:pPr>
            <w:r w:rsidRPr="00962812">
              <w:rPr>
                <w:rFonts w:ascii="Times New Roman" w:hAnsi="Times New Roman"/>
              </w:rPr>
              <w:t xml:space="preserve">Informacija pateikiama </w:t>
            </w:r>
            <w:r w:rsidR="0038367D">
              <w:rPr>
                <w:rFonts w:ascii="Times New Roman" w:hAnsi="Times New Roman" w:cs="Times New Roman"/>
              </w:rPr>
              <w:t>PGF2 priemonės įgyvendinimo aprašyme</w:t>
            </w:r>
          </w:p>
        </w:tc>
      </w:tr>
      <w:tr w:rsidR="00A3031C" w:rsidRPr="00E0686E" w14:paraId="68E7BDDC" w14:textId="77777777" w:rsidTr="009167F4">
        <w:trPr>
          <w:trHeight w:val="1833"/>
        </w:trPr>
        <w:tc>
          <w:tcPr>
            <w:tcW w:w="2972" w:type="dxa"/>
            <w:vMerge w:val="restart"/>
          </w:tcPr>
          <w:p w14:paraId="04DD23DD" w14:textId="77777777" w:rsidR="00F30EC1" w:rsidRPr="003929B4" w:rsidRDefault="00F30EC1" w:rsidP="003929B4">
            <w:pPr>
              <w:spacing w:after="0"/>
              <w:jc w:val="both"/>
              <w:rPr>
                <w:rFonts w:ascii="Times New Roman" w:hAnsi="Times New Roman" w:cs="Times New Roman"/>
                <w:b/>
                <w:bCs/>
              </w:rPr>
            </w:pPr>
            <w:r w:rsidRPr="003929B4">
              <w:rPr>
                <w:rFonts w:ascii="Times New Roman" w:hAnsi="Times New Roman" w:cs="Times New Roman"/>
                <w:b/>
                <w:bCs/>
              </w:rPr>
              <w:t>Patirtis ir reputacija</w:t>
            </w:r>
          </w:p>
        </w:tc>
        <w:tc>
          <w:tcPr>
            <w:tcW w:w="3402" w:type="dxa"/>
          </w:tcPr>
          <w:p w14:paraId="32B5882A" w14:textId="2CEB4396" w:rsidR="00F30EC1" w:rsidRPr="00E0686E" w:rsidRDefault="00F30EC1" w:rsidP="003929B4">
            <w:pPr>
              <w:spacing w:after="0"/>
              <w:jc w:val="both"/>
              <w:rPr>
                <w:rFonts w:ascii="Times New Roman" w:hAnsi="Times New Roman" w:cs="Times New Roman"/>
              </w:rPr>
            </w:pPr>
            <w:r w:rsidRPr="00E0686E">
              <w:rPr>
                <w:rFonts w:ascii="Times New Roman" w:hAnsi="Times New Roman" w:cs="Times New Roman"/>
              </w:rPr>
              <w:t xml:space="preserve">Neturi būti taikomos </w:t>
            </w:r>
            <w:r w:rsidR="00C02EEC">
              <w:rPr>
                <w:rFonts w:ascii="Times New Roman" w:hAnsi="Times New Roman" w:cs="Times New Roman"/>
              </w:rPr>
              <w:t xml:space="preserve">Lietuvos banko </w:t>
            </w:r>
            <w:r w:rsidRPr="00E0686E">
              <w:rPr>
                <w:rFonts w:ascii="Times New Roman" w:hAnsi="Times New Roman" w:cs="Times New Roman"/>
              </w:rPr>
              <w:t>poveikio priemonės</w:t>
            </w:r>
            <w:r w:rsidR="00A16179">
              <w:rPr>
                <w:rFonts w:ascii="Times New Roman" w:hAnsi="Times New Roman" w:cs="Times New Roman"/>
              </w:rPr>
              <w:t>,</w:t>
            </w:r>
            <w:r w:rsidRPr="00E0686E">
              <w:rPr>
                <w:rFonts w:ascii="Times New Roman" w:hAnsi="Times New Roman" w:cs="Times New Roman"/>
              </w:rPr>
              <w:t xml:space="preserve"> </w:t>
            </w:r>
            <w:r w:rsidR="00A16179">
              <w:rPr>
                <w:rFonts w:ascii="Times New Roman" w:hAnsi="Times New Roman" w:cs="Times New Roman"/>
              </w:rPr>
              <w:t>išskyrus įspėjimą,</w:t>
            </w:r>
            <w:r w:rsidR="00A16179" w:rsidRPr="00E0686E">
              <w:rPr>
                <w:rFonts w:ascii="Times New Roman" w:hAnsi="Times New Roman" w:cs="Times New Roman"/>
              </w:rPr>
              <w:t xml:space="preserve"> </w:t>
            </w:r>
            <w:r w:rsidRPr="00E0686E">
              <w:rPr>
                <w:rFonts w:ascii="Times New Roman" w:hAnsi="Times New Roman" w:cs="Times New Roman"/>
              </w:rPr>
              <w:t>ar veiklos apribojimai remiantis Lietuvos banko duomenimis</w:t>
            </w:r>
            <w:r w:rsidR="00336EA2">
              <w:rPr>
                <w:rFonts w:ascii="Times New Roman" w:hAnsi="Times New Roman" w:cs="Times New Roman"/>
              </w:rPr>
              <w:t>*</w:t>
            </w:r>
          </w:p>
        </w:tc>
        <w:tc>
          <w:tcPr>
            <w:tcW w:w="3724" w:type="dxa"/>
          </w:tcPr>
          <w:p w14:paraId="7935738B" w14:textId="37E5D698" w:rsidR="00F30EC1" w:rsidRPr="00E0686E" w:rsidRDefault="00336EA2" w:rsidP="00DA151A">
            <w:pPr>
              <w:spacing w:after="0"/>
              <w:jc w:val="both"/>
              <w:rPr>
                <w:rFonts w:ascii="Times New Roman" w:hAnsi="Times New Roman" w:cs="Times New Roman"/>
              </w:rPr>
            </w:pPr>
            <w:r w:rsidRPr="00336EA2">
              <w:rPr>
                <w:rFonts w:ascii="Times New Roman" w:hAnsi="Times New Roman"/>
              </w:rPr>
              <w:t>FT, su juo susiję asmenys</w:t>
            </w:r>
            <w:r w:rsidR="00A71989" w:rsidRPr="00A82C7D">
              <w:rPr>
                <w:rFonts w:ascii="Times New Roman" w:hAnsi="Times New Roman"/>
              </w:rPr>
              <w:t>**</w:t>
            </w:r>
            <w:r w:rsidR="00551A54">
              <w:rPr>
                <w:rFonts w:ascii="Times New Roman" w:hAnsi="Times New Roman"/>
              </w:rPr>
              <w:t>*</w:t>
            </w:r>
            <w:r w:rsidRPr="00336EA2">
              <w:rPr>
                <w:rFonts w:ascii="Times New Roman" w:hAnsi="Times New Roman"/>
              </w:rPr>
              <w:t xml:space="preserve"> </w:t>
            </w:r>
            <w:r w:rsidR="007648F1">
              <w:rPr>
                <w:rFonts w:ascii="Times New Roman" w:hAnsi="Times New Roman"/>
              </w:rPr>
              <w:t>ir</w:t>
            </w:r>
            <w:r w:rsidR="007648F1" w:rsidRPr="00336EA2">
              <w:rPr>
                <w:rFonts w:ascii="Times New Roman" w:hAnsi="Times New Roman"/>
              </w:rPr>
              <w:t xml:space="preserve"> </w:t>
            </w:r>
            <w:r w:rsidRPr="00336EA2">
              <w:rPr>
                <w:rFonts w:ascii="Times New Roman" w:hAnsi="Times New Roman"/>
              </w:rPr>
              <w:t>administracijos, valdymo ir (ar) priežiūros organų nariai, turintys FT atstovavimo, sprendimo ar kontrolės įgaliojimus, negali būti minimi su korupcija susijusiuose viešai prieinamuose finansinių institucijų sankcijų sąrašuose</w:t>
            </w:r>
          </w:p>
        </w:tc>
        <w:tc>
          <w:tcPr>
            <w:tcW w:w="5206" w:type="dxa"/>
          </w:tcPr>
          <w:p w14:paraId="129E95DB" w14:textId="77777777" w:rsidR="00F30EC1" w:rsidRPr="00E0686E" w:rsidRDefault="00D57E23" w:rsidP="000A3208">
            <w:pPr>
              <w:spacing w:after="0"/>
              <w:jc w:val="both"/>
              <w:rPr>
                <w:rFonts w:ascii="Times New Roman" w:hAnsi="Times New Roman"/>
              </w:rPr>
            </w:pPr>
            <w:r w:rsidRPr="00962812">
              <w:rPr>
                <w:rFonts w:ascii="Times New Roman" w:hAnsi="Times New Roman"/>
              </w:rPr>
              <w:t xml:space="preserve">Informacija pateikiama </w:t>
            </w:r>
            <w:r w:rsidR="0038367D">
              <w:rPr>
                <w:rFonts w:ascii="Times New Roman" w:hAnsi="Times New Roman" w:cs="Times New Roman"/>
              </w:rPr>
              <w:t>PGF2 priemonės įgyvendinimo aprašyme</w:t>
            </w:r>
            <w:r w:rsidR="004979CD">
              <w:rPr>
                <w:rFonts w:ascii="Times New Roman" w:hAnsi="Times New Roman"/>
              </w:rPr>
              <w:t xml:space="preserve"> </w:t>
            </w:r>
            <w:r w:rsidR="009763AC">
              <w:rPr>
                <w:rFonts w:ascii="Times New Roman" w:hAnsi="Times New Roman"/>
              </w:rPr>
              <w:t>ar kituose dokumentuose</w:t>
            </w:r>
          </w:p>
        </w:tc>
      </w:tr>
      <w:tr w:rsidR="00A3031C" w:rsidRPr="00E0686E" w14:paraId="73CD403D" w14:textId="77777777" w:rsidTr="009167F4">
        <w:tc>
          <w:tcPr>
            <w:tcW w:w="2972" w:type="dxa"/>
            <w:vMerge/>
          </w:tcPr>
          <w:p w14:paraId="1D6B8FD1" w14:textId="77777777" w:rsidR="00F30EC1" w:rsidRPr="003929B4" w:rsidRDefault="00F30EC1" w:rsidP="003929B4">
            <w:pPr>
              <w:spacing w:after="0"/>
              <w:jc w:val="both"/>
              <w:rPr>
                <w:rFonts w:ascii="Times New Roman" w:hAnsi="Times New Roman" w:cs="Times New Roman"/>
                <w:b/>
                <w:bCs/>
              </w:rPr>
            </w:pPr>
          </w:p>
        </w:tc>
        <w:tc>
          <w:tcPr>
            <w:tcW w:w="3402" w:type="dxa"/>
          </w:tcPr>
          <w:p w14:paraId="4279182C" w14:textId="77777777" w:rsidR="00F30EC1" w:rsidRPr="00E0686E" w:rsidRDefault="00B43A94" w:rsidP="00B43A94">
            <w:pPr>
              <w:spacing w:after="0"/>
              <w:jc w:val="both"/>
              <w:rPr>
                <w:rFonts w:ascii="Times New Roman" w:hAnsi="Times New Roman" w:cs="Times New Roman"/>
              </w:rPr>
            </w:pPr>
            <w:r>
              <w:rPr>
                <w:rFonts w:ascii="Times New Roman" w:hAnsi="Times New Roman" w:cs="Times New Roman"/>
              </w:rPr>
              <w:t>V</w:t>
            </w:r>
            <w:r w:rsidRPr="00DB04D2">
              <w:rPr>
                <w:rFonts w:ascii="Times New Roman" w:hAnsi="Times New Roman" w:cs="Times New Roman"/>
              </w:rPr>
              <w:t>adovai ir kreditavimo sprendimus priimantys asmenys turi turėti atitinkamą kvalifikaciją ir patirtį, leidžiančią tinkamai eiti pareigas</w:t>
            </w:r>
            <w:r>
              <w:rPr>
                <w:rFonts w:ascii="Times New Roman" w:hAnsi="Times New Roman" w:cs="Times New Roman"/>
              </w:rPr>
              <w:t>*</w:t>
            </w:r>
          </w:p>
        </w:tc>
        <w:tc>
          <w:tcPr>
            <w:tcW w:w="3724" w:type="dxa"/>
          </w:tcPr>
          <w:p w14:paraId="3AA12242" w14:textId="77777777" w:rsidR="00F30EC1" w:rsidRPr="00DB04D2" w:rsidRDefault="00711D77" w:rsidP="003929B4">
            <w:pPr>
              <w:spacing w:after="0"/>
              <w:jc w:val="both"/>
              <w:rPr>
                <w:rFonts w:ascii="Times New Roman" w:hAnsi="Times New Roman" w:cs="Times New Roman"/>
              </w:rPr>
            </w:pPr>
            <w:r>
              <w:rPr>
                <w:rFonts w:ascii="Times New Roman" w:hAnsi="Times New Roman" w:cs="Times New Roman"/>
              </w:rPr>
              <w:t>FT v</w:t>
            </w:r>
            <w:r w:rsidR="00F30EC1" w:rsidRPr="00DB04D2">
              <w:rPr>
                <w:rFonts w:ascii="Times New Roman" w:hAnsi="Times New Roman" w:cs="Times New Roman"/>
              </w:rPr>
              <w:t>adovai ir kreditavimo sprendimus priimantys asmenys turi turėti atitinkamą kvalifikaciją ir patirtį, leidžiančią tinkamai eiti pareigas</w:t>
            </w:r>
          </w:p>
          <w:p w14:paraId="52AC0263" w14:textId="77777777" w:rsidR="00336EA2" w:rsidRPr="00E0686E" w:rsidRDefault="00336EA2" w:rsidP="003929B4">
            <w:pPr>
              <w:spacing w:after="0"/>
              <w:jc w:val="both"/>
              <w:rPr>
                <w:rFonts w:ascii="Times New Roman" w:hAnsi="Times New Roman" w:cs="Times New Roman"/>
              </w:rPr>
            </w:pPr>
          </w:p>
        </w:tc>
        <w:tc>
          <w:tcPr>
            <w:tcW w:w="5206" w:type="dxa"/>
          </w:tcPr>
          <w:p w14:paraId="2BE46396" w14:textId="77777777" w:rsidR="00F30EC1" w:rsidRPr="00E0686E" w:rsidRDefault="00B43A94" w:rsidP="00B43A94">
            <w:pPr>
              <w:spacing w:after="0"/>
              <w:jc w:val="both"/>
              <w:rPr>
                <w:rFonts w:ascii="Times New Roman" w:hAnsi="Times New Roman"/>
              </w:rPr>
            </w:pPr>
            <w:r>
              <w:rPr>
                <w:rFonts w:ascii="Times New Roman" w:hAnsi="Times New Roman" w:cs="Times New Roman"/>
              </w:rPr>
              <w:t>FT</w:t>
            </w:r>
            <w:r w:rsidRPr="000E56E8">
              <w:rPr>
                <w:rFonts w:ascii="Times New Roman" w:hAnsi="Times New Roman" w:cs="Times New Roman"/>
              </w:rPr>
              <w:t xml:space="preserve"> </w:t>
            </w:r>
            <w:r w:rsidR="000E56E8" w:rsidRPr="000E56E8">
              <w:rPr>
                <w:rFonts w:ascii="Times New Roman" w:hAnsi="Times New Roman" w:cs="Times New Roman"/>
              </w:rPr>
              <w:t xml:space="preserve">vadovų </w:t>
            </w:r>
            <w:r w:rsidR="007368F8">
              <w:rPr>
                <w:rFonts w:ascii="Times New Roman" w:hAnsi="Times New Roman" w:cs="Times New Roman"/>
              </w:rPr>
              <w:t xml:space="preserve">ir kreditavimo sprendimus priimančių asmenų </w:t>
            </w:r>
            <w:r w:rsidR="000E56E8" w:rsidRPr="000E56E8">
              <w:rPr>
                <w:rFonts w:ascii="Times New Roman" w:hAnsi="Times New Roman" w:cs="Times New Roman"/>
              </w:rPr>
              <w:t>kvalifikacija ir patirtis vertinama, atsižvelgiant į asmens išsilavinimo lygį ir pobūdį, kvalifikacijos tobulinimą, profesinės veiklos ar darbo patirties pobūdį ir trukmę bei į kitus veiksnius, kurie gali turėti įtakos asmens kvalifikacijai ir patirčiai.</w:t>
            </w:r>
            <w:r w:rsidR="00962812">
              <w:rPr>
                <w:rFonts w:ascii="Times New Roman" w:hAnsi="Times New Roman" w:cs="Times New Roman"/>
              </w:rPr>
              <w:t xml:space="preserve"> Informacija pateikiama </w:t>
            </w:r>
            <w:r w:rsidR="007368F8">
              <w:rPr>
                <w:rFonts w:ascii="Times New Roman" w:hAnsi="Times New Roman" w:cs="Times New Roman"/>
              </w:rPr>
              <w:t>PGF2 priemonės įgyvendinimo aprašyme</w:t>
            </w:r>
          </w:p>
        </w:tc>
      </w:tr>
      <w:tr w:rsidR="00A3031C" w:rsidRPr="00E0686E" w14:paraId="4A02D0B0" w14:textId="77777777" w:rsidTr="009167F4">
        <w:tc>
          <w:tcPr>
            <w:tcW w:w="2972" w:type="dxa"/>
          </w:tcPr>
          <w:p w14:paraId="242660B1" w14:textId="77777777" w:rsidR="000E56E8" w:rsidRPr="000E56E8" w:rsidRDefault="000E56E8" w:rsidP="003929B4">
            <w:pPr>
              <w:spacing w:after="0"/>
              <w:jc w:val="both"/>
              <w:rPr>
                <w:rFonts w:ascii="Times New Roman" w:hAnsi="Times New Roman"/>
                <w:b/>
                <w:bCs/>
              </w:rPr>
            </w:pPr>
          </w:p>
        </w:tc>
        <w:tc>
          <w:tcPr>
            <w:tcW w:w="3402" w:type="dxa"/>
          </w:tcPr>
          <w:p w14:paraId="6F583BF1" w14:textId="77777777" w:rsidR="000E56E8" w:rsidRPr="00E0686E" w:rsidRDefault="00B43A94" w:rsidP="003929B4">
            <w:pPr>
              <w:spacing w:after="0"/>
              <w:jc w:val="both"/>
              <w:rPr>
                <w:rFonts w:ascii="Times New Roman" w:hAnsi="Times New Roman"/>
              </w:rPr>
            </w:pPr>
            <w:r>
              <w:rPr>
                <w:rFonts w:ascii="Times New Roman" w:hAnsi="Times New Roman" w:cs="Times New Roman"/>
              </w:rPr>
              <w:t>A</w:t>
            </w:r>
            <w:r w:rsidRPr="00336EA2">
              <w:rPr>
                <w:rFonts w:ascii="Times New Roman" w:hAnsi="Times New Roman" w:cs="Times New Roman"/>
              </w:rPr>
              <w:t xml:space="preserve">dministracijos, valdymo ir (ar) priežiūros organų nariai, turintys FT atstovavimo, sprendimo ar kontrolės </w:t>
            </w:r>
            <w:r w:rsidRPr="00336EA2">
              <w:rPr>
                <w:rFonts w:ascii="Times New Roman" w:hAnsi="Times New Roman" w:cs="Times New Roman"/>
              </w:rPr>
              <w:lastRenderedPageBreak/>
              <w:t>įgaliojimus, turi būti nepriekaištingos reputacijos</w:t>
            </w:r>
            <w:r>
              <w:rPr>
                <w:rFonts w:ascii="Times New Roman" w:hAnsi="Times New Roman" w:cs="Times New Roman"/>
              </w:rPr>
              <w:t>*</w:t>
            </w:r>
          </w:p>
        </w:tc>
        <w:tc>
          <w:tcPr>
            <w:tcW w:w="3724" w:type="dxa"/>
          </w:tcPr>
          <w:p w14:paraId="27007DFE" w14:textId="7E79072F" w:rsidR="000E56E8" w:rsidRPr="000E56E8" w:rsidRDefault="000E56E8" w:rsidP="00A71989">
            <w:pPr>
              <w:spacing w:after="0"/>
              <w:jc w:val="both"/>
              <w:rPr>
                <w:rFonts w:ascii="Times New Roman" w:hAnsi="Times New Roman"/>
                <w:strike/>
              </w:rPr>
            </w:pPr>
            <w:r w:rsidRPr="00336EA2">
              <w:rPr>
                <w:rFonts w:ascii="Times New Roman" w:hAnsi="Times New Roman" w:cs="Times New Roman"/>
              </w:rPr>
              <w:lastRenderedPageBreak/>
              <w:t xml:space="preserve">FT administracijos, valdymo ir (ar) priežiūros organų nariai, turintys FT atstovavimo, sprendimo ar kontrolės </w:t>
            </w:r>
            <w:r w:rsidRPr="00336EA2">
              <w:rPr>
                <w:rFonts w:ascii="Times New Roman" w:hAnsi="Times New Roman" w:cs="Times New Roman"/>
              </w:rPr>
              <w:lastRenderedPageBreak/>
              <w:t>įgaliojimus, turi būti nepriekaištingos reputacijos</w:t>
            </w:r>
            <w:r w:rsidR="00A71989">
              <w:rPr>
                <w:rFonts w:ascii="Times New Roman" w:hAnsi="Times New Roman" w:cs="Times New Roman"/>
              </w:rPr>
              <w:t>*</w:t>
            </w:r>
            <w:r>
              <w:rPr>
                <w:rFonts w:ascii="Times New Roman" w:hAnsi="Times New Roman" w:cs="Times New Roman"/>
              </w:rPr>
              <w:t>*</w:t>
            </w:r>
            <w:r w:rsidR="00551A54">
              <w:rPr>
                <w:rFonts w:ascii="Times New Roman" w:hAnsi="Times New Roman" w:cs="Times New Roman"/>
              </w:rPr>
              <w:t>*</w:t>
            </w:r>
            <w:r>
              <w:rPr>
                <w:rFonts w:ascii="Times New Roman" w:hAnsi="Times New Roman" w:cs="Times New Roman"/>
              </w:rPr>
              <w:t>*</w:t>
            </w:r>
          </w:p>
        </w:tc>
        <w:tc>
          <w:tcPr>
            <w:tcW w:w="5206" w:type="dxa"/>
          </w:tcPr>
          <w:p w14:paraId="58EE5369" w14:textId="77777777" w:rsidR="000E56E8" w:rsidRPr="000E56E8" w:rsidRDefault="000E56E8" w:rsidP="003929B4">
            <w:pPr>
              <w:spacing w:after="0"/>
              <w:jc w:val="both"/>
              <w:rPr>
                <w:rFonts w:ascii="Times New Roman" w:hAnsi="Times New Roman"/>
              </w:rPr>
            </w:pPr>
            <w:r w:rsidRPr="00336EA2">
              <w:rPr>
                <w:rFonts w:ascii="Times New Roman" w:hAnsi="Times New Roman" w:cs="Times New Roman"/>
              </w:rPr>
              <w:lastRenderedPageBreak/>
              <w:t xml:space="preserve">Reputacija vertinama pagal </w:t>
            </w:r>
            <w:r w:rsidRPr="00576E68">
              <w:rPr>
                <w:rFonts w:ascii="Times New Roman" w:hAnsi="Times New Roman" w:cs="Times New Roman"/>
              </w:rPr>
              <w:t xml:space="preserve">FT </w:t>
            </w:r>
            <w:r w:rsidR="00576E68" w:rsidRPr="001F272D">
              <w:rPr>
                <w:rFonts w:ascii="Times New Roman" w:hAnsi="Times New Roman" w:cs="Times New Roman"/>
              </w:rPr>
              <w:t>prašym</w:t>
            </w:r>
            <w:r w:rsidR="00576E68" w:rsidRPr="00576E68">
              <w:rPr>
                <w:rFonts w:ascii="Times New Roman" w:hAnsi="Times New Roman" w:cs="Times New Roman"/>
              </w:rPr>
              <w:t>o 1 prie</w:t>
            </w:r>
            <w:r w:rsidR="00576E68" w:rsidRPr="001F272D">
              <w:rPr>
                <w:rFonts w:ascii="Times New Roman" w:hAnsi="Times New Roman" w:cs="Times New Roman"/>
              </w:rPr>
              <w:t xml:space="preserve">de </w:t>
            </w:r>
            <w:r w:rsidR="00576E68" w:rsidRPr="00576E68">
              <w:rPr>
                <w:rFonts w:ascii="Times New Roman" w:hAnsi="Times New Roman" w:cs="Times New Roman"/>
              </w:rPr>
              <w:t>ir</w:t>
            </w:r>
            <w:r w:rsidR="00576E68">
              <w:rPr>
                <w:rFonts w:ascii="Times New Roman" w:hAnsi="Times New Roman" w:cs="Times New Roman"/>
              </w:rPr>
              <w:t xml:space="preserve"> PGF2 priemonės įgyvendinimo aprašyme</w:t>
            </w:r>
            <w:r w:rsidRPr="00336EA2">
              <w:rPr>
                <w:rFonts w:ascii="Times New Roman" w:hAnsi="Times New Roman" w:cs="Times New Roman"/>
              </w:rPr>
              <w:t xml:space="preserve"> </w:t>
            </w:r>
            <w:r w:rsidR="00576E68" w:rsidRPr="00336EA2">
              <w:rPr>
                <w:rFonts w:ascii="Times New Roman" w:hAnsi="Times New Roman" w:cs="Times New Roman"/>
              </w:rPr>
              <w:t>pateikt</w:t>
            </w:r>
            <w:r w:rsidR="00576E68">
              <w:rPr>
                <w:rFonts w:ascii="Times New Roman" w:hAnsi="Times New Roman" w:cs="Times New Roman"/>
              </w:rPr>
              <w:t>ą informacija</w:t>
            </w:r>
            <w:r w:rsidRPr="00336EA2">
              <w:rPr>
                <w:rFonts w:ascii="Times New Roman" w:hAnsi="Times New Roman" w:cs="Times New Roman"/>
              </w:rPr>
              <w:t xml:space="preserve">, taip pat informaciją, skelbiamą Lietuvos banko </w:t>
            </w:r>
            <w:r w:rsidRPr="00336EA2">
              <w:rPr>
                <w:rFonts w:ascii="Times New Roman" w:hAnsi="Times New Roman" w:cs="Times New Roman"/>
              </w:rPr>
              <w:lastRenderedPageBreak/>
              <w:t xml:space="preserve">internetinėje svetainėje. </w:t>
            </w:r>
            <w:r w:rsidR="009763AC">
              <w:rPr>
                <w:rFonts w:ascii="Times New Roman" w:hAnsi="Times New Roman" w:cs="Times New Roman"/>
              </w:rPr>
              <w:t>Gali</w:t>
            </w:r>
            <w:r w:rsidRPr="00336EA2">
              <w:rPr>
                <w:rFonts w:ascii="Times New Roman" w:hAnsi="Times New Roman" w:cs="Times New Roman"/>
              </w:rPr>
              <w:t xml:space="preserve"> būti vertinama internete, spaudoje ir kituose viešai prieinamuose informacijos šaltiniuose skelbiama informacija</w:t>
            </w:r>
          </w:p>
        </w:tc>
      </w:tr>
      <w:tr w:rsidR="00A3031C" w:rsidRPr="00E0686E" w14:paraId="3B9618DB" w14:textId="77777777" w:rsidTr="009167F4">
        <w:tc>
          <w:tcPr>
            <w:tcW w:w="2972" w:type="dxa"/>
            <w:vMerge w:val="restart"/>
          </w:tcPr>
          <w:p w14:paraId="690CDF34" w14:textId="77777777" w:rsidR="000E56E8" w:rsidRPr="003929B4" w:rsidRDefault="000E56E8" w:rsidP="003929B4">
            <w:pPr>
              <w:spacing w:after="0"/>
              <w:jc w:val="both"/>
              <w:rPr>
                <w:rFonts w:ascii="Times New Roman" w:hAnsi="Times New Roman" w:cs="Times New Roman"/>
                <w:b/>
                <w:bCs/>
              </w:rPr>
            </w:pPr>
            <w:r w:rsidRPr="003929B4">
              <w:rPr>
                <w:rFonts w:ascii="Times New Roman" w:hAnsi="Times New Roman" w:cs="Times New Roman"/>
                <w:b/>
                <w:bCs/>
              </w:rPr>
              <w:lastRenderedPageBreak/>
              <w:t>Finansiniai reikalavimai ir normatyvai</w:t>
            </w:r>
          </w:p>
        </w:tc>
        <w:tc>
          <w:tcPr>
            <w:tcW w:w="3402" w:type="dxa"/>
          </w:tcPr>
          <w:p w14:paraId="2DDBC3FB" w14:textId="77777777" w:rsidR="000E56E8" w:rsidRPr="00204052" w:rsidRDefault="00204052" w:rsidP="007368F8">
            <w:pPr>
              <w:spacing w:after="0"/>
              <w:jc w:val="both"/>
              <w:rPr>
                <w:rFonts w:ascii="Times New Roman" w:hAnsi="Times New Roman" w:cs="Times New Roman"/>
              </w:rPr>
            </w:pPr>
            <w:r>
              <w:rPr>
                <w:rFonts w:ascii="Times New Roman" w:hAnsi="Times New Roman" w:cs="Times New Roman"/>
              </w:rPr>
              <w:t>L</w:t>
            </w:r>
            <w:r w:rsidR="007368F8">
              <w:rPr>
                <w:rFonts w:ascii="Times New Roman" w:hAnsi="Times New Roman" w:cs="Times New Roman"/>
              </w:rPr>
              <w:t>ietuvos bankui</w:t>
            </w:r>
            <w:r>
              <w:rPr>
                <w:rFonts w:ascii="Times New Roman" w:hAnsi="Times New Roman" w:cs="Times New Roman"/>
              </w:rPr>
              <w:t xml:space="preserve"> turi būti pateikta a</w:t>
            </w:r>
            <w:r w:rsidR="000E56E8" w:rsidRPr="00E0686E">
              <w:rPr>
                <w:rFonts w:ascii="Times New Roman" w:hAnsi="Times New Roman" w:cs="Times New Roman"/>
              </w:rPr>
              <w:t>udituota metinė finansinė atskaitomybė</w:t>
            </w:r>
            <w:r w:rsidRPr="007368F8">
              <w:rPr>
                <w:rFonts w:ascii="Times New Roman" w:hAnsi="Times New Roman"/>
              </w:rPr>
              <w:t>*</w:t>
            </w:r>
          </w:p>
        </w:tc>
        <w:tc>
          <w:tcPr>
            <w:tcW w:w="3724" w:type="dxa"/>
          </w:tcPr>
          <w:p w14:paraId="62FA31D9" w14:textId="77777777" w:rsidR="000E56E8" w:rsidRPr="00E0686E" w:rsidRDefault="000E56E8" w:rsidP="003929B4">
            <w:pPr>
              <w:spacing w:after="0"/>
              <w:jc w:val="both"/>
              <w:rPr>
                <w:rFonts w:ascii="Times New Roman" w:hAnsi="Times New Roman" w:cs="Times New Roman"/>
              </w:rPr>
            </w:pPr>
            <w:r w:rsidRPr="00E0686E">
              <w:rPr>
                <w:rFonts w:ascii="Times New Roman" w:hAnsi="Times New Roman" w:cs="Times New Roman"/>
              </w:rPr>
              <w:t>Audituota metinė finansinė atskaitomybė</w:t>
            </w:r>
          </w:p>
        </w:tc>
        <w:tc>
          <w:tcPr>
            <w:tcW w:w="5206" w:type="dxa"/>
            <w:vMerge w:val="restart"/>
          </w:tcPr>
          <w:p w14:paraId="33573E7B" w14:textId="77777777" w:rsidR="000F2F49" w:rsidRDefault="000E56E8" w:rsidP="003929B4">
            <w:pPr>
              <w:spacing w:after="0"/>
              <w:jc w:val="both"/>
              <w:rPr>
                <w:rFonts w:ascii="Times New Roman" w:hAnsi="Times New Roman"/>
              </w:rPr>
            </w:pPr>
            <w:r w:rsidRPr="000E56E8">
              <w:rPr>
                <w:rFonts w:ascii="Times New Roman" w:hAnsi="Times New Roman"/>
              </w:rPr>
              <w:t>Atitikimas normatyvams vertinamas remiantis FT pateiktais duomenimis: finansinių ataskaitų rinkiniu ir (ar) ataskaitomis bei kitais dokumentais</w:t>
            </w:r>
            <w:r w:rsidR="00204052">
              <w:rPr>
                <w:rFonts w:ascii="Times New Roman" w:hAnsi="Times New Roman"/>
              </w:rPr>
              <w:t>.</w:t>
            </w:r>
            <w:r w:rsidR="000F2F49">
              <w:rPr>
                <w:rFonts w:ascii="Times New Roman" w:hAnsi="Times New Roman"/>
              </w:rPr>
              <w:t xml:space="preserve"> </w:t>
            </w:r>
          </w:p>
          <w:p w14:paraId="3504B6B2" w14:textId="77777777" w:rsidR="000E56E8" w:rsidRDefault="000E56E8" w:rsidP="003929B4">
            <w:pPr>
              <w:spacing w:after="0"/>
              <w:jc w:val="both"/>
              <w:rPr>
                <w:rFonts w:ascii="Times New Roman" w:hAnsi="Times New Roman"/>
              </w:rPr>
            </w:pPr>
          </w:p>
          <w:p w14:paraId="10E1A57B" w14:textId="6379A6FD" w:rsidR="00204052" w:rsidRPr="00E0686E" w:rsidRDefault="00DA151A" w:rsidP="003929B4">
            <w:pPr>
              <w:spacing w:after="0"/>
              <w:jc w:val="both"/>
              <w:rPr>
                <w:rFonts w:ascii="Times New Roman" w:hAnsi="Times New Roman"/>
              </w:rPr>
            </w:pPr>
            <w:r>
              <w:rPr>
                <w:rFonts w:ascii="Times New Roman" w:hAnsi="Times New Roman" w:cs="Times New Roman"/>
              </w:rPr>
              <w:t>PGF2 priemonės įgyvendinimo aprašyme</w:t>
            </w:r>
            <w:r w:rsidR="00204052">
              <w:rPr>
                <w:rFonts w:ascii="Times New Roman" w:hAnsi="Times New Roman"/>
              </w:rPr>
              <w:t xml:space="preserve"> pateikiama informacija apie pajamų iš finansavimo veiklos dydį, jeigu ši informacija neišskiriama finansinėse ataskaitose</w:t>
            </w:r>
            <w:r w:rsidR="00551A54">
              <w:rPr>
                <w:rFonts w:ascii="Times New Roman" w:hAnsi="Times New Roman"/>
              </w:rPr>
              <w:t>, pateikiami kiti atitikimą reikalavimui patvirtinantys įrodymai.</w:t>
            </w:r>
          </w:p>
        </w:tc>
      </w:tr>
      <w:tr w:rsidR="00A3031C" w:rsidRPr="00E0686E" w14:paraId="178522F0" w14:textId="77777777" w:rsidTr="009167F4">
        <w:trPr>
          <w:trHeight w:val="2253"/>
        </w:trPr>
        <w:tc>
          <w:tcPr>
            <w:tcW w:w="2972" w:type="dxa"/>
            <w:vMerge/>
          </w:tcPr>
          <w:p w14:paraId="084453BE" w14:textId="77777777" w:rsidR="000E56E8" w:rsidRPr="003929B4" w:rsidRDefault="000E56E8" w:rsidP="003929B4">
            <w:pPr>
              <w:spacing w:after="0"/>
              <w:jc w:val="both"/>
              <w:rPr>
                <w:rFonts w:ascii="Times New Roman" w:hAnsi="Times New Roman" w:cs="Times New Roman"/>
                <w:b/>
                <w:bCs/>
              </w:rPr>
            </w:pPr>
          </w:p>
        </w:tc>
        <w:tc>
          <w:tcPr>
            <w:tcW w:w="3402" w:type="dxa"/>
          </w:tcPr>
          <w:p w14:paraId="404D4CC2" w14:textId="2D74E507" w:rsidR="00A54982" w:rsidRDefault="00A54982" w:rsidP="00A54982">
            <w:pPr>
              <w:spacing w:after="0"/>
              <w:jc w:val="both"/>
              <w:rPr>
                <w:rFonts w:ascii="Times New Roman" w:hAnsi="Times New Roman"/>
              </w:rPr>
            </w:pPr>
            <w:r>
              <w:rPr>
                <w:rFonts w:ascii="Times New Roman" w:hAnsi="Times New Roman" w:cs="Times New Roman"/>
              </w:rPr>
              <w:t>FT nėra taikomos Lietuvos banko poveikio priemonės</w:t>
            </w:r>
            <w:r w:rsidR="00A16179">
              <w:rPr>
                <w:rFonts w:ascii="Times New Roman" w:hAnsi="Times New Roman" w:cs="Times New Roman"/>
              </w:rPr>
              <w:t>, išskyrus įspėjimą</w:t>
            </w:r>
            <w:r w:rsidR="007368F8" w:rsidRPr="007368F8">
              <w:rPr>
                <w:rFonts w:ascii="Times New Roman" w:hAnsi="Times New Roman"/>
              </w:rPr>
              <w:t>*</w:t>
            </w:r>
          </w:p>
          <w:p w14:paraId="708672CF" w14:textId="77777777" w:rsidR="007368F8" w:rsidRPr="00E0686E" w:rsidRDefault="007368F8" w:rsidP="00A54982">
            <w:pPr>
              <w:spacing w:after="0"/>
              <w:jc w:val="both"/>
              <w:rPr>
                <w:rFonts w:ascii="Times New Roman" w:hAnsi="Times New Roman" w:cs="Times New Roman"/>
              </w:rPr>
            </w:pPr>
          </w:p>
        </w:tc>
        <w:tc>
          <w:tcPr>
            <w:tcW w:w="3724" w:type="dxa"/>
          </w:tcPr>
          <w:p w14:paraId="70EF6236" w14:textId="435DF3B7" w:rsidR="000E56E8" w:rsidRPr="00E0686E" w:rsidRDefault="000E56E8" w:rsidP="003929B4">
            <w:pPr>
              <w:spacing w:after="0"/>
              <w:jc w:val="both"/>
              <w:rPr>
                <w:rFonts w:ascii="Times New Roman" w:hAnsi="Times New Roman" w:cs="Times New Roman"/>
              </w:rPr>
            </w:pPr>
            <w:r w:rsidRPr="00E0686E">
              <w:rPr>
                <w:rFonts w:ascii="Times New Roman" w:hAnsi="Times New Roman" w:cs="Times New Roman"/>
              </w:rPr>
              <w:t xml:space="preserve">Minimalios </w:t>
            </w:r>
            <w:r w:rsidR="006D7BE4">
              <w:rPr>
                <w:rFonts w:ascii="Times New Roman" w:hAnsi="Times New Roman" w:cs="Times New Roman"/>
              </w:rPr>
              <w:t xml:space="preserve">metinės </w:t>
            </w:r>
            <w:r w:rsidRPr="00E0686E">
              <w:rPr>
                <w:rFonts w:ascii="Times New Roman" w:hAnsi="Times New Roman" w:cs="Times New Roman"/>
              </w:rPr>
              <w:t xml:space="preserve">pajamos – ne mažiau kaip 100 000 EUR, iš jų ne mažiau kaip </w:t>
            </w:r>
            <w:r w:rsidR="00E84459" w:rsidRPr="00E0686E">
              <w:rPr>
                <w:rFonts w:ascii="Times New Roman" w:hAnsi="Times New Roman" w:cs="Times New Roman"/>
              </w:rPr>
              <w:t>50</w:t>
            </w:r>
            <w:r w:rsidR="00E84459">
              <w:rPr>
                <w:rFonts w:ascii="Times New Roman" w:hAnsi="Times New Roman" w:cs="Times New Roman"/>
              </w:rPr>
              <w:t> </w:t>
            </w:r>
            <w:r w:rsidRPr="00E0686E">
              <w:rPr>
                <w:rFonts w:ascii="Times New Roman" w:hAnsi="Times New Roman" w:cs="Times New Roman"/>
              </w:rPr>
              <w:t xml:space="preserve">proc. pajamų iš </w:t>
            </w:r>
            <w:r>
              <w:rPr>
                <w:rFonts w:ascii="Times New Roman" w:hAnsi="Times New Roman" w:cs="Times New Roman"/>
              </w:rPr>
              <w:t>finansavimo</w:t>
            </w:r>
            <w:r w:rsidRPr="00E0686E">
              <w:rPr>
                <w:rFonts w:ascii="Times New Roman" w:hAnsi="Times New Roman" w:cs="Times New Roman"/>
              </w:rPr>
              <w:t xml:space="preserve"> veiklos</w:t>
            </w:r>
            <w:r w:rsidR="009D214F">
              <w:rPr>
                <w:rFonts w:ascii="Times New Roman" w:hAnsi="Times New Roman" w:cs="Times New Roman"/>
              </w:rPr>
              <w:t>.</w:t>
            </w:r>
            <w:r w:rsidRPr="00E0686E">
              <w:rPr>
                <w:rFonts w:ascii="Times New Roman" w:hAnsi="Times New Roman" w:cs="Times New Roman"/>
              </w:rPr>
              <w:t xml:space="preserve"> </w:t>
            </w:r>
          </w:p>
        </w:tc>
        <w:tc>
          <w:tcPr>
            <w:tcW w:w="5206" w:type="dxa"/>
            <w:vMerge/>
          </w:tcPr>
          <w:p w14:paraId="2A97AAED" w14:textId="77777777" w:rsidR="000E56E8" w:rsidRPr="00E0686E" w:rsidRDefault="000E56E8" w:rsidP="003929B4">
            <w:pPr>
              <w:spacing w:after="0"/>
              <w:jc w:val="both"/>
              <w:rPr>
                <w:rFonts w:ascii="Times New Roman" w:hAnsi="Times New Roman"/>
              </w:rPr>
            </w:pPr>
          </w:p>
        </w:tc>
      </w:tr>
      <w:tr w:rsidR="00A3031C" w:rsidRPr="00E0686E" w14:paraId="5C293A73" w14:textId="77777777" w:rsidTr="009167F4">
        <w:tc>
          <w:tcPr>
            <w:tcW w:w="2972" w:type="dxa"/>
            <w:vMerge/>
          </w:tcPr>
          <w:p w14:paraId="699A06AF" w14:textId="77777777" w:rsidR="000E56E8" w:rsidRPr="003929B4" w:rsidRDefault="000E56E8" w:rsidP="003929B4">
            <w:pPr>
              <w:spacing w:after="0"/>
              <w:jc w:val="both"/>
              <w:rPr>
                <w:rFonts w:ascii="Times New Roman" w:hAnsi="Times New Roman" w:cs="Times New Roman"/>
                <w:b/>
                <w:bCs/>
              </w:rPr>
            </w:pPr>
          </w:p>
        </w:tc>
        <w:tc>
          <w:tcPr>
            <w:tcW w:w="3402" w:type="dxa"/>
          </w:tcPr>
          <w:p w14:paraId="54FF5BF0" w14:textId="77777777" w:rsidR="000E56E8" w:rsidRPr="00E0686E" w:rsidRDefault="000E56E8" w:rsidP="003929B4">
            <w:pPr>
              <w:spacing w:after="0"/>
              <w:jc w:val="both"/>
              <w:rPr>
                <w:rFonts w:ascii="Times New Roman" w:hAnsi="Times New Roman" w:cs="Times New Roman"/>
              </w:rPr>
            </w:pPr>
            <w:r w:rsidRPr="00E0686E">
              <w:rPr>
                <w:rFonts w:ascii="Times New Roman" w:hAnsi="Times New Roman" w:cs="Times New Roman"/>
              </w:rPr>
              <w:t xml:space="preserve">Jeigu Lietuvos bankas netaiko </w:t>
            </w:r>
            <w:r w:rsidR="007368F8">
              <w:rPr>
                <w:rFonts w:ascii="Times New Roman" w:hAnsi="Times New Roman" w:cs="Times New Roman"/>
              </w:rPr>
              <w:t xml:space="preserve">FT </w:t>
            </w:r>
            <w:r w:rsidRPr="00E0686E">
              <w:rPr>
                <w:rFonts w:ascii="Times New Roman" w:hAnsi="Times New Roman" w:cs="Times New Roman"/>
              </w:rPr>
              <w:t>veiklos riziką ribojančių normatyvų, tokiu atveju taikomi Lietuvos banko neprižiūrimiems FT nustatyti normatyvai</w:t>
            </w:r>
          </w:p>
        </w:tc>
        <w:tc>
          <w:tcPr>
            <w:tcW w:w="3724" w:type="dxa"/>
          </w:tcPr>
          <w:p w14:paraId="0A16FC56" w14:textId="739CC670" w:rsidR="007235C1" w:rsidRDefault="00551A54" w:rsidP="007235C1">
            <w:pPr>
              <w:jc w:val="both"/>
              <w:rPr>
                <w:rFonts w:ascii="Times New Roman" w:hAnsi="Times New Roman"/>
                <w:sz w:val="24"/>
                <w:szCs w:val="24"/>
              </w:rPr>
            </w:pPr>
            <w:r>
              <w:rPr>
                <w:rFonts w:ascii="Times New Roman" w:hAnsi="Times New Roman"/>
                <w:sz w:val="24"/>
                <w:szCs w:val="24"/>
              </w:rPr>
              <w:t>FT</w:t>
            </w:r>
            <w:r w:rsidR="001A121D" w:rsidRPr="001A121D">
              <w:rPr>
                <w:rFonts w:ascii="Times New Roman" w:hAnsi="Times New Roman"/>
                <w:sz w:val="24"/>
                <w:szCs w:val="24"/>
              </w:rPr>
              <w:t xml:space="preserve"> nuosavo kapitalo suma (įstatinio kapitalo, jo priedų, rezervų ir nepaskirstyto pelno suma) turi būti ne mažesnė nei 0,</w:t>
            </w:r>
            <w:r w:rsidR="001A121D">
              <w:rPr>
                <w:rFonts w:ascii="Times New Roman" w:hAnsi="Times New Roman"/>
                <w:sz w:val="24"/>
                <w:szCs w:val="24"/>
                <w:lang w:val="en-US"/>
              </w:rPr>
              <w:t>2</w:t>
            </w:r>
            <w:r w:rsidR="001A121D" w:rsidRPr="001A121D">
              <w:rPr>
                <w:rFonts w:ascii="Times New Roman" w:hAnsi="Times New Roman"/>
                <w:sz w:val="24"/>
                <w:szCs w:val="24"/>
              </w:rPr>
              <w:t>5 mln. EUR.</w:t>
            </w:r>
            <w:r w:rsidR="007235C1">
              <w:rPr>
                <w:rFonts w:ascii="Times New Roman" w:hAnsi="Times New Roman"/>
                <w:sz w:val="24"/>
                <w:szCs w:val="24"/>
              </w:rPr>
              <w:t xml:space="preserve"> FT</w:t>
            </w:r>
            <w:r w:rsidR="007235C1" w:rsidRPr="001A121D">
              <w:rPr>
                <w:rFonts w:ascii="Times New Roman" w:hAnsi="Times New Roman"/>
                <w:sz w:val="24"/>
                <w:szCs w:val="24"/>
              </w:rPr>
              <w:t xml:space="preserve"> koreguoto nuosavo kapitalo suma</w:t>
            </w:r>
            <w:r w:rsidR="007235C1">
              <w:rPr>
                <w:rFonts w:ascii="Times New Roman" w:hAnsi="Times New Roman"/>
                <w:sz w:val="24"/>
                <w:szCs w:val="24"/>
              </w:rPr>
              <w:t>**</w:t>
            </w:r>
            <w:r w:rsidR="007235C1" w:rsidRPr="001A121D">
              <w:rPr>
                <w:rFonts w:ascii="Times New Roman" w:hAnsi="Times New Roman"/>
                <w:sz w:val="24"/>
                <w:szCs w:val="24"/>
              </w:rPr>
              <w:t xml:space="preserve"> negali būti mažesnė kaip 0,</w:t>
            </w:r>
            <w:r w:rsidR="007235C1">
              <w:rPr>
                <w:rFonts w:ascii="Times New Roman" w:hAnsi="Times New Roman"/>
                <w:sz w:val="24"/>
                <w:szCs w:val="24"/>
              </w:rPr>
              <w:t>1</w:t>
            </w:r>
            <w:r w:rsidR="007235C1" w:rsidRPr="001A121D">
              <w:rPr>
                <w:rFonts w:ascii="Times New Roman" w:hAnsi="Times New Roman"/>
                <w:sz w:val="24"/>
                <w:szCs w:val="24"/>
              </w:rPr>
              <w:t xml:space="preserve"> mln</w:t>
            </w:r>
            <w:r w:rsidR="007235C1">
              <w:rPr>
                <w:rFonts w:ascii="Times New Roman" w:hAnsi="Times New Roman"/>
                <w:sz w:val="24"/>
                <w:szCs w:val="24"/>
              </w:rPr>
              <w:t>.</w:t>
            </w:r>
            <w:r w:rsidR="001A121D" w:rsidRPr="001A121D">
              <w:rPr>
                <w:rFonts w:ascii="Times New Roman" w:hAnsi="Times New Roman"/>
                <w:sz w:val="24"/>
                <w:szCs w:val="24"/>
              </w:rPr>
              <w:t xml:space="preserve"> EUR. </w:t>
            </w:r>
          </w:p>
          <w:p w14:paraId="6376E365" w14:textId="14EF5BAB" w:rsidR="000E56E8" w:rsidRPr="00E0686E" w:rsidRDefault="000E56E8" w:rsidP="00817D77">
            <w:pPr>
              <w:jc w:val="both"/>
              <w:rPr>
                <w:rFonts w:ascii="Times New Roman" w:hAnsi="Times New Roman" w:cs="Times New Roman"/>
              </w:rPr>
            </w:pPr>
          </w:p>
        </w:tc>
        <w:tc>
          <w:tcPr>
            <w:tcW w:w="5206" w:type="dxa"/>
            <w:vMerge/>
          </w:tcPr>
          <w:p w14:paraId="62FE9865" w14:textId="77777777" w:rsidR="000E56E8" w:rsidRPr="00E0686E" w:rsidRDefault="000E56E8" w:rsidP="003929B4">
            <w:pPr>
              <w:spacing w:after="0"/>
              <w:jc w:val="both"/>
              <w:rPr>
                <w:rFonts w:ascii="Times New Roman" w:hAnsi="Times New Roman"/>
              </w:rPr>
            </w:pPr>
          </w:p>
        </w:tc>
      </w:tr>
      <w:tr w:rsidR="004A3DE3" w:rsidRPr="00E0686E" w14:paraId="0616FC65" w14:textId="77777777" w:rsidTr="009167F4">
        <w:tc>
          <w:tcPr>
            <w:tcW w:w="2972" w:type="dxa"/>
          </w:tcPr>
          <w:p w14:paraId="34B42CDD" w14:textId="77777777" w:rsidR="004A3DE3" w:rsidRPr="003929B4" w:rsidRDefault="00A91FD3" w:rsidP="003929B4">
            <w:pPr>
              <w:spacing w:after="0"/>
              <w:jc w:val="both"/>
              <w:rPr>
                <w:rFonts w:ascii="Times New Roman" w:hAnsi="Times New Roman"/>
                <w:b/>
                <w:bCs/>
              </w:rPr>
            </w:pPr>
            <w:r>
              <w:rPr>
                <w:rFonts w:ascii="Times New Roman" w:hAnsi="Times New Roman"/>
                <w:b/>
                <w:bCs/>
              </w:rPr>
              <w:t>FT</w:t>
            </w:r>
            <w:r w:rsidRPr="004A3DE3">
              <w:rPr>
                <w:rFonts w:ascii="Times New Roman" w:hAnsi="Times New Roman"/>
                <w:b/>
                <w:bCs/>
              </w:rPr>
              <w:t xml:space="preserve"> prašymo pateikimo metu yra įvykdžiusi su mokesčių ir socialinio draudimo įmokų mokėjimu susijusius </w:t>
            </w:r>
            <w:r w:rsidRPr="004A3DE3">
              <w:rPr>
                <w:rFonts w:ascii="Times New Roman" w:hAnsi="Times New Roman"/>
                <w:b/>
                <w:bCs/>
              </w:rPr>
              <w:lastRenderedPageBreak/>
              <w:t xml:space="preserve">įsipareigojimus pagal </w:t>
            </w:r>
            <w:r>
              <w:rPr>
                <w:rFonts w:ascii="Times New Roman" w:hAnsi="Times New Roman"/>
                <w:b/>
                <w:bCs/>
              </w:rPr>
              <w:t>FT</w:t>
            </w:r>
            <w:r w:rsidRPr="004A3DE3">
              <w:rPr>
                <w:rFonts w:ascii="Times New Roman" w:hAnsi="Times New Roman"/>
                <w:b/>
                <w:bCs/>
              </w:rPr>
              <w:t xml:space="preserve"> veiklai taikomus teisės aktus</w:t>
            </w:r>
          </w:p>
        </w:tc>
        <w:tc>
          <w:tcPr>
            <w:tcW w:w="3402" w:type="dxa"/>
          </w:tcPr>
          <w:p w14:paraId="7F29E104" w14:textId="77777777" w:rsidR="004A3DE3" w:rsidRPr="00E0686E" w:rsidRDefault="00A91FD3" w:rsidP="003929B4">
            <w:pPr>
              <w:spacing w:after="0"/>
              <w:jc w:val="both"/>
              <w:rPr>
                <w:rFonts w:ascii="Times New Roman" w:hAnsi="Times New Roman"/>
              </w:rPr>
            </w:pPr>
            <w:r w:rsidRPr="00E0686E">
              <w:rPr>
                <w:rFonts w:ascii="Times New Roman" w:hAnsi="Times New Roman" w:cs="Times New Roman"/>
              </w:rPr>
              <w:lastRenderedPageBreak/>
              <w:t>Nereikia pateikti</w:t>
            </w:r>
          </w:p>
        </w:tc>
        <w:tc>
          <w:tcPr>
            <w:tcW w:w="3724" w:type="dxa"/>
          </w:tcPr>
          <w:p w14:paraId="04AA4247" w14:textId="77777777" w:rsidR="004A3DE3" w:rsidRPr="00E0686E" w:rsidRDefault="00A91FD3" w:rsidP="00DA151A">
            <w:pPr>
              <w:spacing w:after="0"/>
              <w:jc w:val="both"/>
              <w:rPr>
                <w:rFonts w:ascii="Times New Roman" w:hAnsi="Times New Roman"/>
              </w:rPr>
            </w:pPr>
            <w:r w:rsidRPr="00E0686E">
              <w:rPr>
                <w:rFonts w:ascii="Times New Roman" w:hAnsi="Times New Roman" w:cs="Times New Roman"/>
              </w:rPr>
              <w:t>Nereikia pateikti</w:t>
            </w:r>
          </w:p>
        </w:tc>
        <w:tc>
          <w:tcPr>
            <w:tcW w:w="5206" w:type="dxa"/>
          </w:tcPr>
          <w:p w14:paraId="12BD5FF5" w14:textId="77777777" w:rsidR="004A3DE3" w:rsidRPr="00E0686E" w:rsidRDefault="004A3DE3" w:rsidP="003929B4">
            <w:pPr>
              <w:spacing w:after="0"/>
              <w:jc w:val="both"/>
              <w:rPr>
                <w:rFonts w:ascii="Times New Roman" w:hAnsi="Times New Roman"/>
              </w:rPr>
            </w:pPr>
            <w:r>
              <w:rPr>
                <w:rFonts w:ascii="Times New Roman" w:hAnsi="Times New Roman"/>
              </w:rPr>
              <w:t>Tikrinami valstybės registruose viešai prieinama duomenys ir informacija</w:t>
            </w:r>
          </w:p>
        </w:tc>
      </w:tr>
      <w:tr w:rsidR="00A3031C" w:rsidRPr="00E0686E" w14:paraId="43142668" w14:textId="77777777" w:rsidTr="009167F4">
        <w:tc>
          <w:tcPr>
            <w:tcW w:w="2972" w:type="dxa"/>
          </w:tcPr>
          <w:p w14:paraId="3ADD5F9F" w14:textId="77777777" w:rsidR="00711D77" w:rsidRPr="00F30EC1" w:rsidRDefault="00711D77" w:rsidP="00DA151A">
            <w:pPr>
              <w:spacing w:after="0"/>
              <w:jc w:val="both"/>
              <w:rPr>
                <w:rFonts w:ascii="Times New Roman" w:hAnsi="Times New Roman" w:cs="Times New Roman"/>
                <w:b/>
                <w:bCs/>
              </w:rPr>
            </w:pPr>
            <w:r w:rsidRPr="00F30EC1">
              <w:rPr>
                <w:rFonts w:ascii="Times New Roman" w:hAnsi="Times New Roman" w:cs="Times New Roman"/>
                <w:b/>
                <w:bCs/>
              </w:rPr>
              <w:t xml:space="preserve">Minimali veiklos vykdymo trukmė </w:t>
            </w:r>
            <w:r>
              <w:rPr>
                <w:rFonts w:ascii="Times New Roman" w:hAnsi="Times New Roman" w:cs="Times New Roman"/>
                <w:b/>
                <w:bCs/>
              </w:rPr>
              <w:t>12 mėn.</w:t>
            </w:r>
            <w:r w:rsidR="00DE2CFA" w:rsidRPr="00F30EC1">
              <w:rPr>
                <w:rFonts w:ascii="Times New Roman" w:hAnsi="Times New Roman" w:cs="Times New Roman"/>
                <w:b/>
                <w:bCs/>
              </w:rPr>
              <w:t xml:space="preserve"> </w:t>
            </w:r>
          </w:p>
        </w:tc>
        <w:tc>
          <w:tcPr>
            <w:tcW w:w="3402" w:type="dxa"/>
          </w:tcPr>
          <w:p w14:paraId="59AA21B0" w14:textId="77777777" w:rsidR="00711D77" w:rsidRPr="009B7B60" w:rsidRDefault="00711D77" w:rsidP="00204052">
            <w:pPr>
              <w:spacing w:after="0"/>
              <w:jc w:val="both"/>
              <w:rPr>
                <w:rFonts w:ascii="Times New Roman" w:hAnsi="Times New Roman" w:cs="Times New Roman"/>
              </w:rPr>
            </w:pPr>
          </w:p>
        </w:tc>
        <w:tc>
          <w:tcPr>
            <w:tcW w:w="3724" w:type="dxa"/>
          </w:tcPr>
          <w:p w14:paraId="6EDB4F5A" w14:textId="77777777" w:rsidR="00711D77" w:rsidRPr="009B7B60" w:rsidRDefault="00711D77" w:rsidP="00204052">
            <w:pPr>
              <w:spacing w:after="0"/>
              <w:jc w:val="both"/>
              <w:rPr>
                <w:rFonts w:ascii="Times New Roman" w:hAnsi="Times New Roman" w:cs="Times New Roman"/>
              </w:rPr>
            </w:pPr>
          </w:p>
        </w:tc>
        <w:tc>
          <w:tcPr>
            <w:tcW w:w="5206" w:type="dxa"/>
          </w:tcPr>
          <w:p w14:paraId="6E80178B" w14:textId="77777777" w:rsidR="00711D77" w:rsidRPr="009B7B60" w:rsidRDefault="00DA151A" w:rsidP="00DA151A">
            <w:pPr>
              <w:spacing w:after="0"/>
              <w:jc w:val="both"/>
              <w:rPr>
                <w:rFonts w:ascii="Times New Roman" w:hAnsi="Times New Roman"/>
              </w:rPr>
            </w:pPr>
            <w:r>
              <w:rPr>
                <w:rFonts w:ascii="Times New Roman" w:hAnsi="Times New Roman" w:cs="Times New Roman"/>
              </w:rPr>
              <w:t>Informacija pateikiama PGF2 priemonės įgyvendinimo aprašyme</w:t>
            </w:r>
            <w:r w:rsidDel="00DA151A">
              <w:rPr>
                <w:rFonts w:ascii="Times New Roman" w:hAnsi="Times New Roman" w:cs="Times New Roman"/>
              </w:rPr>
              <w:t xml:space="preserve"> </w:t>
            </w:r>
          </w:p>
        </w:tc>
      </w:tr>
      <w:tr w:rsidR="00A3031C" w:rsidRPr="00E0686E" w14:paraId="231BD473" w14:textId="77777777" w:rsidTr="009167F4">
        <w:tc>
          <w:tcPr>
            <w:tcW w:w="2972" w:type="dxa"/>
          </w:tcPr>
          <w:p w14:paraId="771247CF" w14:textId="77777777" w:rsidR="00711D77" w:rsidRPr="003929B4" w:rsidRDefault="00711D77" w:rsidP="007B06EA">
            <w:pPr>
              <w:spacing w:after="0"/>
              <w:jc w:val="both"/>
              <w:rPr>
                <w:rFonts w:ascii="Times New Roman" w:hAnsi="Times New Roman" w:cs="Times New Roman"/>
                <w:b/>
                <w:bCs/>
              </w:rPr>
            </w:pPr>
            <w:r w:rsidRPr="003929B4">
              <w:rPr>
                <w:rFonts w:ascii="Times New Roman" w:hAnsi="Times New Roman" w:cs="Times New Roman"/>
                <w:b/>
                <w:bCs/>
              </w:rPr>
              <w:t xml:space="preserve">FT turi pagrįsti, kad </w:t>
            </w:r>
            <w:r>
              <w:rPr>
                <w:rFonts w:ascii="Times New Roman" w:hAnsi="Times New Roman" w:cs="Times New Roman"/>
                <w:b/>
                <w:bCs/>
              </w:rPr>
              <w:t xml:space="preserve">Lietuvoje </w:t>
            </w:r>
            <w:r w:rsidRPr="003929B4">
              <w:rPr>
                <w:rFonts w:ascii="Times New Roman" w:hAnsi="Times New Roman" w:cs="Times New Roman"/>
                <w:b/>
                <w:bCs/>
              </w:rPr>
              <w:t xml:space="preserve">per paskutinius 12 mėnesių tinkamai </w:t>
            </w:r>
            <w:r w:rsidRPr="00DA151A">
              <w:rPr>
                <w:rFonts w:ascii="Times New Roman" w:hAnsi="Times New Roman" w:cs="Times New Roman"/>
                <w:b/>
                <w:bCs/>
              </w:rPr>
              <w:t xml:space="preserve">suteikė ne mažiau kaip </w:t>
            </w:r>
            <w:r w:rsidR="00705B30" w:rsidRPr="005F556D">
              <w:rPr>
                <w:rFonts w:ascii="Times New Roman" w:hAnsi="Times New Roman" w:cs="Times New Roman"/>
                <w:b/>
                <w:bCs/>
              </w:rPr>
              <w:t>3</w:t>
            </w:r>
            <w:r w:rsidRPr="00DA151A">
              <w:rPr>
                <w:rFonts w:ascii="Times New Roman" w:hAnsi="Times New Roman" w:cs="Times New Roman"/>
                <w:b/>
                <w:bCs/>
              </w:rPr>
              <w:t xml:space="preserve">0 vnt. Faktoringo sandorių verslo subjektams (pasirašė Faktoringo sutarčių), kurių kiekvieno Faktoringo limitas ne didesnis kaip </w:t>
            </w:r>
            <w:r w:rsidR="007B06EA">
              <w:rPr>
                <w:rFonts w:ascii="Times New Roman" w:hAnsi="Times New Roman" w:cs="Times New Roman"/>
                <w:b/>
                <w:bCs/>
              </w:rPr>
              <w:t>1,8</w:t>
            </w:r>
            <w:r w:rsidRPr="007B06EA">
              <w:rPr>
                <w:rFonts w:ascii="Times New Roman" w:hAnsi="Times New Roman" w:cs="Times New Roman"/>
                <w:b/>
                <w:bCs/>
              </w:rPr>
              <w:t xml:space="preserve"> mln. Eur</w:t>
            </w:r>
          </w:p>
        </w:tc>
        <w:tc>
          <w:tcPr>
            <w:tcW w:w="3402" w:type="dxa"/>
          </w:tcPr>
          <w:p w14:paraId="1359BCD9" w14:textId="77777777" w:rsidR="00711D77" w:rsidRPr="00E0686E" w:rsidRDefault="00711D77" w:rsidP="00204052">
            <w:pPr>
              <w:spacing w:after="0"/>
              <w:jc w:val="both"/>
              <w:rPr>
                <w:rFonts w:ascii="Times New Roman" w:hAnsi="Times New Roman" w:cs="Times New Roman"/>
              </w:rPr>
            </w:pPr>
          </w:p>
        </w:tc>
        <w:tc>
          <w:tcPr>
            <w:tcW w:w="3724" w:type="dxa"/>
          </w:tcPr>
          <w:p w14:paraId="74AE92FE" w14:textId="77777777" w:rsidR="00711D77" w:rsidRPr="00E0686E" w:rsidRDefault="00711D77" w:rsidP="00204052">
            <w:pPr>
              <w:spacing w:after="0"/>
              <w:jc w:val="both"/>
              <w:rPr>
                <w:rFonts w:ascii="Times New Roman" w:hAnsi="Times New Roman" w:cs="Times New Roman"/>
              </w:rPr>
            </w:pPr>
          </w:p>
        </w:tc>
        <w:tc>
          <w:tcPr>
            <w:tcW w:w="5206" w:type="dxa"/>
          </w:tcPr>
          <w:p w14:paraId="684A0305" w14:textId="77777777" w:rsidR="00711D77" w:rsidRDefault="007B06EA" w:rsidP="00204052">
            <w:pPr>
              <w:spacing w:after="0"/>
              <w:jc w:val="both"/>
              <w:rPr>
                <w:rFonts w:ascii="Times New Roman" w:hAnsi="Times New Roman"/>
              </w:rPr>
            </w:pPr>
            <w:r>
              <w:rPr>
                <w:rFonts w:ascii="Times New Roman" w:hAnsi="Times New Roman" w:cs="Times New Roman"/>
              </w:rPr>
              <w:t>Patvirtinanti informacija pateikiama PGF2 priemonės įgyvendinimo aprašyme</w:t>
            </w:r>
            <w:r w:rsidR="003E1169">
              <w:rPr>
                <w:rFonts w:ascii="Times New Roman" w:hAnsi="Times New Roman" w:cs="Times New Roman"/>
              </w:rPr>
              <w:t xml:space="preserve">, </w:t>
            </w:r>
            <w:r w:rsidR="00711D77">
              <w:rPr>
                <w:rFonts w:ascii="Times New Roman" w:hAnsi="Times New Roman" w:cs="Times New Roman"/>
              </w:rPr>
              <w:t>FT</w:t>
            </w:r>
            <w:r w:rsidR="00711D77" w:rsidRPr="00E0686E">
              <w:rPr>
                <w:rFonts w:ascii="Times New Roman" w:hAnsi="Times New Roman" w:cs="Times New Roman"/>
              </w:rPr>
              <w:t xml:space="preserve"> pažym</w:t>
            </w:r>
            <w:r>
              <w:rPr>
                <w:rFonts w:ascii="Times New Roman" w:hAnsi="Times New Roman" w:cs="Times New Roman"/>
              </w:rPr>
              <w:t>oje</w:t>
            </w:r>
            <w:r w:rsidR="00711D77" w:rsidRPr="00E0686E">
              <w:rPr>
                <w:rFonts w:ascii="Times New Roman" w:hAnsi="Times New Roman" w:cs="Times New Roman"/>
              </w:rPr>
              <w:t>, kit</w:t>
            </w:r>
            <w:r>
              <w:rPr>
                <w:rFonts w:ascii="Times New Roman" w:hAnsi="Times New Roman" w:cs="Times New Roman"/>
              </w:rPr>
              <w:t>uose</w:t>
            </w:r>
            <w:r w:rsidR="00711D77" w:rsidRPr="00E0686E">
              <w:rPr>
                <w:rFonts w:ascii="Times New Roman" w:hAnsi="Times New Roman" w:cs="Times New Roman"/>
              </w:rPr>
              <w:t xml:space="preserve"> atitikimą šiam reikalavimui patvirtinan</w:t>
            </w:r>
            <w:r>
              <w:rPr>
                <w:rFonts w:ascii="Times New Roman" w:hAnsi="Times New Roman" w:cs="Times New Roman"/>
              </w:rPr>
              <w:t>čiuose</w:t>
            </w:r>
            <w:r w:rsidR="00711D77" w:rsidRPr="00E0686E">
              <w:rPr>
                <w:rFonts w:ascii="Times New Roman" w:hAnsi="Times New Roman" w:cs="Times New Roman"/>
              </w:rPr>
              <w:t xml:space="preserve"> dokument</w:t>
            </w:r>
            <w:r>
              <w:rPr>
                <w:rFonts w:ascii="Times New Roman" w:hAnsi="Times New Roman" w:cs="Times New Roman"/>
              </w:rPr>
              <w:t>uose</w:t>
            </w:r>
            <w:r w:rsidR="00711D77" w:rsidRPr="00E0686E">
              <w:rPr>
                <w:rFonts w:ascii="Times New Roman" w:hAnsi="Times New Roman" w:cs="Times New Roman"/>
              </w:rPr>
              <w:t>.</w:t>
            </w:r>
            <w:r w:rsidR="00AE32E5">
              <w:rPr>
                <w:rFonts w:ascii="Times New Roman" w:hAnsi="Times New Roman"/>
              </w:rPr>
              <w:t xml:space="preserve"> </w:t>
            </w:r>
          </w:p>
          <w:p w14:paraId="7A62D49E" w14:textId="77777777" w:rsidR="007B06EA" w:rsidRPr="00E0686E" w:rsidRDefault="007B06EA" w:rsidP="00204052">
            <w:pPr>
              <w:spacing w:after="0"/>
              <w:jc w:val="both"/>
              <w:rPr>
                <w:rFonts w:ascii="Times New Roman" w:hAnsi="Times New Roman" w:cs="Times New Roman"/>
              </w:rPr>
            </w:pPr>
          </w:p>
          <w:p w14:paraId="3C83B0A1" w14:textId="77777777" w:rsidR="00711D77" w:rsidRDefault="00711D77" w:rsidP="00204052">
            <w:pPr>
              <w:spacing w:after="0"/>
              <w:jc w:val="both"/>
              <w:rPr>
                <w:rFonts w:ascii="Times New Roman" w:hAnsi="Times New Roman"/>
                <w:highlight w:val="yellow"/>
              </w:rPr>
            </w:pPr>
            <w:r w:rsidRPr="00493C1F">
              <w:rPr>
                <w:rFonts w:ascii="Times New Roman" w:hAnsi="Times New Roman"/>
              </w:rPr>
              <w:t>Faktoringo sandoris laikomas tinkamai suteiktu jei visi Faktoringo avansai pagal Faktoringo sandorio sutartį informacijos teikimo metu yra grąžinti arba jų grąžinimo terminai nepradelsti</w:t>
            </w:r>
          </w:p>
        </w:tc>
      </w:tr>
      <w:tr w:rsidR="00A3031C" w:rsidRPr="00E0686E" w14:paraId="31F42932" w14:textId="77777777" w:rsidTr="000A3208">
        <w:trPr>
          <w:trHeight w:val="2597"/>
        </w:trPr>
        <w:tc>
          <w:tcPr>
            <w:tcW w:w="2972" w:type="dxa"/>
          </w:tcPr>
          <w:p w14:paraId="7DB20FF2" w14:textId="77777777" w:rsidR="00AB79F1" w:rsidRPr="003929B4" w:rsidRDefault="00AB79F1" w:rsidP="007B06EA">
            <w:pPr>
              <w:jc w:val="both"/>
              <w:rPr>
                <w:rFonts w:ascii="Times New Roman" w:hAnsi="Times New Roman"/>
                <w:b/>
                <w:bCs/>
              </w:rPr>
            </w:pPr>
            <w:r>
              <w:rPr>
                <w:rFonts w:ascii="Times New Roman" w:hAnsi="Times New Roman"/>
                <w:b/>
                <w:bCs/>
              </w:rPr>
              <w:t xml:space="preserve">FT turi pagrįsti, kad </w:t>
            </w:r>
            <w:r w:rsidRPr="002101FC">
              <w:rPr>
                <w:rFonts w:ascii="Times New Roman" w:hAnsi="Times New Roman"/>
                <w:b/>
                <w:szCs w:val="24"/>
              </w:rPr>
              <w:t xml:space="preserve">verslo subjektams finansuoti išduotų Faktoringo </w:t>
            </w:r>
            <w:r>
              <w:rPr>
                <w:rFonts w:ascii="Times New Roman" w:hAnsi="Times New Roman"/>
                <w:b/>
                <w:szCs w:val="24"/>
              </w:rPr>
              <w:t>su regresu</w:t>
            </w:r>
            <w:r w:rsidRPr="002101FC">
              <w:rPr>
                <w:rFonts w:ascii="Times New Roman" w:hAnsi="Times New Roman"/>
                <w:b/>
                <w:szCs w:val="24"/>
              </w:rPr>
              <w:t xml:space="preserve"> </w:t>
            </w:r>
            <w:r w:rsidR="00AE32E5" w:rsidRPr="002101FC">
              <w:rPr>
                <w:rFonts w:ascii="Times New Roman" w:hAnsi="Times New Roman"/>
                <w:b/>
                <w:szCs w:val="24"/>
              </w:rPr>
              <w:t>sandorių</w:t>
            </w:r>
            <w:r w:rsidR="00AE32E5">
              <w:rPr>
                <w:rFonts w:ascii="Times New Roman" w:hAnsi="Times New Roman"/>
                <w:b/>
                <w:szCs w:val="24"/>
              </w:rPr>
              <w:t xml:space="preserve"> </w:t>
            </w:r>
            <w:r w:rsidRPr="002101FC">
              <w:rPr>
                <w:rFonts w:ascii="Times New Roman" w:hAnsi="Times New Roman"/>
                <w:b/>
                <w:szCs w:val="24"/>
              </w:rPr>
              <w:t xml:space="preserve">(pasirašytų ir galiojančių Faktoringo sutarčių), bendra Faktoringo limitų suma </w:t>
            </w:r>
            <w:r>
              <w:rPr>
                <w:rFonts w:ascii="Times New Roman" w:hAnsi="Times New Roman"/>
                <w:b/>
                <w:szCs w:val="24"/>
              </w:rPr>
              <w:t xml:space="preserve">prašymo pateikimo datą yra ne mažiau kaip </w:t>
            </w:r>
            <w:r w:rsidRPr="00AB79F1">
              <w:rPr>
                <w:rFonts w:ascii="Times New Roman" w:hAnsi="Times New Roman"/>
                <w:b/>
                <w:szCs w:val="24"/>
              </w:rPr>
              <w:t xml:space="preserve">2 </w:t>
            </w:r>
            <w:r>
              <w:rPr>
                <w:rFonts w:ascii="Times New Roman" w:hAnsi="Times New Roman"/>
                <w:b/>
                <w:szCs w:val="24"/>
              </w:rPr>
              <w:t>mln. Eur</w:t>
            </w:r>
          </w:p>
        </w:tc>
        <w:tc>
          <w:tcPr>
            <w:tcW w:w="3402" w:type="dxa"/>
          </w:tcPr>
          <w:p w14:paraId="331AC4C1" w14:textId="77777777" w:rsidR="00AB79F1" w:rsidRPr="00E0686E" w:rsidRDefault="00AB79F1" w:rsidP="00204052">
            <w:pPr>
              <w:spacing w:after="0"/>
              <w:jc w:val="both"/>
              <w:rPr>
                <w:rFonts w:ascii="Times New Roman" w:hAnsi="Times New Roman"/>
              </w:rPr>
            </w:pPr>
          </w:p>
        </w:tc>
        <w:tc>
          <w:tcPr>
            <w:tcW w:w="3724" w:type="dxa"/>
          </w:tcPr>
          <w:p w14:paraId="24FAF41C" w14:textId="77777777" w:rsidR="00AB79F1" w:rsidRPr="00E0686E" w:rsidRDefault="00AB79F1" w:rsidP="00204052">
            <w:pPr>
              <w:spacing w:after="0"/>
              <w:jc w:val="both"/>
              <w:rPr>
                <w:rFonts w:ascii="Times New Roman" w:hAnsi="Times New Roman"/>
              </w:rPr>
            </w:pPr>
          </w:p>
        </w:tc>
        <w:tc>
          <w:tcPr>
            <w:tcW w:w="5206" w:type="dxa"/>
          </w:tcPr>
          <w:p w14:paraId="4A73A166" w14:textId="6BF1CC5B" w:rsidR="00AB79F1" w:rsidRDefault="007B06EA" w:rsidP="00204052">
            <w:pPr>
              <w:spacing w:after="0"/>
              <w:jc w:val="both"/>
              <w:rPr>
                <w:rFonts w:ascii="Times New Roman" w:hAnsi="Times New Roman" w:cs="Times New Roman"/>
              </w:rPr>
            </w:pPr>
            <w:r>
              <w:rPr>
                <w:rFonts w:ascii="Times New Roman" w:hAnsi="Times New Roman" w:cs="Times New Roman"/>
              </w:rPr>
              <w:t>Patvirtinanti informacija pateikiama PGF2 priemonės įgyvendinimo aprašyme</w:t>
            </w:r>
            <w:r w:rsidR="003E1169">
              <w:rPr>
                <w:rFonts w:ascii="Times New Roman" w:hAnsi="Times New Roman" w:cs="Times New Roman"/>
              </w:rPr>
              <w:t xml:space="preserve">, </w:t>
            </w:r>
            <w:r>
              <w:rPr>
                <w:rFonts w:ascii="Times New Roman" w:hAnsi="Times New Roman" w:cs="Times New Roman"/>
              </w:rPr>
              <w:t>FT</w:t>
            </w:r>
            <w:r w:rsidRPr="00E0686E">
              <w:rPr>
                <w:rFonts w:ascii="Times New Roman" w:hAnsi="Times New Roman" w:cs="Times New Roman"/>
              </w:rPr>
              <w:t xml:space="preserve"> pažym</w:t>
            </w:r>
            <w:r>
              <w:rPr>
                <w:rFonts w:ascii="Times New Roman" w:hAnsi="Times New Roman" w:cs="Times New Roman"/>
              </w:rPr>
              <w:t>oje</w:t>
            </w:r>
            <w:r w:rsidRPr="00E0686E">
              <w:rPr>
                <w:rFonts w:ascii="Times New Roman" w:hAnsi="Times New Roman" w:cs="Times New Roman"/>
              </w:rPr>
              <w:t>, kit</w:t>
            </w:r>
            <w:r>
              <w:rPr>
                <w:rFonts w:ascii="Times New Roman" w:hAnsi="Times New Roman" w:cs="Times New Roman"/>
              </w:rPr>
              <w:t>uose</w:t>
            </w:r>
            <w:r w:rsidRPr="00E0686E">
              <w:rPr>
                <w:rFonts w:ascii="Times New Roman" w:hAnsi="Times New Roman" w:cs="Times New Roman"/>
              </w:rPr>
              <w:t xml:space="preserve"> atitikimą šiam reikalavimui patvirtinan</w:t>
            </w:r>
            <w:r>
              <w:rPr>
                <w:rFonts w:ascii="Times New Roman" w:hAnsi="Times New Roman" w:cs="Times New Roman"/>
              </w:rPr>
              <w:t>čiuose</w:t>
            </w:r>
            <w:r w:rsidRPr="00E0686E">
              <w:rPr>
                <w:rFonts w:ascii="Times New Roman" w:hAnsi="Times New Roman" w:cs="Times New Roman"/>
              </w:rPr>
              <w:t xml:space="preserve"> dokument</w:t>
            </w:r>
            <w:r>
              <w:rPr>
                <w:rFonts w:ascii="Times New Roman" w:hAnsi="Times New Roman" w:cs="Times New Roman"/>
              </w:rPr>
              <w:t>uose</w:t>
            </w:r>
          </w:p>
          <w:p w14:paraId="5103ADFB" w14:textId="77777777" w:rsidR="003B63B6" w:rsidRDefault="003B63B6" w:rsidP="00204052">
            <w:pPr>
              <w:spacing w:after="0"/>
              <w:jc w:val="both"/>
              <w:rPr>
                <w:rFonts w:ascii="Times New Roman" w:hAnsi="Times New Roman" w:cs="Times New Roman"/>
              </w:rPr>
            </w:pPr>
          </w:p>
          <w:p w14:paraId="15364D8E" w14:textId="77777777" w:rsidR="003B63B6" w:rsidRDefault="003B63B6" w:rsidP="00204052">
            <w:pPr>
              <w:spacing w:after="0"/>
              <w:jc w:val="both"/>
              <w:rPr>
                <w:rFonts w:ascii="Times New Roman" w:hAnsi="Times New Roman" w:cs="Times New Roman"/>
              </w:rPr>
            </w:pPr>
            <w:r>
              <w:rPr>
                <w:rFonts w:ascii="Times New Roman" w:hAnsi="Times New Roman" w:cs="Times New Roman"/>
              </w:rPr>
              <w:t>PGF2 priemonės įgyvendinimo aprašyme prašoma nurodyti FT</w:t>
            </w:r>
            <w:r w:rsidRPr="003B63B6">
              <w:rPr>
                <w:rFonts w:ascii="Times New Roman" w:hAnsi="Times New Roman" w:cs="Times New Roman"/>
              </w:rPr>
              <w:t xml:space="preserve"> verslo subjektams </w:t>
            </w:r>
            <w:r w:rsidR="002D39B0">
              <w:rPr>
                <w:rFonts w:ascii="Times New Roman" w:hAnsi="Times New Roman" w:cs="Times New Roman"/>
              </w:rPr>
              <w:t xml:space="preserve">išduotų faktoringo sandorių </w:t>
            </w:r>
            <w:r w:rsidRPr="003B63B6">
              <w:rPr>
                <w:rFonts w:ascii="Times New Roman" w:hAnsi="Times New Roman" w:cs="Times New Roman"/>
              </w:rPr>
              <w:t>(</w:t>
            </w:r>
            <w:r w:rsidR="002D39B0">
              <w:rPr>
                <w:rFonts w:ascii="Times New Roman" w:hAnsi="Times New Roman" w:cs="Times New Roman"/>
              </w:rPr>
              <w:t xml:space="preserve">su verslo subjektais </w:t>
            </w:r>
            <w:r w:rsidRPr="003B63B6">
              <w:rPr>
                <w:rFonts w:ascii="Times New Roman" w:hAnsi="Times New Roman" w:cs="Times New Roman"/>
              </w:rPr>
              <w:t>pasirašytų ir galiojančių Faktoringo s</w:t>
            </w:r>
            <w:r w:rsidR="002D39B0">
              <w:rPr>
                <w:rFonts w:ascii="Times New Roman" w:hAnsi="Times New Roman" w:cs="Times New Roman"/>
              </w:rPr>
              <w:t>utarčių), f</w:t>
            </w:r>
            <w:r>
              <w:rPr>
                <w:rFonts w:ascii="Times New Roman" w:hAnsi="Times New Roman" w:cs="Times New Roman"/>
              </w:rPr>
              <w:t>aktoringo limitų sumą</w:t>
            </w:r>
            <w:r w:rsidRPr="003B63B6">
              <w:rPr>
                <w:rFonts w:ascii="Times New Roman" w:hAnsi="Times New Roman" w:cs="Times New Roman"/>
              </w:rPr>
              <w:t xml:space="preserve"> portfelyje paskelbimo apie </w:t>
            </w:r>
            <w:r>
              <w:rPr>
                <w:rFonts w:ascii="Times New Roman" w:hAnsi="Times New Roman" w:cs="Times New Roman"/>
              </w:rPr>
              <w:t>kvietimą</w:t>
            </w:r>
            <w:r w:rsidRPr="003B63B6">
              <w:rPr>
                <w:rFonts w:ascii="Times New Roman" w:hAnsi="Times New Roman" w:cs="Times New Roman"/>
              </w:rPr>
              <w:t xml:space="preserve"> dieną</w:t>
            </w:r>
          </w:p>
          <w:p w14:paraId="5F49EC1E" w14:textId="77777777" w:rsidR="003B63B6" w:rsidRDefault="003B63B6" w:rsidP="00204052">
            <w:pPr>
              <w:spacing w:after="0"/>
              <w:jc w:val="both"/>
              <w:rPr>
                <w:rFonts w:ascii="Times New Roman" w:hAnsi="Times New Roman"/>
              </w:rPr>
            </w:pPr>
          </w:p>
        </w:tc>
      </w:tr>
      <w:tr w:rsidR="00712291" w:rsidRPr="00E0686E" w14:paraId="029E215F" w14:textId="77777777" w:rsidTr="009167F4">
        <w:tc>
          <w:tcPr>
            <w:tcW w:w="2972" w:type="dxa"/>
          </w:tcPr>
          <w:p w14:paraId="7EDD2506" w14:textId="77777777" w:rsidR="00712291" w:rsidRDefault="00712291" w:rsidP="00A82C7D">
            <w:pPr>
              <w:jc w:val="both"/>
              <w:rPr>
                <w:rFonts w:ascii="Times New Roman" w:hAnsi="Times New Roman"/>
                <w:b/>
                <w:bCs/>
              </w:rPr>
            </w:pPr>
            <w:r>
              <w:rPr>
                <w:rFonts w:ascii="Times New Roman" w:hAnsi="Times New Roman"/>
                <w:b/>
                <w:bCs/>
              </w:rPr>
              <w:t>FT</w:t>
            </w:r>
            <w:r w:rsidR="0009082B">
              <w:rPr>
                <w:rFonts w:ascii="Times New Roman" w:hAnsi="Times New Roman"/>
                <w:b/>
                <w:bCs/>
              </w:rPr>
              <w:t xml:space="preserve">, kuris įgyvendina </w:t>
            </w:r>
            <w:r>
              <w:rPr>
                <w:rFonts w:ascii="Times New Roman" w:hAnsi="Times New Roman"/>
                <w:b/>
                <w:bCs/>
              </w:rPr>
              <w:t xml:space="preserve">faktoringo portfelinių garantijų </w:t>
            </w:r>
            <w:r w:rsidR="0009082B">
              <w:rPr>
                <w:rFonts w:ascii="Times New Roman" w:hAnsi="Times New Roman"/>
                <w:b/>
                <w:bCs/>
              </w:rPr>
              <w:t xml:space="preserve">priemonę pagal su „Invega“ pasirašytą </w:t>
            </w:r>
            <w:r>
              <w:rPr>
                <w:rFonts w:ascii="Times New Roman" w:hAnsi="Times New Roman"/>
                <w:b/>
                <w:bCs/>
              </w:rPr>
              <w:t>sutart</w:t>
            </w:r>
            <w:r w:rsidR="0009082B">
              <w:rPr>
                <w:rFonts w:ascii="Times New Roman" w:hAnsi="Times New Roman"/>
                <w:b/>
                <w:bCs/>
              </w:rPr>
              <w:t xml:space="preserve">į </w:t>
            </w:r>
            <w:r>
              <w:rPr>
                <w:rFonts w:ascii="Times New Roman" w:hAnsi="Times New Roman"/>
                <w:b/>
                <w:bCs/>
              </w:rPr>
              <w:t xml:space="preserve">yra sukontraktavęs daugiau </w:t>
            </w:r>
            <w:r>
              <w:rPr>
                <w:rFonts w:ascii="Times New Roman" w:hAnsi="Times New Roman"/>
                <w:b/>
                <w:bCs/>
              </w:rPr>
              <w:lastRenderedPageBreak/>
              <w:t xml:space="preserve">kaip </w:t>
            </w:r>
            <w:r w:rsidR="00A82C7D">
              <w:rPr>
                <w:rFonts w:ascii="Times New Roman" w:hAnsi="Times New Roman"/>
                <w:b/>
                <w:bCs/>
              </w:rPr>
              <w:t>70 proc. s</w:t>
            </w:r>
            <w:r>
              <w:rPr>
                <w:rFonts w:ascii="Times New Roman" w:hAnsi="Times New Roman"/>
                <w:b/>
                <w:bCs/>
              </w:rPr>
              <w:t>utart</w:t>
            </w:r>
            <w:r w:rsidR="00A82C7D">
              <w:rPr>
                <w:rFonts w:ascii="Times New Roman" w:hAnsi="Times New Roman"/>
                <w:b/>
                <w:bCs/>
              </w:rPr>
              <w:t>yje numatyto</w:t>
            </w:r>
            <w:r>
              <w:rPr>
                <w:rFonts w:ascii="Times New Roman" w:hAnsi="Times New Roman"/>
                <w:b/>
                <w:bCs/>
              </w:rPr>
              <w:t xml:space="preserve"> portfelio</w:t>
            </w:r>
          </w:p>
        </w:tc>
        <w:tc>
          <w:tcPr>
            <w:tcW w:w="3402" w:type="dxa"/>
          </w:tcPr>
          <w:p w14:paraId="04E24A6C" w14:textId="77777777" w:rsidR="00712291" w:rsidRPr="00E0686E" w:rsidRDefault="00712291" w:rsidP="00712291">
            <w:pPr>
              <w:spacing w:after="0"/>
              <w:jc w:val="both"/>
              <w:rPr>
                <w:rFonts w:ascii="Times New Roman" w:hAnsi="Times New Roman"/>
              </w:rPr>
            </w:pPr>
          </w:p>
        </w:tc>
        <w:tc>
          <w:tcPr>
            <w:tcW w:w="3724" w:type="dxa"/>
          </w:tcPr>
          <w:p w14:paraId="784DD2CB" w14:textId="77777777" w:rsidR="00712291" w:rsidRPr="00E0686E" w:rsidRDefault="00712291" w:rsidP="00712291">
            <w:pPr>
              <w:spacing w:after="0"/>
              <w:jc w:val="both"/>
              <w:rPr>
                <w:rFonts w:ascii="Times New Roman" w:hAnsi="Times New Roman"/>
              </w:rPr>
            </w:pPr>
          </w:p>
        </w:tc>
        <w:tc>
          <w:tcPr>
            <w:tcW w:w="5206" w:type="dxa"/>
          </w:tcPr>
          <w:p w14:paraId="5C9CB379" w14:textId="77777777" w:rsidR="00712291" w:rsidRDefault="00712291" w:rsidP="00712291">
            <w:pPr>
              <w:spacing w:after="0"/>
              <w:jc w:val="both"/>
              <w:rPr>
                <w:rFonts w:ascii="Times New Roman" w:hAnsi="Times New Roman"/>
              </w:rPr>
            </w:pPr>
            <w:r>
              <w:rPr>
                <w:rFonts w:ascii="Times New Roman" w:hAnsi="Times New Roman" w:cs="Times New Roman"/>
              </w:rPr>
              <w:t>Patvirtinanti informacija pateikiama PGF2 priemonės įgyvendinimo aprašyme</w:t>
            </w:r>
            <w:r w:rsidR="005B1796">
              <w:rPr>
                <w:rFonts w:ascii="Times New Roman" w:hAnsi="Times New Roman" w:cs="Times New Roman"/>
              </w:rPr>
              <w:t xml:space="preserve">, </w:t>
            </w:r>
            <w:r>
              <w:rPr>
                <w:rFonts w:ascii="Times New Roman" w:hAnsi="Times New Roman" w:cs="Times New Roman"/>
              </w:rPr>
              <w:t>FT</w:t>
            </w:r>
            <w:r w:rsidRPr="00E0686E">
              <w:rPr>
                <w:rFonts w:ascii="Times New Roman" w:hAnsi="Times New Roman" w:cs="Times New Roman"/>
              </w:rPr>
              <w:t xml:space="preserve"> pažym</w:t>
            </w:r>
            <w:r>
              <w:rPr>
                <w:rFonts w:ascii="Times New Roman" w:hAnsi="Times New Roman" w:cs="Times New Roman"/>
              </w:rPr>
              <w:t>oje</w:t>
            </w:r>
            <w:r w:rsidR="005B1796">
              <w:rPr>
                <w:rFonts w:ascii="Times New Roman" w:hAnsi="Times New Roman" w:cs="Times New Roman"/>
              </w:rPr>
              <w:t xml:space="preserve"> ar</w:t>
            </w:r>
            <w:r w:rsidRPr="00E0686E">
              <w:rPr>
                <w:rFonts w:ascii="Times New Roman" w:hAnsi="Times New Roman" w:cs="Times New Roman"/>
              </w:rPr>
              <w:t xml:space="preserve"> kit</w:t>
            </w:r>
            <w:r>
              <w:rPr>
                <w:rFonts w:ascii="Times New Roman" w:hAnsi="Times New Roman" w:cs="Times New Roman"/>
              </w:rPr>
              <w:t>uose</w:t>
            </w:r>
            <w:r w:rsidRPr="00E0686E">
              <w:rPr>
                <w:rFonts w:ascii="Times New Roman" w:hAnsi="Times New Roman" w:cs="Times New Roman"/>
              </w:rPr>
              <w:t xml:space="preserve"> atitikimą šiam reikalavimui patvirtinan</w:t>
            </w:r>
            <w:r>
              <w:rPr>
                <w:rFonts w:ascii="Times New Roman" w:hAnsi="Times New Roman" w:cs="Times New Roman"/>
              </w:rPr>
              <w:t>čiuose</w:t>
            </w:r>
            <w:r w:rsidRPr="00E0686E">
              <w:rPr>
                <w:rFonts w:ascii="Times New Roman" w:hAnsi="Times New Roman" w:cs="Times New Roman"/>
              </w:rPr>
              <w:t xml:space="preserve"> dokument</w:t>
            </w:r>
            <w:r>
              <w:rPr>
                <w:rFonts w:ascii="Times New Roman" w:hAnsi="Times New Roman" w:cs="Times New Roman"/>
              </w:rPr>
              <w:t>uose</w:t>
            </w:r>
          </w:p>
        </w:tc>
      </w:tr>
      <w:tr w:rsidR="00712291" w:rsidRPr="00E0686E" w14:paraId="19FC1917" w14:textId="77777777" w:rsidTr="009167F4">
        <w:trPr>
          <w:trHeight w:val="1354"/>
        </w:trPr>
        <w:tc>
          <w:tcPr>
            <w:tcW w:w="2972" w:type="dxa"/>
            <w:vMerge w:val="restart"/>
          </w:tcPr>
          <w:p w14:paraId="0772E905" w14:textId="77777777" w:rsidR="00712291" w:rsidRPr="003929B4" w:rsidRDefault="00712291" w:rsidP="00712291">
            <w:pPr>
              <w:spacing w:after="0"/>
              <w:jc w:val="both"/>
              <w:rPr>
                <w:rFonts w:ascii="Times New Roman" w:hAnsi="Times New Roman" w:cs="Times New Roman"/>
                <w:b/>
                <w:bCs/>
              </w:rPr>
            </w:pPr>
            <w:r w:rsidRPr="003929B4">
              <w:rPr>
                <w:rFonts w:ascii="Times New Roman" w:hAnsi="Times New Roman" w:cs="Times New Roman"/>
                <w:b/>
                <w:bCs/>
              </w:rPr>
              <w:t>Vidaus kontrolės sistema</w:t>
            </w:r>
          </w:p>
        </w:tc>
        <w:tc>
          <w:tcPr>
            <w:tcW w:w="3402" w:type="dxa"/>
            <w:tcBorders>
              <w:bottom w:val="single" w:sz="4" w:space="0" w:color="auto"/>
            </w:tcBorders>
          </w:tcPr>
          <w:p w14:paraId="5E621E70" w14:textId="588C93A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 xml:space="preserve">Neturi būti taikomos </w:t>
            </w:r>
            <w:r w:rsidR="00C02EEC">
              <w:rPr>
                <w:rFonts w:ascii="Times New Roman" w:hAnsi="Times New Roman" w:cs="Times New Roman"/>
              </w:rPr>
              <w:t xml:space="preserve">Lietuvos banko </w:t>
            </w:r>
            <w:r w:rsidRPr="00E0686E">
              <w:rPr>
                <w:rFonts w:ascii="Times New Roman" w:hAnsi="Times New Roman" w:cs="Times New Roman"/>
              </w:rPr>
              <w:t>poveikio priemonės</w:t>
            </w:r>
            <w:r w:rsidR="00A16179">
              <w:rPr>
                <w:rFonts w:ascii="Times New Roman" w:hAnsi="Times New Roman" w:cs="Times New Roman"/>
              </w:rPr>
              <w:t>, išskyrus įspėjimą,</w:t>
            </w:r>
            <w:r w:rsidRPr="00E0686E">
              <w:rPr>
                <w:rFonts w:ascii="Times New Roman" w:hAnsi="Times New Roman" w:cs="Times New Roman"/>
              </w:rPr>
              <w:t xml:space="preserve"> ar veiklos apribojimai</w:t>
            </w:r>
            <w:r w:rsidR="00C02EEC">
              <w:rPr>
                <w:rFonts w:ascii="Times New Roman" w:hAnsi="Times New Roman" w:cs="Times New Roman"/>
              </w:rPr>
              <w:t>,</w:t>
            </w:r>
            <w:r w:rsidRPr="00E0686E">
              <w:rPr>
                <w:rFonts w:ascii="Times New Roman" w:hAnsi="Times New Roman" w:cs="Times New Roman"/>
              </w:rPr>
              <w:t xml:space="preserve"> remiantis Lietuvos banko duomenimis</w:t>
            </w:r>
            <w:r>
              <w:rPr>
                <w:rFonts w:ascii="Times New Roman" w:hAnsi="Times New Roman" w:cs="Times New Roman"/>
              </w:rPr>
              <w:t>*</w:t>
            </w:r>
          </w:p>
        </w:tc>
        <w:tc>
          <w:tcPr>
            <w:tcW w:w="3724" w:type="dxa"/>
            <w:tcBorders>
              <w:bottom w:val="single" w:sz="4" w:space="0" w:color="auto"/>
            </w:tcBorders>
          </w:tcPr>
          <w:p w14:paraId="7536934E"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FT turi turėti saugią ir patikimą jo veiklą užtikrinančią vidaus kontrolės sistemą, kaip tai nustatyta LR finansų įstaigų įstatyme</w:t>
            </w:r>
          </w:p>
        </w:tc>
        <w:tc>
          <w:tcPr>
            <w:tcW w:w="5206" w:type="dxa"/>
            <w:vMerge w:val="restart"/>
          </w:tcPr>
          <w:p w14:paraId="49BE0614" w14:textId="77777777" w:rsidR="00712291" w:rsidRPr="00E0686E" w:rsidRDefault="00712291" w:rsidP="00712291">
            <w:pPr>
              <w:spacing w:after="0"/>
              <w:jc w:val="both"/>
              <w:rPr>
                <w:rFonts w:ascii="Times New Roman" w:hAnsi="Times New Roman"/>
              </w:rPr>
            </w:pPr>
            <w:r>
              <w:rPr>
                <w:rFonts w:ascii="Times New Roman" w:hAnsi="Times New Roman"/>
              </w:rPr>
              <w:t>Pateikiami patvirtinimai FT prašyme ir</w:t>
            </w:r>
            <w:r w:rsidR="003E1169">
              <w:rPr>
                <w:rFonts w:ascii="Times New Roman" w:hAnsi="Times New Roman"/>
              </w:rPr>
              <w:t xml:space="preserve"> (</w:t>
            </w:r>
            <w:r>
              <w:rPr>
                <w:rFonts w:ascii="Times New Roman" w:hAnsi="Times New Roman"/>
              </w:rPr>
              <w:t>ar</w:t>
            </w:r>
            <w:r w:rsidR="003E1169">
              <w:rPr>
                <w:rFonts w:ascii="Times New Roman" w:hAnsi="Times New Roman"/>
              </w:rPr>
              <w:t>)</w:t>
            </w:r>
            <w:r>
              <w:rPr>
                <w:rFonts w:ascii="Times New Roman" w:hAnsi="Times New Roman"/>
              </w:rPr>
              <w:t xml:space="preserve"> </w:t>
            </w:r>
            <w:r>
              <w:rPr>
                <w:rFonts w:ascii="Times New Roman" w:hAnsi="Times New Roman" w:cs="Times New Roman"/>
              </w:rPr>
              <w:t xml:space="preserve">PGF2 priemonės įgyvendinimo aprašyme </w:t>
            </w:r>
          </w:p>
        </w:tc>
      </w:tr>
      <w:tr w:rsidR="00712291" w:rsidRPr="00E0686E" w14:paraId="7E65806F" w14:textId="77777777" w:rsidTr="009167F4">
        <w:trPr>
          <w:trHeight w:val="1296"/>
        </w:trPr>
        <w:tc>
          <w:tcPr>
            <w:tcW w:w="2972" w:type="dxa"/>
            <w:vMerge/>
          </w:tcPr>
          <w:p w14:paraId="775B4970" w14:textId="77777777" w:rsidR="00712291" w:rsidRPr="003929B4" w:rsidRDefault="00712291" w:rsidP="00712291">
            <w:pPr>
              <w:spacing w:after="0"/>
              <w:jc w:val="both"/>
              <w:rPr>
                <w:rFonts w:ascii="Times New Roman" w:hAnsi="Times New Roman" w:cs="Times New Roman"/>
                <w:b/>
                <w:bCs/>
              </w:rPr>
            </w:pPr>
          </w:p>
        </w:tc>
        <w:tc>
          <w:tcPr>
            <w:tcW w:w="3402" w:type="dxa"/>
            <w:tcBorders>
              <w:bottom w:val="single" w:sz="4" w:space="0" w:color="auto"/>
            </w:tcBorders>
          </w:tcPr>
          <w:p w14:paraId="041D55D6"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w:t>
            </w:r>
          </w:p>
        </w:tc>
        <w:tc>
          <w:tcPr>
            <w:tcW w:w="3724" w:type="dxa"/>
            <w:tcBorders>
              <w:bottom w:val="single" w:sz="4" w:space="0" w:color="auto"/>
            </w:tcBorders>
          </w:tcPr>
          <w:p w14:paraId="7472A7DD"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FT turi turėti nustatytas procedūras, skirtas vertinti pinigų plovimo ir (ar) teroristų finansavimo rizikos pasireiškimą bei ją valdyti</w:t>
            </w:r>
          </w:p>
        </w:tc>
        <w:tc>
          <w:tcPr>
            <w:tcW w:w="5206" w:type="dxa"/>
            <w:vMerge/>
          </w:tcPr>
          <w:p w14:paraId="6D9EC12B" w14:textId="77777777" w:rsidR="00712291" w:rsidRPr="00E0686E" w:rsidRDefault="00712291" w:rsidP="00712291">
            <w:pPr>
              <w:spacing w:after="0"/>
              <w:jc w:val="both"/>
              <w:rPr>
                <w:rFonts w:ascii="Times New Roman" w:hAnsi="Times New Roman"/>
              </w:rPr>
            </w:pPr>
          </w:p>
        </w:tc>
      </w:tr>
      <w:tr w:rsidR="00712291" w:rsidRPr="00E0686E" w14:paraId="59E91BE1" w14:textId="77777777" w:rsidTr="009167F4">
        <w:tc>
          <w:tcPr>
            <w:tcW w:w="2972" w:type="dxa"/>
            <w:vMerge/>
          </w:tcPr>
          <w:p w14:paraId="16FD1F3C" w14:textId="77777777" w:rsidR="00712291" w:rsidRPr="003929B4" w:rsidRDefault="00712291" w:rsidP="00712291">
            <w:pPr>
              <w:spacing w:after="0"/>
              <w:jc w:val="both"/>
              <w:rPr>
                <w:rFonts w:ascii="Times New Roman" w:hAnsi="Times New Roman" w:cs="Times New Roman"/>
                <w:b/>
                <w:bCs/>
              </w:rPr>
            </w:pPr>
          </w:p>
        </w:tc>
        <w:tc>
          <w:tcPr>
            <w:tcW w:w="3402" w:type="dxa"/>
          </w:tcPr>
          <w:p w14:paraId="07A3EC7C"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w:t>
            </w:r>
          </w:p>
        </w:tc>
        <w:tc>
          <w:tcPr>
            <w:tcW w:w="3724" w:type="dxa"/>
          </w:tcPr>
          <w:p w14:paraId="36B4008D"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u</w:t>
            </w:r>
            <w:r w:rsidRPr="00E0686E">
              <w:rPr>
                <w:rFonts w:ascii="Times New Roman" w:hAnsi="Times New Roman" w:cs="Times New Roman"/>
              </w:rPr>
              <w:t>žtikrinti informacijos saugumą pagal BDAR reikalavimus</w:t>
            </w:r>
          </w:p>
        </w:tc>
        <w:tc>
          <w:tcPr>
            <w:tcW w:w="5206" w:type="dxa"/>
            <w:vMerge/>
          </w:tcPr>
          <w:p w14:paraId="32860135" w14:textId="77777777" w:rsidR="00712291" w:rsidRPr="00E0686E" w:rsidRDefault="00712291" w:rsidP="00712291">
            <w:pPr>
              <w:spacing w:after="0"/>
              <w:jc w:val="both"/>
              <w:rPr>
                <w:rFonts w:ascii="Times New Roman" w:hAnsi="Times New Roman"/>
              </w:rPr>
            </w:pPr>
          </w:p>
        </w:tc>
      </w:tr>
      <w:tr w:rsidR="00712291" w:rsidRPr="00E0686E" w14:paraId="12DB197A" w14:textId="77777777" w:rsidTr="009167F4">
        <w:tc>
          <w:tcPr>
            <w:tcW w:w="2972" w:type="dxa"/>
            <w:vMerge/>
          </w:tcPr>
          <w:p w14:paraId="5EDF6778" w14:textId="77777777" w:rsidR="00712291" w:rsidRPr="003929B4" w:rsidRDefault="00712291" w:rsidP="00712291">
            <w:pPr>
              <w:spacing w:after="0"/>
              <w:jc w:val="both"/>
              <w:rPr>
                <w:rFonts w:ascii="Times New Roman" w:hAnsi="Times New Roman" w:cs="Times New Roman"/>
                <w:b/>
                <w:bCs/>
              </w:rPr>
            </w:pPr>
          </w:p>
        </w:tc>
        <w:tc>
          <w:tcPr>
            <w:tcW w:w="3402" w:type="dxa"/>
          </w:tcPr>
          <w:p w14:paraId="3B91538A"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w:t>
            </w:r>
          </w:p>
        </w:tc>
        <w:tc>
          <w:tcPr>
            <w:tcW w:w="3724" w:type="dxa"/>
          </w:tcPr>
          <w:p w14:paraId="513EB304"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t</w:t>
            </w:r>
            <w:r w:rsidRPr="00E0686E">
              <w:rPr>
                <w:rFonts w:ascii="Times New Roman" w:hAnsi="Times New Roman" w:cs="Times New Roman"/>
              </w:rPr>
              <w:t>urėti galimų interesų konfliktų valdymo tvarkas ir procedūras</w:t>
            </w:r>
          </w:p>
        </w:tc>
        <w:tc>
          <w:tcPr>
            <w:tcW w:w="5206" w:type="dxa"/>
            <w:vMerge/>
          </w:tcPr>
          <w:p w14:paraId="6D669125" w14:textId="77777777" w:rsidR="00712291" w:rsidRPr="00E0686E" w:rsidRDefault="00712291" w:rsidP="00712291">
            <w:pPr>
              <w:spacing w:after="0"/>
              <w:jc w:val="both"/>
              <w:rPr>
                <w:rFonts w:ascii="Times New Roman" w:hAnsi="Times New Roman"/>
              </w:rPr>
            </w:pPr>
          </w:p>
        </w:tc>
      </w:tr>
      <w:tr w:rsidR="00712291" w:rsidRPr="00E0686E" w14:paraId="720F83FA" w14:textId="77777777" w:rsidTr="009167F4">
        <w:tc>
          <w:tcPr>
            <w:tcW w:w="2972" w:type="dxa"/>
            <w:vMerge/>
          </w:tcPr>
          <w:p w14:paraId="7A6D197C" w14:textId="77777777" w:rsidR="00712291" w:rsidRPr="003929B4" w:rsidRDefault="00712291" w:rsidP="00712291">
            <w:pPr>
              <w:spacing w:after="0"/>
              <w:jc w:val="both"/>
              <w:rPr>
                <w:rFonts w:ascii="Times New Roman" w:hAnsi="Times New Roman"/>
                <w:b/>
                <w:bCs/>
              </w:rPr>
            </w:pPr>
          </w:p>
        </w:tc>
        <w:tc>
          <w:tcPr>
            <w:tcW w:w="3402" w:type="dxa"/>
          </w:tcPr>
          <w:p w14:paraId="4677A4C8" w14:textId="77777777" w:rsidR="00712291" w:rsidRPr="00E0686E" w:rsidRDefault="00712291" w:rsidP="00712291">
            <w:pPr>
              <w:spacing w:after="0"/>
              <w:jc w:val="both"/>
              <w:rPr>
                <w:rFonts w:ascii="Times New Roman" w:hAnsi="Times New Roman"/>
              </w:rPr>
            </w:pPr>
          </w:p>
        </w:tc>
        <w:tc>
          <w:tcPr>
            <w:tcW w:w="3724" w:type="dxa"/>
          </w:tcPr>
          <w:p w14:paraId="76F95482" w14:textId="77777777" w:rsidR="00712291" w:rsidRPr="00E0686E" w:rsidRDefault="00712291" w:rsidP="00712291">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 xml:space="preserve">turėti </w:t>
            </w:r>
            <w:r w:rsidRPr="00290BA4">
              <w:rPr>
                <w:rFonts w:ascii="Times New Roman" w:hAnsi="Times New Roman"/>
              </w:rPr>
              <w:t>elektroninių duomenų apdorojimo kontrolės ir apsaugos priemones</w:t>
            </w:r>
          </w:p>
        </w:tc>
        <w:tc>
          <w:tcPr>
            <w:tcW w:w="5206" w:type="dxa"/>
            <w:vMerge/>
          </w:tcPr>
          <w:p w14:paraId="562C06D9" w14:textId="77777777" w:rsidR="00712291" w:rsidRDefault="00712291" w:rsidP="00712291">
            <w:pPr>
              <w:spacing w:after="0"/>
              <w:jc w:val="both"/>
              <w:rPr>
                <w:rFonts w:ascii="Times New Roman" w:hAnsi="Times New Roman"/>
              </w:rPr>
            </w:pPr>
          </w:p>
        </w:tc>
      </w:tr>
      <w:tr w:rsidR="00712291" w:rsidRPr="00E0686E" w14:paraId="6239CF7F" w14:textId="77777777" w:rsidTr="009167F4">
        <w:trPr>
          <w:trHeight w:val="841"/>
        </w:trPr>
        <w:tc>
          <w:tcPr>
            <w:tcW w:w="2972" w:type="dxa"/>
            <w:vMerge/>
          </w:tcPr>
          <w:p w14:paraId="58470328" w14:textId="77777777" w:rsidR="00712291" w:rsidRPr="000F4BA5" w:rsidRDefault="00712291" w:rsidP="00712291">
            <w:pPr>
              <w:spacing w:after="0"/>
              <w:jc w:val="both"/>
              <w:rPr>
                <w:rFonts w:ascii="Times New Roman" w:hAnsi="Times New Roman"/>
                <w:b/>
                <w:bCs/>
              </w:rPr>
            </w:pPr>
          </w:p>
        </w:tc>
        <w:tc>
          <w:tcPr>
            <w:tcW w:w="3402" w:type="dxa"/>
          </w:tcPr>
          <w:p w14:paraId="375100C1" w14:textId="77777777" w:rsidR="00712291" w:rsidRPr="00E0686E" w:rsidRDefault="00712291" w:rsidP="00712291">
            <w:pPr>
              <w:spacing w:after="0"/>
              <w:jc w:val="both"/>
              <w:rPr>
                <w:rFonts w:ascii="Times New Roman" w:hAnsi="Times New Roman"/>
              </w:rPr>
            </w:pPr>
          </w:p>
        </w:tc>
        <w:tc>
          <w:tcPr>
            <w:tcW w:w="3724" w:type="dxa"/>
          </w:tcPr>
          <w:p w14:paraId="3996C32E" w14:textId="77777777" w:rsidR="00712291" w:rsidRPr="000F4BA5" w:rsidRDefault="00712291" w:rsidP="00712291">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t</w:t>
            </w:r>
            <w:r w:rsidRPr="000F4BA5">
              <w:rPr>
                <w:rFonts w:ascii="Times New Roman" w:hAnsi="Times New Roman"/>
              </w:rPr>
              <w:t>urėti patikimą dokumentų saugojimo sistemą</w:t>
            </w:r>
            <w:r w:rsidRPr="003929B4">
              <w:rPr>
                <w:rFonts w:ascii="Times New Roman" w:hAnsi="Times New Roman" w:cs="Times New Roman"/>
              </w:rPr>
              <w:t xml:space="preserve"> </w:t>
            </w:r>
            <w:r>
              <w:rPr>
                <w:rFonts w:ascii="Times New Roman" w:hAnsi="Times New Roman" w:cs="Times New Roman"/>
              </w:rPr>
              <w:t xml:space="preserve">ir </w:t>
            </w:r>
            <w:r w:rsidRPr="003929B4">
              <w:rPr>
                <w:rFonts w:ascii="Times New Roman" w:hAnsi="Times New Roman" w:cs="Times New Roman"/>
              </w:rPr>
              <w:t xml:space="preserve">duomenų, susijusių su Faktoringo sandorių teikimu MVĮ, kaupimo </w:t>
            </w:r>
            <w:r>
              <w:rPr>
                <w:rFonts w:ascii="Times New Roman" w:hAnsi="Times New Roman" w:cs="Times New Roman"/>
              </w:rPr>
              <w:t>bei</w:t>
            </w:r>
            <w:r w:rsidRPr="003929B4">
              <w:rPr>
                <w:rFonts w:ascii="Times New Roman" w:hAnsi="Times New Roman" w:cs="Times New Roman"/>
              </w:rPr>
              <w:t xml:space="preserve"> valdymo sistemą</w:t>
            </w:r>
          </w:p>
        </w:tc>
        <w:tc>
          <w:tcPr>
            <w:tcW w:w="5206" w:type="dxa"/>
            <w:vMerge/>
          </w:tcPr>
          <w:p w14:paraId="67CA9818" w14:textId="77777777" w:rsidR="00712291" w:rsidRDefault="00712291" w:rsidP="00712291">
            <w:pPr>
              <w:spacing w:after="0"/>
              <w:jc w:val="both"/>
              <w:rPr>
                <w:rFonts w:ascii="Times New Roman" w:hAnsi="Times New Roman"/>
              </w:rPr>
            </w:pPr>
          </w:p>
        </w:tc>
      </w:tr>
      <w:tr w:rsidR="00712291" w:rsidRPr="00E0686E" w14:paraId="2393361F" w14:textId="77777777" w:rsidTr="009167F4">
        <w:trPr>
          <w:trHeight w:val="1504"/>
        </w:trPr>
        <w:tc>
          <w:tcPr>
            <w:tcW w:w="2972" w:type="dxa"/>
            <w:vMerge w:val="restart"/>
          </w:tcPr>
          <w:p w14:paraId="5EDA21DD" w14:textId="77777777" w:rsidR="00712291" w:rsidRPr="003929B4" w:rsidRDefault="00712291" w:rsidP="00712291">
            <w:pPr>
              <w:spacing w:after="0"/>
              <w:jc w:val="both"/>
              <w:rPr>
                <w:rFonts w:ascii="Times New Roman" w:hAnsi="Times New Roman" w:cs="Times New Roman"/>
                <w:b/>
                <w:bCs/>
              </w:rPr>
            </w:pPr>
            <w:r w:rsidRPr="003929B4">
              <w:rPr>
                <w:rFonts w:ascii="Times New Roman" w:hAnsi="Times New Roman" w:cs="Times New Roman"/>
                <w:b/>
                <w:bCs/>
              </w:rPr>
              <w:lastRenderedPageBreak/>
              <w:t>Kreditavimo tvarkos ir procedūros</w:t>
            </w:r>
          </w:p>
        </w:tc>
        <w:tc>
          <w:tcPr>
            <w:tcW w:w="3402" w:type="dxa"/>
          </w:tcPr>
          <w:p w14:paraId="7151F63F"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r>
              <w:rPr>
                <w:rFonts w:ascii="Times New Roman" w:hAnsi="Times New Roman" w:cs="Times New Roman"/>
              </w:rPr>
              <w:t>*</w:t>
            </w:r>
          </w:p>
        </w:tc>
        <w:tc>
          <w:tcPr>
            <w:tcW w:w="3724" w:type="dxa"/>
          </w:tcPr>
          <w:p w14:paraId="7060BC5B"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p>
        </w:tc>
        <w:tc>
          <w:tcPr>
            <w:tcW w:w="5206" w:type="dxa"/>
            <w:vMerge w:val="restart"/>
          </w:tcPr>
          <w:p w14:paraId="4A26D76F" w14:textId="77777777" w:rsidR="00712291" w:rsidRDefault="00712291" w:rsidP="00712291">
            <w:pPr>
              <w:spacing w:after="0"/>
              <w:jc w:val="both"/>
              <w:rPr>
                <w:rFonts w:ascii="Times New Roman" w:hAnsi="Times New Roman"/>
              </w:rPr>
            </w:pPr>
            <w:r>
              <w:rPr>
                <w:rFonts w:ascii="Times New Roman" w:hAnsi="Times New Roman"/>
              </w:rPr>
              <w:t xml:space="preserve">Pateikiami patvirtinimai FT prašyme </w:t>
            </w:r>
            <w:r w:rsidR="003E1169">
              <w:rPr>
                <w:rFonts w:ascii="Times New Roman" w:hAnsi="Times New Roman"/>
              </w:rPr>
              <w:t>(</w:t>
            </w:r>
            <w:r>
              <w:rPr>
                <w:rFonts w:ascii="Times New Roman" w:hAnsi="Times New Roman"/>
              </w:rPr>
              <w:t>ar</w:t>
            </w:r>
            <w:r w:rsidR="003E1169">
              <w:rPr>
                <w:rFonts w:ascii="Times New Roman" w:hAnsi="Times New Roman"/>
              </w:rPr>
              <w:t>)</w:t>
            </w:r>
            <w:r>
              <w:rPr>
                <w:rFonts w:ascii="Times New Roman" w:hAnsi="Times New Roman"/>
              </w:rPr>
              <w:t xml:space="preserve"> </w:t>
            </w:r>
            <w:r>
              <w:rPr>
                <w:rFonts w:ascii="Times New Roman" w:hAnsi="Times New Roman" w:cs="Times New Roman"/>
              </w:rPr>
              <w:t>PGF2 priemonės įgyvendinimo aprašyme</w:t>
            </w:r>
          </w:p>
          <w:p w14:paraId="4F239836" w14:textId="77777777" w:rsidR="00712291" w:rsidRPr="00E0686E" w:rsidRDefault="00712291" w:rsidP="00712291">
            <w:pPr>
              <w:spacing w:after="0"/>
              <w:jc w:val="both"/>
              <w:rPr>
                <w:rFonts w:ascii="Times New Roman" w:hAnsi="Times New Roman"/>
              </w:rPr>
            </w:pPr>
          </w:p>
        </w:tc>
      </w:tr>
      <w:tr w:rsidR="00712291" w:rsidRPr="00E0686E" w14:paraId="0D164D62" w14:textId="77777777" w:rsidTr="009167F4">
        <w:tc>
          <w:tcPr>
            <w:tcW w:w="2972" w:type="dxa"/>
            <w:vMerge/>
            <w:tcBorders>
              <w:top w:val="nil"/>
              <w:bottom w:val="single" w:sz="4" w:space="0" w:color="auto"/>
            </w:tcBorders>
          </w:tcPr>
          <w:p w14:paraId="61900951" w14:textId="77777777" w:rsidR="00712291" w:rsidRPr="003929B4" w:rsidRDefault="00712291" w:rsidP="00712291">
            <w:pPr>
              <w:spacing w:after="0"/>
              <w:jc w:val="both"/>
              <w:rPr>
                <w:rFonts w:ascii="Times New Roman" w:hAnsi="Times New Roman" w:cs="Times New Roman"/>
                <w:b/>
                <w:bCs/>
              </w:rPr>
            </w:pPr>
          </w:p>
        </w:tc>
        <w:tc>
          <w:tcPr>
            <w:tcW w:w="3402" w:type="dxa"/>
            <w:tcBorders>
              <w:top w:val="nil"/>
              <w:bottom w:val="single" w:sz="4" w:space="0" w:color="auto"/>
            </w:tcBorders>
          </w:tcPr>
          <w:p w14:paraId="6DC26242" w14:textId="77777777" w:rsidR="00712291" w:rsidRPr="007A0E2B" w:rsidRDefault="00712291" w:rsidP="00712291">
            <w:pPr>
              <w:spacing w:after="0"/>
              <w:jc w:val="both"/>
              <w:rPr>
                <w:rFonts w:ascii="Times New Roman" w:hAnsi="Times New Roman" w:cs="Times New Roman"/>
              </w:rPr>
            </w:pPr>
            <w:r w:rsidRPr="00E0686E">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r w:rsidRPr="0009403D">
              <w:rPr>
                <w:rFonts w:ascii="Times New Roman" w:hAnsi="Times New Roman"/>
              </w:rPr>
              <w:t>*</w:t>
            </w:r>
          </w:p>
        </w:tc>
        <w:tc>
          <w:tcPr>
            <w:tcW w:w="3724" w:type="dxa"/>
            <w:tcBorders>
              <w:top w:val="nil"/>
              <w:bottom w:val="single" w:sz="4" w:space="0" w:color="auto"/>
            </w:tcBorders>
          </w:tcPr>
          <w:p w14:paraId="55406527" w14:textId="77777777" w:rsidR="00712291" w:rsidRPr="00E0686E" w:rsidRDefault="00712291" w:rsidP="00712291">
            <w:pPr>
              <w:spacing w:after="0"/>
              <w:jc w:val="both"/>
              <w:rPr>
                <w:rFonts w:ascii="Times New Roman" w:hAnsi="Times New Roman" w:cs="Times New Roman"/>
              </w:rPr>
            </w:pPr>
            <w:r w:rsidRPr="00E0686E">
              <w:rPr>
                <w:rFonts w:ascii="Times New Roman" w:hAnsi="Times New Roman" w:cs="Times New Roman"/>
              </w:rPr>
              <w:t>Sprendimai dėl projekto finansavimo suteikimo turi būti priimami tik atlikus rizikos vertinimą, vadovaujantis FT patvirtintomis procedūromis ir tvarkomis, užtikrinančiomis tinkamą projekto rizikos ir kredito gavėjo mokumo įvertinimą bei užkertančiomis galimybę prisiimti pernelyg didelę kredito riziką</w:t>
            </w:r>
          </w:p>
        </w:tc>
        <w:tc>
          <w:tcPr>
            <w:tcW w:w="5206" w:type="dxa"/>
            <w:vMerge/>
            <w:tcBorders>
              <w:bottom w:val="single" w:sz="4" w:space="0" w:color="auto"/>
            </w:tcBorders>
          </w:tcPr>
          <w:p w14:paraId="227567A8" w14:textId="77777777" w:rsidR="00712291" w:rsidRPr="00E0686E" w:rsidRDefault="00712291" w:rsidP="00712291">
            <w:pPr>
              <w:spacing w:after="0"/>
              <w:jc w:val="both"/>
              <w:rPr>
                <w:rFonts w:ascii="Times New Roman" w:hAnsi="Times New Roman"/>
              </w:rPr>
            </w:pPr>
          </w:p>
        </w:tc>
      </w:tr>
      <w:tr w:rsidR="00712291" w:rsidRPr="00E0686E" w14:paraId="67EACBCD" w14:textId="77777777" w:rsidTr="009167F4">
        <w:tc>
          <w:tcPr>
            <w:tcW w:w="2972" w:type="dxa"/>
            <w:tcBorders>
              <w:top w:val="single" w:sz="4" w:space="0" w:color="auto"/>
              <w:bottom w:val="single" w:sz="4" w:space="0" w:color="auto"/>
            </w:tcBorders>
          </w:tcPr>
          <w:p w14:paraId="2BA368AB" w14:textId="77777777" w:rsidR="00712291" w:rsidRPr="001E73A9" w:rsidRDefault="00712291" w:rsidP="00712291">
            <w:pPr>
              <w:spacing w:after="0"/>
              <w:jc w:val="both"/>
              <w:rPr>
                <w:rFonts w:ascii="Times New Roman" w:hAnsi="Times New Roman"/>
                <w:b/>
                <w:bCs/>
              </w:rPr>
            </w:pPr>
            <w:r w:rsidRPr="001E73A9">
              <w:rPr>
                <w:rFonts w:ascii="Times New Roman" w:hAnsi="Times New Roman"/>
                <w:b/>
                <w:bCs/>
              </w:rPr>
              <w:t>Tvarkos ir procedūros tinkamam Sutarties įgyvendinimui ir administravimui</w:t>
            </w:r>
          </w:p>
        </w:tc>
        <w:tc>
          <w:tcPr>
            <w:tcW w:w="3402" w:type="dxa"/>
            <w:tcBorders>
              <w:top w:val="single" w:sz="4" w:space="0" w:color="auto"/>
              <w:bottom w:val="single" w:sz="4" w:space="0" w:color="auto"/>
            </w:tcBorders>
          </w:tcPr>
          <w:p w14:paraId="36F32736" w14:textId="77777777" w:rsidR="00712291" w:rsidRPr="00E0686E" w:rsidRDefault="00712291" w:rsidP="00712291">
            <w:pPr>
              <w:spacing w:after="0"/>
              <w:jc w:val="both"/>
              <w:rPr>
                <w:rFonts w:ascii="Times New Roman" w:hAnsi="Times New Roman"/>
              </w:rPr>
            </w:pPr>
            <w:r>
              <w:rPr>
                <w:rFonts w:ascii="Times New Roman" w:hAnsi="Times New Roman"/>
              </w:rPr>
              <w:t>Faktoringo</w:t>
            </w:r>
            <w:r w:rsidRPr="00224223">
              <w:rPr>
                <w:rFonts w:ascii="Times New Roman" w:hAnsi="Times New Roman"/>
              </w:rPr>
              <w:t xml:space="preserve"> gavėjų rizikos įvertinimo </w:t>
            </w:r>
            <w:r>
              <w:rPr>
                <w:rFonts w:ascii="Times New Roman" w:hAnsi="Times New Roman"/>
              </w:rPr>
              <w:t xml:space="preserve">ir reitingavimo </w:t>
            </w:r>
            <w:r w:rsidRPr="00224223">
              <w:rPr>
                <w:rFonts w:ascii="Times New Roman" w:hAnsi="Times New Roman"/>
              </w:rPr>
              <w:t>procedūr</w:t>
            </w:r>
            <w:r>
              <w:rPr>
                <w:rFonts w:ascii="Times New Roman" w:hAnsi="Times New Roman"/>
              </w:rPr>
              <w:t>o</w:t>
            </w:r>
            <w:r w:rsidRPr="00224223">
              <w:rPr>
                <w:rFonts w:ascii="Times New Roman" w:hAnsi="Times New Roman"/>
              </w:rPr>
              <w:t>s</w:t>
            </w:r>
          </w:p>
        </w:tc>
        <w:tc>
          <w:tcPr>
            <w:tcW w:w="3724" w:type="dxa"/>
            <w:tcBorders>
              <w:top w:val="single" w:sz="4" w:space="0" w:color="auto"/>
              <w:bottom w:val="single" w:sz="4" w:space="0" w:color="auto"/>
            </w:tcBorders>
          </w:tcPr>
          <w:p w14:paraId="29341A36" w14:textId="77777777" w:rsidR="00712291" w:rsidRPr="00E0686E" w:rsidRDefault="00712291" w:rsidP="00712291">
            <w:pPr>
              <w:spacing w:after="0"/>
              <w:jc w:val="both"/>
              <w:rPr>
                <w:rFonts w:ascii="Times New Roman" w:hAnsi="Times New Roman"/>
              </w:rPr>
            </w:pPr>
            <w:r>
              <w:rPr>
                <w:rFonts w:ascii="Times New Roman" w:hAnsi="Times New Roman"/>
              </w:rPr>
              <w:t>Faktoringo</w:t>
            </w:r>
            <w:r w:rsidRPr="00224223">
              <w:rPr>
                <w:rFonts w:ascii="Times New Roman" w:hAnsi="Times New Roman"/>
              </w:rPr>
              <w:t xml:space="preserve"> gavėjų rizikos įvertinimo </w:t>
            </w:r>
            <w:r>
              <w:rPr>
                <w:rFonts w:ascii="Times New Roman" w:hAnsi="Times New Roman"/>
              </w:rPr>
              <w:t xml:space="preserve">ir reitingavimo </w:t>
            </w:r>
            <w:r w:rsidRPr="00224223">
              <w:rPr>
                <w:rFonts w:ascii="Times New Roman" w:hAnsi="Times New Roman"/>
              </w:rPr>
              <w:t>procedūr</w:t>
            </w:r>
            <w:r>
              <w:rPr>
                <w:rFonts w:ascii="Times New Roman" w:hAnsi="Times New Roman"/>
              </w:rPr>
              <w:t>o</w:t>
            </w:r>
            <w:r w:rsidRPr="00224223">
              <w:rPr>
                <w:rFonts w:ascii="Times New Roman" w:hAnsi="Times New Roman"/>
              </w:rPr>
              <w:t>s</w:t>
            </w:r>
          </w:p>
        </w:tc>
        <w:tc>
          <w:tcPr>
            <w:tcW w:w="5206" w:type="dxa"/>
            <w:tcBorders>
              <w:bottom w:val="single" w:sz="4" w:space="0" w:color="auto"/>
            </w:tcBorders>
          </w:tcPr>
          <w:p w14:paraId="4EDE4A0E" w14:textId="77777777" w:rsidR="00712291" w:rsidRDefault="00712291" w:rsidP="00712291">
            <w:pPr>
              <w:spacing w:after="0"/>
              <w:jc w:val="both"/>
              <w:rPr>
                <w:rFonts w:ascii="Times New Roman" w:hAnsi="Times New Roman"/>
              </w:rPr>
            </w:pPr>
            <w:r>
              <w:rPr>
                <w:rFonts w:ascii="Times New Roman" w:hAnsi="Times New Roman"/>
              </w:rPr>
              <w:t xml:space="preserve">Pateikiama </w:t>
            </w:r>
            <w:r w:rsidRPr="0009403D">
              <w:rPr>
                <w:rFonts w:ascii="Times New Roman" w:hAnsi="Times New Roman"/>
              </w:rPr>
              <w:t>faktoringo gavėjų ir (ar) faktoringo</w:t>
            </w:r>
            <w:r>
              <w:rPr>
                <w:rFonts w:ascii="Times New Roman" w:hAnsi="Times New Roman"/>
              </w:rPr>
              <w:t xml:space="preserve"> sandorių</w:t>
            </w:r>
            <w:r w:rsidRPr="00AC70CE">
              <w:rPr>
                <w:rFonts w:ascii="Times New Roman" w:hAnsi="Times New Roman"/>
              </w:rPr>
              <w:t xml:space="preserve"> </w:t>
            </w:r>
            <w:r>
              <w:rPr>
                <w:rFonts w:ascii="Times New Roman" w:hAnsi="Times New Roman"/>
              </w:rPr>
              <w:t xml:space="preserve">rizikos vertinimo ir </w:t>
            </w:r>
            <w:r w:rsidRPr="00AC70CE">
              <w:rPr>
                <w:rFonts w:ascii="Times New Roman" w:hAnsi="Times New Roman"/>
              </w:rPr>
              <w:t>reitingavimo metodika</w:t>
            </w:r>
            <w:r>
              <w:rPr>
                <w:rFonts w:ascii="Times New Roman" w:hAnsi="Times New Roman"/>
              </w:rPr>
              <w:t xml:space="preserve">. </w:t>
            </w:r>
          </w:p>
          <w:p w14:paraId="40CBDD04" w14:textId="77777777" w:rsidR="00712291" w:rsidRPr="00E0686E" w:rsidRDefault="00712291" w:rsidP="00712291">
            <w:pPr>
              <w:spacing w:after="0"/>
              <w:jc w:val="both"/>
              <w:rPr>
                <w:rFonts w:ascii="Times New Roman" w:hAnsi="Times New Roman"/>
              </w:rPr>
            </w:pPr>
            <w:r>
              <w:rPr>
                <w:rFonts w:ascii="Times New Roman" w:hAnsi="Times New Roman" w:cs="Times New Roman"/>
              </w:rPr>
              <w:t xml:space="preserve">PGF2 priemonės įgyvendinimo aprašyme </w:t>
            </w:r>
            <w:r>
              <w:rPr>
                <w:rFonts w:ascii="Times New Roman" w:hAnsi="Times New Roman"/>
              </w:rPr>
              <w:t>pateikiama informacija kaip FT taikomi Faktoringo</w:t>
            </w:r>
            <w:r w:rsidRPr="00AC70CE">
              <w:rPr>
                <w:rFonts w:ascii="Times New Roman" w:hAnsi="Times New Roman"/>
              </w:rPr>
              <w:t xml:space="preserve"> gavėjų kredito reitingai turėtų būti </w:t>
            </w:r>
            <w:r>
              <w:rPr>
                <w:rFonts w:ascii="Times New Roman" w:hAnsi="Times New Roman"/>
              </w:rPr>
              <w:t>suskirstyti prilyginant juos</w:t>
            </w:r>
            <w:r w:rsidRPr="00AC70CE">
              <w:rPr>
                <w:rFonts w:ascii="Times New Roman" w:hAnsi="Times New Roman"/>
              </w:rPr>
              <w:t xml:space="preserve"> tarptautinių reitingų agentūrų (Standart and Poor</w:t>
            </w:r>
            <w:r w:rsidR="002D39B0">
              <w:rPr>
                <w:rFonts w:ascii="Times New Roman" w:hAnsi="Times New Roman"/>
              </w:rPr>
              <w:t>‘</w:t>
            </w:r>
            <w:r w:rsidRPr="00AC70CE">
              <w:rPr>
                <w:rFonts w:ascii="Times New Roman" w:hAnsi="Times New Roman"/>
              </w:rPr>
              <w:t>s, Fitch, ir Moody</w:t>
            </w:r>
            <w:r w:rsidR="002D39B0">
              <w:rPr>
                <w:rFonts w:ascii="Times New Roman" w:hAnsi="Times New Roman"/>
              </w:rPr>
              <w:t>‘</w:t>
            </w:r>
            <w:r w:rsidRPr="00AC70CE">
              <w:rPr>
                <w:rFonts w:ascii="Times New Roman" w:hAnsi="Times New Roman"/>
              </w:rPr>
              <w:t>s) taikomiems reitingams</w:t>
            </w:r>
          </w:p>
        </w:tc>
      </w:tr>
      <w:tr w:rsidR="00712291" w:rsidRPr="00E0686E" w14:paraId="049D7413" w14:textId="77777777" w:rsidTr="009167F4">
        <w:tc>
          <w:tcPr>
            <w:tcW w:w="2972" w:type="dxa"/>
            <w:tcBorders>
              <w:top w:val="single" w:sz="4" w:space="0" w:color="auto"/>
              <w:bottom w:val="single" w:sz="4" w:space="0" w:color="auto"/>
            </w:tcBorders>
          </w:tcPr>
          <w:p w14:paraId="35996026" w14:textId="77777777" w:rsidR="00712291" w:rsidRPr="009C6E26" w:rsidRDefault="00712291" w:rsidP="00712291">
            <w:pPr>
              <w:spacing w:after="0"/>
              <w:jc w:val="both"/>
              <w:rPr>
                <w:rFonts w:ascii="Times New Roman" w:hAnsi="Times New Roman"/>
              </w:rPr>
            </w:pPr>
          </w:p>
        </w:tc>
        <w:tc>
          <w:tcPr>
            <w:tcW w:w="3402" w:type="dxa"/>
            <w:tcBorders>
              <w:top w:val="single" w:sz="4" w:space="0" w:color="auto"/>
              <w:bottom w:val="single" w:sz="4" w:space="0" w:color="auto"/>
            </w:tcBorders>
          </w:tcPr>
          <w:p w14:paraId="580A6220" w14:textId="77777777" w:rsidR="00712291" w:rsidRPr="004615DD" w:rsidRDefault="00712291" w:rsidP="00712291">
            <w:pPr>
              <w:spacing w:after="0"/>
              <w:jc w:val="both"/>
              <w:rPr>
                <w:rFonts w:ascii="Times New Roman" w:hAnsi="Times New Roman"/>
              </w:rPr>
            </w:pPr>
            <w:r w:rsidRPr="00D92F22">
              <w:rPr>
                <w:rFonts w:ascii="Times New Roman" w:hAnsi="Times New Roman"/>
              </w:rPr>
              <w:t xml:space="preserve">Turėti </w:t>
            </w:r>
            <w:r>
              <w:rPr>
                <w:rFonts w:ascii="Times New Roman" w:hAnsi="Times New Roman"/>
              </w:rPr>
              <w:t>faktoringo</w:t>
            </w:r>
            <w:r w:rsidRPr="00D92F22">
              <w:rPr>
                <w:rFonts w:ascii="Times New Roman" w:hAnsi="Times New Roman"/>
              </w:rPr>
              <w:t xml:space="preserve"> teikimo, </w:t>
            </w:r>
            <w:r>
              <w:rPr>
                <w:rFonts w:ascii="Times New Roman" w:hAnsi="Times New Roman"/>
              </w:rPr>
              <w:t xml:space="preserve">sandorių </w:t>
            </w:r>
            <w:r w:rsidRPr="00D92F22">
              <w:rPr>
                <w:rFonts w:ascii="Times New Roman" w:hAnsi="Times New Roman"/>
              </w:rPr>
              <w:t xml:space="preserve">stebėsenos procedūras, </w:t>
            </w:r>
            <w:r>
              <w:rPr>
                <w:rFonts w:ascii="Times New Roman" w:hAnsi="Times New Roman"/>
              </w:rPr>
              <w:t>faktoringo</w:t>
            </w:r>
            <w:r w:rsidRPr="00D92F22">
              <w:rPr>
                <w:rFonts w:ascii="Times New Roman" w:hAnsi="Times New Roman"/>
              </w:rPr>
              <w:t xml:space="preserve"> portfelio rizikos valdymo, skolų išieškojimo metodikas</w:t>
            </w:r>
            <w:r w:rsidRPr="004615DD">
              <w:rPr>
                <w:rFonts w:ascii="Times New Roman" w:hAnsi="Times New Roman"/>
              </w:rPr>
              <w:t>*</w:t>
            </w:r>
          </w:p>
        </w:tc>
        <w:tc>
          <w:tcPr>
            <w:tcW w:w="3724" w:type="dxa"/>
            <w:tcBorders>
              <w:top w:val="single" w:sz="4" w:space="0" w:color="auto"/>
              <w:bottom w:val="single" w:sz="4" w:space="0" w:color="auto"/>
            </w:tcBorders>
          </w:tcPr>
          <w:p w14:paraId="21635B0A" w14:textId="77777777" w:rsidR="00712291" w:rsidRDefault="00712291" w:rsidP="00712291">
            <w:pPr>
              <w:spacing w:after="0"/>
              <w:jc w:val="both"/>
              <w:rPr>
                <w:rFonts w:ascii="Times New Roman" w:hAnsi="Times New Roman"/>
              </w:rPr>
            </w:pPr>
            <w:r w:rsidRPr="00D92F22">
              <w:rPr>
                <w:rFonts w:ascii="Times New Roman" w:hAnsi="Times New Roman"/>
              </w:rPr>
              <w:t xml:space="preserve">Turėti </w:t>
            </w:r>
            <w:r>
              <w:rPr>
                <w:rFonts w:ascii="Times New Roman" w:hAnsi="Times New Roman"/>
              </w:rPr>
              <w:t>faktoringo</w:t>
            </w:r>
            <w:r w:rsidRPr="00D92F22">
              <w:rPr>
                <w:rFonts w:ascii="Times New Roman" w:hAnsi="Times New Roman"/>
              </w:rPr>
              <w:t xml:space="preserve"> teikimo, </w:t>
            </w:r>
            <w:r>
              <w:rPr>
                <w:rFonts w:ascii="Times New Roman" w:hAnsi="Times New Roman"/>
              </w:rPr>
              <w:t xml:space="preserve">sandorių </w:t>
            </w:r>
            <w:r w:rsidRPr="00D92F22">
              <w:rPr>
                <w:rFonts w:ascii="Times New Roman" w:hAnsi="Times New Roman"/>
              </w:rPr>
              <w:t xml:space="preserve">stebėsenos procedūras, </w:t>
            </w:r>
            <w:r>
              <w:rPr>
                <w:rFonts w:ascii="Times New Roman" w:hAnsi="Times New Roman"/>
              </w:rPr>
              <w:t>faktoringo</w:t>
            </w:r>
            <w:r w:rsidRPr="00D92F22">
              <w:rPr>
                <w:rFonts w:ascii="Times New Roman" w:hAnsi="Times New Roman"/>
              </w:rPr>
              <w:t xml:space="preserve"> portfelio rizikos valdymo, skolų išieškojimo metodikas</w:t>
            </w:r>
          </w:p>
        </w:tc>
        <w:tc>
          <w:tcPr>
            <w:tcW w:w="5206" w:type="dxa"/>
            <w:tcBorders>
              <w:top w:val="single" w:sz="4" w:space="0" w:color="auto"/>
              <w:bottom w:val="single" w:sz="4" w:space="0" w:color="auto"/>
            </w:tcBorders>
          </w:tcPr>
          <w:p w14:paraId="7BA85A4F" w14:textId="77777777" w:rsidR="00712291" w:rsidRDefault="00712291" w:rsidP="00712291">
            <w:pPr>
              <w:spacing w:after="0"/>
              <w:jc w:val="both"/>
              <w:rPr>
                <w:rFonts w:ascii="Times New Roman" w:hAnsi="Times New Roman"/>
              </w:rPr>
            </w:pPr>
            <w:r>
              <w:rPr>
                <w:rFonts w:ascii="Times New Roman" w:hAnsi="Times New Roman"/>
              </w:rPr>
              <w:t>Pateikiami patvirtinimai FT prašyme ir</w:t>
            </w:r>
            <w:r w:rsidR="0020029F">
              <w:rPr>
                <w:rFonts w:ascii="Times New Roman" w:hAnsi="Times New Roman"/>
              </w:rPr>
              <w:t xml:space="preserve"> (</w:t>
            </w:r>
            <w:r>
              <w:rPr>
                <w:rFonts w:ascii="Times New Roman" w:hAnsi="Times New Roman"/>
              </w:rPr>
              <w:t>ar</w:t>
            </w:r>
            <w:r w:rsidR="0020029F">
              <w:rPr>
                <w:rFonts w:ascii="Times New Roman" w:hAnsi="Times New Roman"/>
              </w:rPr>
              <w:t>)</w:t>
            </w:r>
            <w:r>
              <w:rPr>
                <w:rFonts w:ascii="Times New Roman" w:hAnsi="Times New Roman"/>
              </w:rPr>
              <w:t xml:space="preserve"> </w:t>
            </w:r>
            <w:r>
              <w:rPr>
                <w:rFonts w:ascii="Times New Roman" w:hAnsi="Times New Roman" w:cs="Times New Roman"/>
              </w:rPr>
              <w:t xml:space="preserve">PGF2 priemonės įgyvendinimo aprašyme </w:t>
            </w:r>
          </w:p>
        </w:tc>
      </w:tr>
      <w:tr w:rsidR="00712291" w:rsidRPr="00E0686E" w14:paraId="7251AEC5" w14:textId="77777777" w:rsidTr="009167F4">
        <w:tc>
          <w:tcPr>
            <w:tcW w:w="2972" w:type="dxa"/>
            <w:tcBorders>
              <w:top w:val="single" w:sz="4" w:space="0" w:color="auto"/>
              <w:bottom w:val="single" w:sz="4" w:space="0" w:color="auto"/>
            </w:tcBorders>
          </w:tcPr>
          <w:p w14:paraId="277ABB9F" w14:textId="77777777" w:rsidR="00712291" w:rsidRPr="009C6E26" w:rsidRDefault="00712291" w:rsidP="00712291">
            <w:pPr>
              <w:spacing w:after="0"/>
              <w:jc w:val="both"/>
              <w:rPr>
                <w:rFonts w:ascii="Times New Roman" w:hAnsi="Times New Roman"/>
              </w:rPr>
            </w:pPr>
          </w:p>
        </w:tc>
        <w:tc>
          <w:tcPr>
            <w:tcW w:w="3402" w:type="dxa"/>
            <w:tcBorders>
              <w:top w:val="single" w:sz="4" w:space="0" w:color="auto"/>
              <w:bottom w:val="single" w:sz="4" w:space="0" w:color="auto"/>
            </w:tcBorders>
          </w:tcPr>
          <w:p w14:paraId="2A7C7783" w14:textId="77777777" w:rsidR="00712291" w:rsidRPr="00D92F22" w:rsidRDefault="00712291" w:rsidP="00712291">
            <w:pPr>
              <w:spacing w:after="0"/>
              <w:jc w:val="both"/>
              <w:rPr>
                <w:rFonts w:ascii="Times New Roman" w:hAnsi="Times New Roman"/>
              </w:rPr>
            </w:pPr>
            <w:r w:rsidRPr="00D92F22">
              <w:rPr>
                <w:rFonts w:ascii="Times New Roman" w:hAnsi="Times New Roman"/>
              </w:rPr>
              <w:t xml:space="preserve">Turėti administracines ir apskaitos procedūras, elektroninių duomenų apdorojimo kontrolės ir apsaugos </w:t>
            </w:r>
            <w:r w:rsidRPr="00D92F22">
              <w:rPr>
                <w:rFonts w:ascii="Times New Roman" w:hAnsi="Times New Roman"/>
              </w:rPr>
              <w:lastRenderedPageBreak/>
              <w:t xml:space="preserve">priemones, kurios yra patikimos ir gali pateikti informaciją apie visus </w:t>
            </w:r>
            <w:r>
              <w:rPr>
                <w:rFonts w:ascii="Times New Roman" w:hAnsi="Times New Roman"/>
              </w:rPr>
              <w:t xml:space="preserve">faktoringo </w:t>
            </w:r>
            <w:r w:rsidRPr="00D92F22">
              <w:rPr>
                <w:rFonts w:ascii="Times New Roman" w:hAnsi="Times New Roman"/>
              </w:rPr>
              <w:t>sandorius, jų turinį, laiką ir vietą, kad būtų galima nustatyti, ar finansavimas suteiktas pagal nustatytus reikalavimus</w:t>
            </w:r>
          </w:p>
        </w:tc>
        <w:tc>
          <w:tcPr>
            <w:tcW w:w="3724" w:type="dxa"/>
            <w:tcBorders>
              <w:top w:val="single" w:sz="4" w:space="0" w:color="auto"/>
              <w:bottom w:val="single" w:sz="4" w:space="0" w:color="auto"/>
            </w:tcBorders>
          </w:tcPr>
          <w:p w14:paraId="0401B1A3" w14:textId="77777777" w:rsidR="00712291" w:rsidRDefault="00712291" w:rsidP="00712291">
            <w:pPr>
              <w:spacing w:after="0"/>
              <w:jc w:val="both"/>
              <w:rPr>
                <w:rFonts w:ascii="Bookman Old Style" w:hAnsi="Bookman Old Style" w:cs="Calibri"/>
                <w:sz w:val="18"/>
                <w:lang w:eastAsia="lt-LT"/>
              </w:rPr>
            </w:pPr>
            <w:r w:rsidRPr="00D92F22">
              <w:rPr>
                <w:rFonts w:ascii="Times New Roman" w:hAnsi="Times New Roman"/>
              </w:rPr>
              <w:lastRenderedPageBreak/>
              <w:t xml:space="preserve">Turėti administracines ir apskaitos procedūras, elektroninių duomenų apdorojimo kontrolės ir apsaugos </w:t>
            </w:r>
            <w:r w:rsidRPr="00D92F22">
              <w:rPr>
                <w:rFonts w:ascii="Times New Roman" w:hAnsi="Times New Roman"/>
              </w:rPr>
              <w:lastRenderedPageBreak/>
              <w:t xml:space="preserve">priemones, kurios yra patikimos ir gali pateikti informaciją apie visus </w:t>
            </w:r>
            <w:r>
              <w:rPr>
                <w:rFonts w:ascii="Times New Roman" w:hAnsi="Times New Roman"/>
              </w:rPr>
              <w:t xml:space="preserve">faktoringo </w:t>
            </w:r>
            <w:r w:rsidRPr="00D92F22">
              <w:rPr>
                <w:rFonts w:ascii="Times New Roman" w:hAnsi="Times New Roman"/>
              </w:rPr>
              <w:t>sandorius, jų turinį, laiką ir vietą, kad būtų galima nustatyti, ar finansavimas suteiktas pagal nustatytus reikalavimus</w:t>
            </w:r>
          </w:p>
        </w:tc>
        <w:tc>
          <w:tcPr>
            <w:tcW w:w="5206" w:type="dxa"/>
            <w:tcBorders>
              <w:top w:val="single" w:sz="4" w:space="0" w:color="auto"/>
              <w:bottom w:val="single" w:sz="4" w:space="0" w:color="auto"/>
            </w:tcBorders>
          </w:tcPr>
          <w:p w14:paraId="500873E9" w14:textId="77777777" w:rsidR="00712291" w:rsidRDefault="00712291" w:rsidP="00712291">
            <w:pPr>
              <w:spacing w:after="0"/>
              <w:jc w:val="both"/>
              <w:rPr>
                <w:rFonts w:ascii="Times New Roman" w:hAnsi="Times New Roman"/>
              </w:rPr>
            </w:pPr>
            <w:r>
              <w:rPr>
                <w:rFonts w:ascii="Times New Roman" w:hAnsi="Times New Roman"/>
              </w:rPr>
              <w:lastRenderedPageBreak/>
              <w:t>Pateikiami patvirtinimai FT prašyme ir</w:t>
            </w:r>
            <w:r w:rsidR="0020029F">
              <w:rPr>
                <w:rFonts w:ascii="Times New Roman" w:hAnsi="Times New Roman"/>
              </w:rPr>
              <w:t xml:space="preserve"> (</w:t>
            </w:r>
            <w:r>
              <w:rPr>
                <w:rFonts w:ascii="Times New Roman" w:hAnsi="Times New Roman"/>
              </w:rPr>
              <w:t>ar</w:t>
            </w:r>
            <w:r w:rsidR="0020029F">
              <w:rPr>
                <w:rFonts w:ascii="Times New Roman" w:hAnsi="Times New Roman"/>
              </w:rPr>
              <w:t>)</w:t>
            </w:r>
            <w:r>
              <w:rPr>
                <w:rFonts w:ascii="Times New Roman" w:hAnsi="Times New Roman"/>
              </w:rPr>
              <w:t xml:space="preserve"> </w:t>
            </w:r>
            <w:r>
              <w:rPr>
                <w:rFonts w:ascii="Times New Roman" w:hAnsi="Times New Roman" w:cs="Times New Roman"/>
              </w:rPr>
              <w:t>PGF2 priemonės įgyvendinimo aprašyme</w:t>
            </w:r>
          </w:p>
          <w:p w14:paraId="6F53863C" w14:textId="77777777" w:rsidR="00712291" w:rsidRDefault="00712291" w:rsidP="00712291">
            <w:pPr>
              <w:spacing w:after="0"/>
              <w:jc w:val="both"/>
              <w:rPr>
                <w:rFonts w:ascii="Times New Roman" w:hAnsi="Times New Roman"/>
              </w:rPr>
            </w:pPr>
          </w:p>
        </w:tc>
      </w:tr>
    </w:tbl>
    <w:p w14:paraId="42AAA8E3" w14:textId="77777777" w:rsidR="00DE2CFA" w:rsidRPr="001C6716" w:rsidRDefault="00DE2CFA" w:rsidP="00DE2CFA">
      <w:pPr>
        <w:tabs>
          <w:tab w:val="left" w:pos="709"/>
        </w:tabs>
        <w:autoSpaceDE w:val="0"/>
        <w:autoSpaceDN w:val="0"/>
        <w:adjustRightInd w:val="0"/>
        <w:spacing w:after="0" w:line="240" w:lineRule="auto"/>
        <w:rPr>
          <w:rFonts w:ascii="Times New Roman" w:hAnsi="Times New Roman"/>
          <w:sz w:val="20"/>
          <w:szCs w:val="20"/>
        </w:rPr>
      </w:pPr>
      <w:r w:rsidRPr="001C6716">
        <w:rPr>
          <w:rFonts w:ascii="Times New Roman" w:hAnsi="Times New Roman"/>
          <w:sz w:val="20"/>
          <w:szCs w:val="20"/>
        </w:rPr>
        <w:t>PAAIŠKINIMAI:</w:t>
      </w:r>
    </w:p>
    <w:p w14:paraId="281DE6E8" w14:textId="691D2C43" w:rsidR="00DE2CFA" w:rsidRDefault="00DE2CFA" w:rsidP="00DE2CFA">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1C6716" w:rsidRPr="001C6716">
        <w:rPr>
          <w:rFonts w:ascii="Times New Roman" w:hAnsi="Times New Roman"/>
          <w:sz w:val="20"/>
          <w:szCs w:val="20"/>
        </w:rPr>
        <w:t xml:space="preserve"> </w:t>
      </w:r>
      <w:r w:rsidRPr="001C6716">
        <w:rPr>
          <w:rFonts w:ascii="Times New Roman" w:hAnsi="Times New Roman"/>
          <w:sz w:val="20"/>
          <w:szCs w:val="20"/>
        </w:rPr>
        <w:t>Tais atvejais, kai FT veiklos priežiūrą vykdo Lietuvos bankas</w:t>
      </w:r>
      <w:r w:rsidR="00F23717">
        <w:rPr>
          <w:rFonts w:ascii="Times New Roman" w:hAnsi="Times New Roman"/>
          <w:sz w:val="20"/>
          <w:szCs w:val="20"/>
        </w:rPr>
        <w:t xml:space="preserve">, </w:t>
      </w:r>
      <w:r w:rsidRPr="001C6716">
        <w:rPr>
          <w:rFonts w:ascii="Times New Roman" w:hAnsi="Times New Roman"/>
          <w:sz w:val="20"/>
          <w:szCs w:val="20"/>
        </w:rPr>
        <w:t xml:space="preserve">daroma prielaida, kad ši institucija yra patikrinusi FT atitikimą </w:t>
      </w:r>
      <w:r w:rsidR="0020029F">
        <w:rPr>
          <w:rFonts w:ascii="Times New Roman" w:hAnsi="Times New Roman"/>
          <w:sz w:val="20"/>
          <w:szCs w:val="20"/>
        </w:rPr>
        <w:t xml:space="preserve">šiems </w:t>
      </w:r>
      <w:r w:rsidR="00C81691" w:rsidRPr="001C6716">
        <w:rPr>
          <w:rFonts w:ascii="Times New Roman" w:hAnsi="Times New Roman"/>
          <w:sz w:val="20"/>
          <w:szCs w:val="20"/>
        </w:rPr>
        <w:t xml:space="preserve">tinkamumo </w:t>
      </w:r>
      <w:r w:rsidRPr="001C6716">
        <w:rPr>
          <w:rFonts w:ascii="Times New Roman" w:hAnsi="Times New Roman"/>
          <w:sz w:val="20"/>
          <w:szCs w:val="20"/>
        </w:rPr>
        <w:t xml:space="preserve">reikalavimams, todėl lentelėje nurodytų </w:t>
      </w:r>
      <w:r w:rsidR="00C81691" w:rsidRPr="001C6716">
        <w:rPr>
          <w:rFonts w:ascii="Times New Roman" w:hAnsi="Times New Roman"/>
          <w:sz w:val="20"/>
          <w:szCs w:val="20"/>
        </w:rPr>
        <w:t xml:space="preserve">tinkamumo </w:t>
      </w:r>
      <w:r w:rsidRPr="001C6716">
        <w:rPr>
          <w:rFonts w:ascii="Times New Roman" w:hAnsi="Times New Roman"/>
          <w:sz w:val="20"/>
          <w:szCs w:val="20"/>
        </w:rPr>
        <w:t>reikalavimų vertinimai nėra atliekami, tačiau vadovaujantis Lietuvos banko internetinėje svetainėje skelbiama informacija yra patikrinama, ar FT nėra taikomos poveikio priemonės</w:t>
      </w:r>
      <w:r w:rsidR="002E1BE7">
        <w:rPr>
          <w:rFonts w:ascii="Times New Roman" w:hAnsi="Times New Roman"/>
          <w:sz w:val="20"/>
          <w:szCs w:val="20"/>
        </w:rPr>
        <w:t xml:space="preserve"> </w:t>
      </w:r>
      <w:r w:rsidRPr="001C6716">
        <w:rPr>
          <w:rFonts w:ascii="Times New Roman" w:hAnsi="Times New Roman"/>
          <w:sz w:val="20"/>
          <w:szCs w:val="20"/>
        </w:rPr>
        <w:t>ar veiklos apribojimai. Jeigu FT taikom</w:t>
      </w:r>
      <w:r w:rsidR="00A16179">
        <w:rPr>
          <w:rFonts w:ascii="Times New Roman" w:hAnsi="Times New Roman"/>
          <w:sz w:val="20"/>
          <w:szCs w:val="20"/>
        </w:rPr>
        <w:t>os</w:t>
      </w:r>
      <w:r w:rsidRPr="001C6716">
        <w:rPr>
          <w:rFonts w:ascii="Times New Roman" w:hAnsi="Times New Roman"/>
          <w:sz w:val="20"/>
          <w:szCs w:val="20"/>
        </w:rPr>
        <w:t xml:space="preserve"> </w:t>
      </w:r>
      <w:r w:rsidR="00A16179" w:rsidRPr="001C6716">
        <w:rPr>
          <w:rFonts w:ascii="Times New Roman" w:hAnsi="Times New Roman"/>
          <w:sz w:val="20"/>
          <w:szCs w:val="20"/>
        </w:rPr>
        <w:t>poveikio priemonės</w:t>
      </w:r>
      <w:r w:rsidR="002E1BE7">
        <w:rPr>
          <w:rFonts w:ascii="Times New Roman" w:hAnsi="Times New Roman"/>
          <w:sz w:val="20"/>
          <w:szCs w:val="20"/>
        </w:rPr>
        <w:t xml:space="preserve"> </w:t>
      </w:r>
      <w:r w:rsidR="00A16179">
        <w:rPr>
          <w:rFonts w:ascii="Times New Roman" w:hAnsi="Times New Roman"/>
          <w:sz w:val="20"/>
          <w:szCs w:val="20"/>
        </w:rPr>
        <w:t xml:space="preserve">ar </w:t>
      </w:r>
      <w:r w:rsidRPr="001C6716">
        <w:rPr>
          <w:rFonts w:ascii="Times New Roman" w:hAnsi="Times New Roman"/>
          <w:sz w:val="20"/>
          <w:szCs w:val="20"/>
        </w:rPr>
        <w:t xml:space="preserve">veiklos apribojimai, </w:t>
      </w:r>
      <w:r w:rsidR="007648F1" w:rsidRPr="001C6716">
        <w:rPr>
          <w:rFonts w:ascii="Times New Roman" w:hAnsi="Times New Roman"/>
          <w:sz w:val="20"/>
          <w:szCs w:val="20"/>
        </w:rPr>
        <w:t>„</w:t>
      </w:r>
      <w:r w:rsidRPr="001C6716">
        <w:rPr>
          <w:rFonts w:ascii="Times New Roman" w:hAnsi="Times New Roman"/>
          <w:sz w:val="20"/>
          <w:szCs w:val="20"/>
        </w:rPr>
        <w:t xml:space="preserve">Invega“ gali paprašyti papildomos informacijos, siekdama įvertinti </w:t>
      </w:r>
      <w:r w:rsidR="00C81691" w:rsidRPr="001C6716">
        <w:rPr>
          <w:rFonts w:ascii="Times New Roman" w:hAnsi="Times New Roman"/>
          <w:sz w:val="20"/>
          <w:szCs w:val="20"/>
        </w:rPr>
        <w:t xml:space="preserve">nustatytų pažeidimų mastą, jų ištaisymo terminus ir </w:t>
      </w:r>
      <w:r w:rsidR="0020029F">
        <w:rPr>
          <w:rFonts w:ascii="Times New Roman" w:hAnsi="Times New Roman"/>
          <w:sz w:val="20"/>
          <w:szCs w:val="20"/>
        </w:rPr>
        <w:t>įtaką</w:t>
      </w:r>
      <w:r w:rsidR="0020029F" w:rsidRPr="001C6716">
        <w:rPr>
          <w:rFonts w:ascii="Times New Roman" w:hAnsi="Times New Roman"/>
          <w:sz w:val="20"/>
          <w:szCs w:val="20"/>
        </w:rPr>
        <w:t xml:space="preserve"> </w:t>
      </w:r>
      <w:r w:rsidR="00C81691" w:rsidRPr="001C6716">
        <w:rPr>
          <w:rFonts w:ascii="Times New Roman" w:hAnsi="Times New Roman"/>
          <w:sz w:val="20"/>
          <w:szCs w:val="20"/>
        </w:rPr>
        <w:t>taikomiems tinkamumo reikalavimams</w:t>
      </w:r>
      <w:r w:rsidRPr="001C6716">
        <w:rPr>
          <w:rFonts w:ascii="Times New Roman" w:hAnsi="Times New Roman"/>
          <w:sz w:val="20"/>
          <w:szCs w:val="20"/>
        </w:rPr>
        <w:t>. FT turi</w:t>
      </w:r>
      <w:r w:rsidR="00701C4C">
        <w:rPr>
          <w:rFonts w:ascii="Times New Roman" w:hAnsi="Times New Roman"/>
          <w:sz w:val="20"/>
          <w:szCs w:val="20"/>
        </w:rPr>
        <w:t xml:space="preserve"> pateikti paaiškinimus kokių veiksmų buvo imtasi</w:t>
      </w:r>
      <w:r w:rsidR="00A16179">
        <w:rPr>
          <w:rFonts w:ascii="Times New Roman" w:hAnsi="Times New Roman"/>
          <w:sz w:val="20"/>
          <w:szCs w:val="20"/>
        </w:rPr>
        <w:t xml:space="preserve">, kad </w:t>
      </w:r>
      <w:r w:rsidR="00701C4C">
        <w:rPr>
          <w:rFonts w:ascii="Times New Roman" w:hAnsi="Times New Roman"/>
          <w:sz w:val="20"/>
          <w:szCs w:val="20"/>
        </w:rPr>
        <w:t xml:space="preserve"> </w:t>
      </w:r>
      <w:r w:rsidRPr="001C6716">
        <w:rPr>
          <w:rFonts w:ascii="Times New Roman" w:hAnsi="Times New Roman"/>
          <w:sz w:val="20"/>
          <w:szCs w:val="20"/>
        </w:rPr>
        <w:t>pažeidimai</w:t>
      </w:r>
      <w:r w:rsidR="00A16179">
        <w:rPr>
          <w:rFonts w:ascii="Times New Roman" w:hAnsi="Times New Roman"/>
          <w:sz w:val="20"/>
          <w:szCs w:val="20"/>
        </w:rPr>
        <w:t>, dėl kurių taikytos Lietuvos banko poveikio priemonės</w:t>
      </w:r>
      <w:r w:rsidR="002E1BE7">
        <w:rPr>
          <w:rFonts w:ascii="Times New Roman" w:hAnsi="Times New Roman"/>
          <w:sz w:val="20"/>
          <w:szCs w:val="20"/>
        </w:rPr>
        <w:t xml:space="preserve"> </w:t>
      </w:r>
      <w:r w:rsidR="00A16179">
        <w:rPr>
          <w:rFonts w:ascii="Times New Roman" w:hAnsi="Times New Roman"/>
          <w:sz w:val="20"/>
          <w:szCs w:val="20"/>
        </w:rPr>
        <w:t xml:space="preserve">ar </w:t>
      </w:r>
      <w:r w:rsidR="002E1BE7">
        <w:rPr>
          <w:rFonts w:ascii="Times New Roman" w:hAnsi="Times New Roman"/>
          <w:sz w:val="20"/>
          <w:szCs w:val="20"/>
        </w:rPr>
        <w:t xml:space="preserve">veiklos ribojimai </w:t>
      </w:r>
      <w:r w:rsidRPr="001C6716">
        <w:rPr>
          <w:rFonts w:ascii="Times New Roman" w:hAnsi="Times New Roman"/>
          <w:sz w:val="20"/>
          <w:szCs w:val="20"/>
        </w:rPr>
        <w:t xml:space="preserve"> </w:t>
      </w:r>
      <w:r w:rsidR="00701C4C">
        <w:rPr>
          <w:rFonts w:ascii="Times New Roman" w:hAnsi="Times New Roman"/>
          <w:sz w:val="20"/>
          <w:szCs w:val="20"/>
        </w:rPr>
        <w:t xml:space="preserve">būtų ištaisyti </w:t>
      </w:r>
      <w:r w:rsidR="002E1BE7">
        <w:rPr>
          <w:rFonts w:ascii="Times New Roman" w:hAnsi="Times New Roman"/>
          <w:sz w:val="20"/>
          <w:szCs w:val="20"/>
        </w:rPr>
        <w:t xml:space="preserve">ar panaikinti </w:t>
      </w:r>
      <w:r w:rsidRPr="001C6716">
        <w:rPr>
          <w:rFonts w:ascii="Times New Roman" w:hAnsi="Times New Roman"/>
          <w:sz w:val="20"/>
          <w:szCs w:val="20"/>
        </w:rPr>
        <w:t xml:space="preserve"> ir neturės įtakos tinkamam PGF2 priemonės įgyvendinimui. </w:t>
      </w:r>
      <w:r w:rsidR="002E1BE7" w:rsidRPr="00CA534E">
        <w:rPr>
          <w:rFonts w:ascii="Times New Roman" w:hAnsi="Times New Roman"/>
          <w:sz w:val="20"/>
          <w:szCs w:val="20"/>
        </w:rPr>
        <w:t xml:space="preserve">Papildomų paaiškinimų </w:t>
      </w:r>
      <w:r w:rsidR="00C02EEC" w:rsidRPr="00CA534E">
        <w:rPr>
          <w:rFonts w:ascii="Times New Roman" w:hAnsi="Times New Roman"/>
          <w:sz w:val="20"/>
          <w:szCs w:val="20"/>
        </w:rPr>
        <w:t xml:space="preserve">iš FT </w:t>
      </w:r>
      <w:r w:rsidR="002E1BE7" w:rsidRPr="00CA534E">
        <w:rPr>
          <w:rFonts w:ascii="Times New Roman" w:hAnsi="Times New Roman"/>
          <w:sz w:val="20"/>
          <w:szCs w:val="20"/>
        </w:rPr>
        <w:t>neprašoma, kai</w:t>
      </w:r>
      <w:r w:rsidR="00C02EEC" w:rsidRPr="00CA534E">
        <w:rPr>
          <w:rFonts w:ascii="Times New Roman" w:hAnsi="Times New Roman"/>
          <w:sz w:val="20"/>
          <w:szCs w:val="20"/>
        </w:rPr>
        <w:t xml:space="preserve"> Lietuvos banko </w:t>
      </w:r>
      <w:r w:rsidR="00061658" w:rsidRPr="00CA534E">
        <w:rPr>
          <w:rFonts w:ascii="Times New Roman" w:hAnsi="Times New Roman"/>
          <w:sz w:val="20"/>
          <w:szCs w:val="20"/>
        </w:rPr>
        <w:t>taikyta</w:t>
      </w:r>
      <w:r w:rsidR="002E1BE7" w:rsidRPr="00CA534E">
        <w:rPr>
          <w:rFonts w:ascii="Times New Roman" w:hAnsi="Times New Roman"/>
          <w:sz w:val="20"/>
          <w:szCs w:val="20"/>
        </w:rPr>
        <w:t xml:space="preserve"> poveikio priemonė - įspėjimas.</w:t>
      </w:r>
      <w:r w:rsidR="002E1BE7">
        <w:rPr>
          <w:rFonts w:ascii="Times New Roman" w:hAnsi="Times New Roman"/>
          <w:sz w:val="20"/>
          <w:szCs w:val="20"/>
        </w:rPr>
        <w:t xml:space="preserve"> </w:t>
      </w:r>
    </w:p>
    <w:p w14:paraId="35AEA8FB" w14:textId="28ADCF82" w:rsidR="00061658" w:rsidRDefault="00551A54" w:rsidP="00EB3B06">
      <w:pPr>
        <w:autoSpaceDE w:val="0"/>
        <w:autoSpaceDN w:val="0"/>
        <w:adjustRightInd w:val="0"/>
        <w:spacing w:after="0" w:line="240" w:lineRule="auto"/>
        <w:ind w:firstLine="851"/>
        <w:jc w:val="both"/>
        <w:rPr>
          <w:rFonts w:ascii="Times New Roman" w:hAnsi="Times New Roman"/>
          <w:sz w:val="20"/>
          <w:szCs w:val="20"/>
        </w:rPr>
      </w:pPr>
      <w:r>
        <w:rPr>
          <w:rFonts w:ascii="Times New Roman" w:hAnsi="Times New Roman"/>
          <w:sz w:val="20"/>
          <w:szCs w:val="20"/>
        </w:rPr>
        <w:t>**</w:t>
      </w:r>
      <w:r w:rsidRPr="00551A54">
        <w:t xml:space="preserve"> </w:t>
      </w:r>
      <w:r w:rsidRPr="00551A54">
        <w:rPr>
          <w:rFonts w:ascii="Times New Roman" w:hAnsi="Times New Roman"/>
          <w:sz w:val="20"/>
          <w:szCs w:val="20"/>
        </w:rPr>
        <w:t xml:space="preserve">Koreguotas nuosavas kapitalas yra apskaičiuojamas mažinant nuosavo kapitalo sumą visų paskolų, išduotų su </w:t>
      </w:r>
      <w:r>
        <w:rPr>
          <w:rFonts w:ascii="Times New Roman" w:hAnsi="Times New Roman"/>
          <w:sz w:val="20"/>
          <w:szCs w:val="20"/>
        </w:rPr>
        <w:t>FT</w:t>
      </w:r>
      <w:r w:rsidRPr="00551A54">
        <w:rPr>
          <w:rFonts w:ascii="Times New Roman" w:hAnsi="Times New Roman"/>
          <w:sz w:val="20"/>
          <w:szCs w:val="20"/>
        </w:rPr>
        <w:t xml:space="preserve"> ir jo vadovais susijusiems asmenims***, likučių suma, taip pat kito balanse apskaitomo turto, dėl kurio verte auditoriai negalėjo įsitikinti ir pareiškė sąlyginę nuomonę, vertei (pavyzdžiui, gautinomis sumomis, dėl kurių susigrąžinimo galimybių paskolos gavėjas auditoriams nepateikė pakankamų įrodymų).</w:t>
      </w:r>
      <w:r>
        <w:rPr>
          <w:rFonts w:ascii="Times New Roman" w:hAnsi="Times New Roman"/>
          <w:sz w:val="20"/>
          <w:szCs w:val="20"/>
        </w:rPr>
        <w:t xml:space="preserve"> </w:t>
      </w:r>
      <w:r w:rsidRPr="00551A54">
        <w:rPr>
          <w:rFonts w:ascii="Times New Roman" w:hAnsi="Times New Roman"/>
          <w:sz w:val="20"/>
          <w:szCs w:val="20"/>
        </w:rPr>
        <w:t>Koreguotas kapitalas gali būti didinamas</w:t>
      </w:r>
      <w:r>
        <w:rPr>
          <w:rFonts w:ascii="Times New Roman" w:hAnsi="Times New Roman"/>
          <w:sz w:val="20"/>
          <w:szCs w:val="20"/>
        </w:rPr>
        <w:t xml:space="preserve"> FT</w:t>
      </w:r>
      <w:r w:rsidRPr="00551A54">
        <w:rPr>
          <w:rFonts w:ascii="Times New Roman" w:hAnsi="Times New Roman"/>
          <w:sz w:val="20"/>
          <w:szCs w:val="20"/>
        </w:rPr>
        <w:t xml:space="preserve"> akcininkų ar trečiųjų asmenų </w:t>
      </w:r>
      <w:r>
        <w:rPr>
          <w:rFonts w:ascii="Times New Roman" w:hAnsi="Times New Roman"/>
          <w:sz w:val="20"/>
          <w:szCs w:val="20"/>
        </w:rPr>
        <w:t>FT</w:t>
      </w:r>
      <w:r w:rsidRPr="00551A54">
        <w:rPr>
          <w:rFonts w:ascii="Times New Roman" w:hAnsi="Times New Roman"/>
          <w:sz w:val="20"/>
          <w:szCs w:val="20"/>
        </w:rPr>
        <w:t xml:space="preserve"> suteiktų paskolų suma, jeigu šios paskolos bus subordinuotos </w:t>
      </w:r>
      <w:r w:rsidR="00061658">
        <w:rPr>
          <w:rFonts w:ascii="Times New Roman" w:hAnsi="Times New Roman"/>
          <w:sz w:val="20"/>
          <w:szCs w:val="20"/>
        </w:rPr>
        <w:t xml:space="preserve">„Invegos“ atžvilgiu visu Sutarties galiojimo laikotarpiu </w:t>
      </w:r>
      <w:r w:rsidR="00061658" w:rsidRPr="00061658">
        <w:rPr>
          <w:rFonts w:ascii="Times New Roman" w:hAnsi="Times New Roman"/>
          <w:sz w:val="20"/>
          <w:szCs w:val="20"/>
        </w:rPr>
        <w:t xml:space="preserve">(turi būti pasirašyti trišaliai susitarimai tarp </w:t>
      </w:r>
      <w:r w:rsidR="003F1B93">
        <w:rPr>
          <w:rFonts w:ascii="Times New Roman" w:hAnsi="Times New Roman"/>
          <w:sz w:val="20"/>
          <w:szCs w:val="20"/>
        </w:rPr>
        <w:t>“Invegos“</w:t>
      </w:r>
      <w:r w:rsidR="00061658" w:rsidRPr="00061658">
        <w:rPr>
          <w:rFonts w:ascii="Times New Roman" w:hAnsi="Times New Roman"/>
          <w:sz w:val="20"/>
          <w:szCs w:val="20"/>
        </w:rPr>
        <w:t>, F</w:t>
      </w:r>
      <w:r w:rsidR="00BC2518">
        <w:rPr>
          <w:rFonts w:ascii="Times New Roman" w:hAnsi="Times New Roman"/>
          <w:sz w:val="20"/>
          <w:szCs w:val="20"/>
        </w:rPr>
        <w:t>T</w:t>
      </w:r>
      <w:r w:rsidR="00061658" w:rsidRPr="00061658">
        <w:rPr>
          <w:rFonts w:ascii="Times New Roman" w:hAnsi="Times New Roman"/>
          <w:sz w:val="20"/>
          <w:szCs w:val="20"/>
        </w:rPr>
        <w:t xml:space="preserve"> ir lėšas paskolinusių asmenų arba pateikti kiti</w:t>
      </w:r>
      <w:r w:rsidR="00520668">
        <w:rPr>
          <w:rFonts w:ascii="Times New Roman" w:hAnsi="Times New Roman"/>
          <w:sz w:val="20"/>
          <w:szCs w:val="20"/>
        </w:rPr>
        <w:t xml:space="preserve"> tinkami </w:t>
      </w:r>
      <w:r w:rsidR="00061658" w:rsidRPr="00061658">
        <w:rPr>
          <w:rFonts w:ascii="Times New Roman" w:hAnsi="Times New Roman"/>
          <w:sz w:val="20"/>
          <w:szCs w:val="20"/>
        </w:rPr>
        <w:t>patvirtinimai dėl šio reikalavimo įvykdymo).</w:t>
      </w:r>
    </w:p>
    <w:p w14:paraId="1E300EFA" w14:textId="26C6DA3A" w:rsidR="00EB3B06" w:rsidRPr="001C6716" w:rsidRDefault="001C6716"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lang w:val="fr-FR"/>
        </w:rPr>
        <w:t>**</w:t>
      </w:r>
      <w:r w:rsidR="00551A54">
        <w:rPr>
          <w:rFonts w:ascii="Times New Roman" w:hAnsi="Times New Roman"/>
          <w:sz w:val="20"/>
          <w:szCs w:val="20"/>
          <w:lang w:val="fr-FR"/>
        </w:rPr>
        <w:t>*</w:t>
      </w:r>
      <w:r w:rsidRPr="001C6716">
        <w:rPr>
          <w:rFonts w:ascii="Times New Roman" w:hAnsi="Times New Roman"/>
          <w:sz w:val="20"/>
          <w:szCs w:val="20"/>
          <w:lang w:val="fr-FR"/>
        </w:rPr>
        <w:t xml:space="preserve"> </w:t>
      </w:r>
      <w:r w:rsidR="00EB3B06" w:rsidRPr="001C6716">
        <w:rPr>
          <w:rFonts w:ascii="Times New Roman" w:hAnsi="Times New Roman"/>
          <w:sz w:val="20"/>
          <w:szCs w:val="20"/>
        </w:rPr>
        <w:t xml:space="preserve">Su </w:t>
      </w:r>
      <w:r w:rsidR="00F22B18" w:rsidRPr="001C6716">
        <w:rPr>
          <w:rFonts w:ascii="Times New Roman" w:hAnsi="Times New Roman"/>
          <w:sz w:val="20"/>
          <w:szCs w:val="20"/>
        </w:rPr>
        <w:t>FT</w:t>
      </w:r>
      <w:r w:rsidR="00EB3B06" w:rsidRPr="001C6716">
        <w:rPr>
          <w:rFonts w:ascii="Times New Roman" w:hAnsi="Times New Roman"/>
          <w:sz w:val="20"/>
          <w:szCs w:val="20"/>
        </w:rPr>
        <w:t xml:space="preserve"> susijusiais asmenimis laikomi:</w:t>
      </w:r>
    </w:p>
    <w:p w14:paraId="34BB453E"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asmenys, turintys </w:t>
      </w:r>
      <w:r w:rsidR="00F22B18" w:rsidRPr="001C6716">
        <w:rPr>
          <w:rFonts w:ascii="Times New Roman" w:hAnsi="Times New Roman"/>
          <w:sz w:val="20"/>
          <w:szCs w:val="20"/>
        </w:rPr>
        <w:t>FT</w:t>
      </w:r>
      <w:r w:rsidR="00EB3B06" w:rsidRPr="001C6716">
        <w:rPr>
          <w:rFonts w:ascii="Times New Roman" w:hAnsi="Times New Roman"/>
          <w:sz w:val="20"/>
          <w:szCs w:val="20"/>
        </w:rPr>
        <w:t xml:space="preserve"> kvalifikuotąją įstatinio kapitalo ir (arba) balsavimo teisių dalį</w:t>
      </w:r>
      <w:r w:rsidRPr="001C6716">
        <w:rPr>
          <w:rFonts w:ascii="Times New Roman" w:hAnsi="Times New Roman"/>
          <w:sz w:val="20"/>
          <w:szCs w:val="20"/>
        </w:rPr>
        <w:t xml:space="preserve"> ir jų kontroliuojamos įmonės</w:t>
      </w:r>
      <w:r w:rsidR="00EB3B06" w:rsidRPr="001C6716">
        <w:rPr>
          <w:rFonts w:ascii="Times New Roman" w:hAnsi="Times New Roman"/>
          <w:sz w:val="20"/>
          <w:szCs w:val="20"/>
        </w:rPr>
        <w:t>;</w:t>
      </w:r>
    </w:p>
    <w:p w14:paraId="0F5C2CC0"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 xml:space="preserve">- </w:t>
      </w:r>
      <w:r w:rsidR="00EB3B06" w:rsidRPr="001C6716">
        <w:rPr>
          <w:rFonts w:ascii="Times New Roman" w:hAnsi="Times New Roman"/>
          <w:sz w:val="20"/>
          <w:szCs w:val="20"/>
        </w:rPr>
        <w:t xml:space="preserve"> juridiniai asmenys, kurių kvalifikuotąją įstatinio kapitalo ir (arba) balsavimo teisių dalį turi </w:t>
      </w:r>
      <w:r w:rsidR="003A528C" w:rsidRPr="001C6716">
        <w:rPr>
          <w:rFonts w:ascii="Times New Roman" w:hAnsi="Times New Roman"/>
          <w:sz w:val="20"/>
          <w:szCs w:val="20"/>
        </w:rPr>
        <w:t>FT</w:t>
      </w:r>
      <w:r w:rsidR="00EB3B06" w:rsidRPr="001C6716">
        <w:rPr>
          <w:rFonts w:ascii="Times New Roman" w:hAnsi="Times New Roman"/>
          <w:sz w:val="20"/>
          <w:szCs w:val="20"/>
        </w:rPr>
        <w:t>;</w:t>
      </w:r>
    </w:p>
    <w:p w14:paraId="5E2D7154" w14:textId="77777777" w:rsidR="001C671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 aukščiau</w:t>
      </w:r>
      <w:r w:rsidR="00EB3B06" w:rsidRPr="001C6716">
        <w:rPr>
          <w:rFonts w:ascii="Times New Roman" w:hAnsi="Times New Roman"/>
          <w:sz w:val="20"/>
          <w:szCs w:val="20"/>
        </w:rPr>
        <w:t xml:space="preserve"> nurodytų juridinių asmenų vadovai ir su jais artimos giminystės, taip pat svainystės ryšiais susiję asmenys</w:t>
      </w:r>
      <w:r w:rsidR="001C6716" w:rsidRPr="001C6716">
        <w:rPr>
          <w:rFonts w:ascii="Times New Roman" w:hAnsi="Times New Roman"/>
          <w:sz w:val="20"/>
          <w:szCs w:val="20"/>
        </w:rPr>
        <w:t>;</w:t>
      </w:r>
    </w:p>
    <w:p w14:paraId="10618A78" w14:textId="77777777" w:rsidR="00EB3B06" w:rsidRPr="001C6716" w:rsidRDefault="001C6716"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 fiziniai asmenys, artimos giminystės, taip pat svainystės ryšiais susiję su FT kvalifikuotąją įstatinio kapitalo ir (arba) balsavimo teisių dalį turinčiais fiziniais asmenimis</w:t>
      </w:r>
      <w:r w:rsidR="00EB3B06" w:rsidRPr="001C6716">
        <w:rPr>
          <w:rFonts w:ascii="Times New Roman" w:hAnsi="Times New Roman"/>
          <w:sz w:val="20"/>
          <w:szCs w:val="20"/>
        </w:rPr>
        <w:t>;</w:t>
      </w:r>
    </w:p>
    <w:p w14:paraId="0909E71A" w14:textId="2EFE8991"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551A54">
        <w:rPr>
          <w:rFonts w:ascii="Times New Roman" w:hAnsi="Times New Roman"/>
          <w:sz w:val="20"/>
          <w:szCs w:val="20"/>
        </w:rPr>
        <w:t>*</w:t>
      </w:r>
      <w:r w:rsidRPr="001C6716">
        <w:rPr>
          <w:rFonts w:ascii="Times New Roman" w:hAnsi="Times New Roman"/>
          <w:sz w:val="20"/>
          <w:szCs w:val="20"/>
        </w:rPr>
        <w:t>*</w:t>
      </w:r>
      <w:r w:rsidR="001C6716" w:rsidRPr="001C6716">
        <w:rPr>
          <w:rFonts w:ascii="Times New Roman" w:hAnsi="Times New Roman"/>
          <w:sz w:val="20"/>
          <w:szCs w:val="20"/>
        </w:rPr>
        <w:t xml:space="preserve"> </w:t>
      </w:r>
      <w:r w:rsidR="00EB3B06" w:rsidRPr="001C6716">
        <w:rPr>
          <w:rFonts w:ascii="Times New Roman" w:hAnsi="Times New Roman"/>
          <w:sz w:val="20"/>
          <w:szCs w:val="20"/>
        </w:rPr>
        <w:t>Asmuo negali būti laikomas nepriekaištingos reputacijos, jeigu:</w:t>
      </w:r>
    </w:p>
    <w:p w14:paraId="5BF38B30"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yra pripažintas kaltu padaręs Lietuvos Respublikos baudžiamajame kodekse numatytą sunkų, labai sunkų nusikaltimą arba tyčinį nusikaltimą nuosavybei, turtinėms teisėms ir turtiniams interesams, ekonomikai ir verslo tvarkai, finansų sistemai, visuomenės saugumui, valstybės tarnybai ir viešiesiems interesams ar juos atitinkančias nusikalstamas veikas pagal kitų valstybių baudžiamuosius įstatymus, nepaisant to, ar teistumas yra išnykęs arba panaikintas;</w:t>
      </w:r>
    </w:p>
    <w:p w14:paraId="292F99DD"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yra pripažintas kaltu padaręs kitą Lietuvos Respublikos baudžiamajame kodekse arba kitų valstybių įstatymuose numatytą nusikalstamą veiką ir nuo bausmės atlikimo, bausmės vykdymo atidėjimo ar atleidimo nuo bausmės atlikimo dienos nepraėjo treji metai;</w:t>
      </w:r>
    </w:p>
    <w:p w14:paraId="222E7C91"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buvo nušalintas ar atleistas iš pareigų ar darbo arba praradęs teisę verstis tam tikra veikla už neatitikimą įstatymuose keliamiems nepriekaištingos reputacijos reikalavimams arba dėl finansų rinką reglamentuojančių teisės aktų pažeidimo ir nuo nušalinimo ar atleidimo iš pareigų ar darbo arba teisės verstis tam tikra veikla praradimo dienos nepraėjo treji metai;</w:t>
      </w:r>
    </w:p>
    <w:p w14:paraId="6C6D92E0"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jis piktnaudžiauja psichotropinėmis, narkotinėmis, kitomis psichiką veikiančiomis medžiagomis ar alkoholiu;</w:t>
      </w:r>
    </w:p>
    <w:p w14:paraId="42A8912A" w14:textId="77777777" w:rsidR="00EB3B06" w:rsidRPr="001C6716" w:rsidRDefault="00336EA2" w:rsidP="00EB3B06">
      <w:pPr>
        <w:autoSpaceDE w:val="0"/>
        <w:autoSpaceDN w:val="0"/>
        <w:adjustRightInd w:val="0"/>
        <w:spacing w:after="0" w:line="240" w:lineRule="auto"/>
        <w:ind w:firstLine="851"/>
        <w:jc w:val="both"/>
        <w:rPr>
          <w:rFonts w:ascii="Times New Roman" w:hAnsi="Times New Roman"/>
          <w:sz w:val="20"/>
          <w:szCs w:val="20"/>
        </w:rPr>
      </w:pPr>
      <w:r w:rsidRPr="001C6716">
        <w:rPr>
          <w:rFonts w:ascii="Times New Roman" w:hAnsi="Times New Roman"/>
          <w:sz w:val="20"/>
          <w:szCs w:val="20"/>
        </w:rPr>
        <w:t>-</w:t>
      </w:r>
      <w:r w:rsidR="00EB3B06" w:rsidRPr="001C6716">
        <w:rPr>
          <w:rFonts w:ascii="Times New Roman" w:hAnsi="Times New Roman"/>
          <w:sz w:val="20"/>
          <w:szCs w:val="20"/>
        </w:rPr>
        <w:t xml:space="preserve"> yra kitų reikšmingų aplinkybių, kurios leidžia pagrįstai abejoti asmens gebėjimu užtikrinti patikimą ir apdairų finansų įstaigos valdymą arba tinkamą kitų nustatytų funkcijų atlikimą.</w:t>
      </w:r>
    </w:p>
    <w:p w14:paraId="57D5C06A" w14:textId="77777777" w:rsidR="001C6716" w:rsidRDefault="001C6716" w:rsidP="00EB3B06">
      <w:pPr>
        <w:autoSpaceDE w:val="0"/>
        <w:autoSpaceDN w:val="0"/>
        <w:adjustRightInd w:val="0"/>
        <w:spacing w:after="0" w:line="240" w:lineRule="auto"/>
        <w:ind w:firstLine="851"/>
        <w:jc w:val="both"/>
        <w:rPr>
          <w:rFonts w:ascii="Times New Roman" w:hAnsi="Times New Roman"/>
        </w:rPr>
        <w:sectPr w:rsidR="001C6716" w:rsidSect="00A71989">
          <w:pgSz w:w="16838" w:h="11906" w:orient="landscape"/>
          <w:pgMar w:top="1701" w:right="993" w:bottom="709" w:left="851" w:header="454" w:footer="567" w:gutter="0"/>
          <w:cols w:space="1296"/>
          <w:titlePg/>
          <w:docGrid w:linePitch="360"/>
        </w:sectPr>
      </w:pPr>
    </w:p>
    <w:p w14:paraId="3D90594F" w14:textId="77777777" w:rsidR="00DB04D2" w:rsidRDefault="00DB04D2" w:rsidP="001C6716">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E9278C">
        <w:rPr>
          <w:rFonts w:ascii="Times New Roman" w:hAnsi="Times New Roman"/>
          <w:b/>
          <w:bCs/>
          <w:sz w:val="24"/>
          <w:szCs w:val="24"/>
        </w:rPr>
        <w:lastRenderedPageBreak/>
        <w:t>PGF2</w:t>
      </w:r>
      <w:r>
        <w:rPr>
          <w:rFonts w:ascii="Times New Roman" w:hAnsi="Times New Roman"/>
          <w:b/>
          <w:sz w:val="24"/>
          <w:szCs w:val="24"/>
        </w:rPr>
        <w:t xml:space="preserve"> PRIEMONĖS LĖŠŲ PASKIRSTYMAS </w:t>
      </w:r>
    </w:p>
    <w:p w14:paraId="65BEEE3C" w14:textId="77777777" w:rsidR="001E7CC0" w:rsidRPr="003A0F59" w:rsidRDefault="001E7CC0" w:rsidP="001E7CC0">
      <w:pPr>
        <w:pStyle w:val="ListParagraph"/>
        <w:autoSpaceDE w:val="0"/>
        <w:autoSpaceDN w:val="0"/>
        <w:adjustRightInd w:val="0"/>
        <w:spacing w:after="0" w:line="240" w:lineRule="auto"/>
        <w:ind w:left="1211"/>
        <w:rPr>
          <w:rFonts w:ascii="Times New Roman" w:hAnsi="Times New Roman"/>
          <w:bCs/>
        </w:rPr>
      </w:pPr>
    </w:p>
    <w:p w14:paraId="68C65906" w14:textId="77777777" w:rsidR="00EB7004" w:rsidRPr="00531CBF" w:rsidRDefault="00E9278C" w:rsidP="00035106">
      <w:pPr>
        <w:pStyle w:val="Heading1"/>
        <w:numPr>
          <w:ilvl w:val="1"/>
          <w:numId w:val="11"/>
        </w:numPr>
        <w:tabs>
          <w:tab w:val="left" w:pos="851"/>
        </w:tabs>
        <w:spacing w:before="0" w:after="0"/>
        <w:ind w:left="0" w:firstLine="426"/>
        <w:jc w:val="both"/>
        <w:rPr>
          <w:rFonts w:ascii="Times New Roman" w:hAnsi="Times New Roman"/>
          <w:b w:val="0"/>
          <w:sz w:val="24"/>
          <w:szCs w:val="24"/>
        </w:rPr>
      </w:pPr>
      <w:r>
        <w:rPr>
          <w:rFonts w:ascii="Times New Roman" w:hAnsi="Times New Roman"/>
          <w:b w:val="0"/>
          <w:sz w:val="24"/>
          <w:szCs w:val="24"/>
        </w:rPr>
        <w:t xml:space="preserve">PGF2 priemonės lėšos skiriamos FT, </w:t>
      </w:r>
      <w:r w:rsidR="0020029F">
        <w:rPr>
          <w:rFonts w:ascii="Times New Roman" w:hAnsi="Times New Roman"/>
          <w:b w:val="0"/>
          <w:sz w:val="24"/>
          <w:szCs w:val="24"/>
        </w:rPr>
        <w:t>atitinkantiems</w:t>
      </w:r>
      <w:r>
        <w:rPr>
          <w:rFonts w:ascii="Times New Roman" w:hAnsi="Times New Roman"/>
          <w:b w:val="0"/>
          <w:sz w:val="24"/>
          <w:szCs w:val="24"/>
        </w:rPr>
        <w:t xml:space="preserve"> Apraše nustatytus </w:t>
      </w:r>
      <w:r w:rsidR="0020029F">
        <w:rPr>
          <w:rFonts w:ascii="Times New Roman" w:hAnsi="Times New Roman"/>
          <w:b w:val="0"/>
          <w:sz w:val="24"/>
          <w:szCs w:val="24"/>
        </w:rPr>
        <w:t>t</w:t>
      </w:r>
      <w:r w:rsidR="00E930F2">
        <w:rPr>
          <w:rFonts w:ascii="Times New Roman" w:hAnsi="Times New Roman"/>
          <w:b w:val="0"/>
          <w:sz w:val="24"/>
          <w:szCs w:val="24"/>
        </w:rPr>
        <w:t xml:space="preserve">inkamumo </w:t>
      </w:r>
      <w:r w:rsidRPr="00531CBF">
        <w:rPr>
          <w:rFonts w:ascii="Times New Roman" w:hAnsi="Times New Roman"/>
          <w:b w:val="0"/>
          <w:sz w:val="24"/>
          <w:szCs w:val="24"/>
        </w:rPr>
        <w:t xml:space="preserve">reikalavimus, pagal pridedamą </w:t>
      </w:r>
      <w:r w:rsidR="001F272D" w:rsidRPr="00531CBF">
        <w:rPr>
          <w:rFonts w:ascii="Times New Roman" w:hAnsi="Times New Roman"/>
          <w:b w:val="0"/>
          <w:sz w:val="24"/>
          <w:szCs w:val="24"/>
        </w:rPr>
        <w:t xml:space="preserve">PGF2 priemonės lėšų </w:t>
      </w:r>
      <w:r w:rsidR="00E930F2" w:rsidRPr="00531CBF">
        <w:rPr>
          <w:rFonts w:ascii="Times New Roman" w:hAnsi="Times New Roman"/>
          <w:b w:val="0"/>
          <w:sz w:val="24"/>
          <w:szCs w:val="24"/>
        </w:rPr>
        <w:t>skirstymo</w:t>
      </w:r>
      <w:r w:rsidRPr="00531CBF">
        <w:rPr>
          <w:rFonts w:ascii="Times New Roman" w:hAnsi="Times New Roman"/>
          <w:b w:val="0"/>
          <w:sz w:val="24"/>
          <w:szCs w:val="24"/>
        </w:rPr>
        <w:t xml:space="preserve"> matricą (Aprašo 3 priedas</w:t>
      </w:r>
      <w:r w:rsidR="00EB7004" w:rsidRPr="00531CBF">
        <w:rPr>
          <w:rFonts w:ascii="Times New Roman" w:hAnsi="Times New Roman"/>
          <w:b w:val="0"/>
          <w:sz w:val="24"/>
          <w:szCs w:val="24"/>
        </w:rPr>
        <w:t>);</w:t>
      </w:r>
      <w:r w:rsidRPr="00531CBF">
        <w:rPr>
          <w:rFonts w:ascii="Times New Roman" w:hAnsi="Times New Roman"/>
          <w:b w:val="0"/>
          <w:sz w:val="24"/>
          <w:szCs w:val="24"/>
        </w:rPr>
        <w:t xml:space="preserve"> </w:t>
      </w:r>
    </w:p>
    <w:p w14:paraId="55C796C2" w14:textId="5E016771" w:rsidR="005810EE" w:rsidRPr="00531CBF" w:rsidRDefault="00EB7004" w:rsidP="00035106">
      <w:pPr>
        <w:pStyle w:val="Heading1"/>
        <w:numPr>
          <w:ilvl w:val="1"/>
          <w:numId w:val="11"/>
        </w:numPr>
        <w:tabs>
          <w:tab w:val="left" w:pos="851"/>
        </w:tabs>
        <w:spacing w:before="0" w:after="0"/>
        <w:ind w:left="0" w:firstLine="426"/>
        <w:jc w:val="both"/>
        <w:rPr>
          <w:rFonts w:ascii="Times New Roman" w:hAnsi="Times New Roman"/>
          <w:b w:val="0"/>
          <w:sz w:val="24"/>
          <w:szCs w:val="24"/>
        </w:rPr>
      </w:pPr>
      <w:r w:rsidRPr="00531CBF">
        <w:rPr>
          <w:rFonts w:ascii="Times New Roman" w:hAnsi="Times New Roman"/>
          <w:b w:val="0"/>
          <w:sz w:val="24"/>
          <w:szCs w:val="24"/>
        </w:rPr>
        <w:t>Skirstant PGF2 priemonės lėšas</w:t>
      </w:r>
      <w:r w:rsidR="00442EB9" w:rsidRPr="00531CBF">
        <w:rPr>
          <w:rFonts w:ascii="Times New Roman" w:hAnsi="Times New Roman"/>
          <w:b w:val="0"/>
          <w:sz w:val="24"/>
          <w:szCs w:val="24"/>
        </w:rPr>
        <w:t xml:space="preserve"> FT</w:t>
      </w:r>
      <w:r w:rsidR="001D3387" w:rsidRPr="00531CBF">
        <w:rPr>
          <w:rFonts w:ascii="Times New Roman" w:hAnsi="Times New Roman"/>
          <w:b w:val="0"/>
          <w:sz w:val="24"/>
          <w:szCs w:val="24"/>
        </w:rPr>
        <w:t>,</w:t>
      </w:r>
      <w:r w:rsidRPr="00531CBF">
        <w:rPr>
          <w:rFonts w:ascii="Times New Roman" w:hAnsi="Times New Roman"/>
          <w:b w:val="0"/>
          <w:sz w:val="24"/>
          <w:szCs w:val="24"/>
        </w:rPr>
        <w:t xml:space="preserve"> laikomasi nuostatos, kad </w:t>
      </w:r>
      <w:r w:rsidR="001F272D" w:rsidRPr="00531CBF">
        <w:rPr>
          <w:rFonts w:ascii="Times New Roman" w:hAnsi="Times New Roman"/>
          <w:b w:val="0"/>
          <w:sz w:val="24"/>
          <w:szCs w:val="24"/>
        </w:rPr>
        <w:t xml:space="preserve">pirmojo </w:t>
      </w:r>
      <w:r w:rsidRPr="00531CBF">
        <w:rPr>
          <w:rFonts w:ascii="Times New Roman" w:hAnsi="Times New Roman"/>
          <w:b w:val="0"/>
          <w:sz w:val="24"/>
          <w:szCs w:val="24"/>
        </w:rPr>
        <w:t>kvietim</w:t>
      </w:r>
      <w:r w:rsidR="00D266F9" w:rsidRPr="00531CBF">
        <w:rPr>
          <w:rFonts w:ascii="Times New Roman" w:hAnsi="Times New Roman"/>
          <w:b w:val="0"/>
          <w:sz w:val="24"/>
          <w:szCs w:val="24"/>
        </w:rPr>
        <w:t>o galiojim</w:t>
      </w:r>
      <w:r w:rsidRPr="00531CBF">
        <w:rPr>
          <w:rFonts w:ascii="Times New Roman" w:hAnsi="Times New Roman"/>
          <w:b w:val="0"/>
          <w:sz w:val="24"/>
          <w:szCs w:val="24"/>
        </w:rPr>
        <w:t xml:space="preserve">o </w:t>
      </w:r>
      <w:r w:rsidR="00D266F9" w:rsidRPr="00531CBF">
        <w:rPr>
          <w:rFonts w:ascii="Times New Roman" w:hAnsi="Times New Roman"/>
          <w:b w:val="0"/>
          <w:sz w:val="24"/>
          <w:szCs w:val="24"/>
        </w:rPr>
        <w:t xml:space="preserve">metu </w:t>
      </w:r>
      <w:r w:rsidR="001D3387" w:rsidRPr="00531CBF">
        <w:rPr>
          <w:rFonts w:ascii="Times New Roman" w:hAnsi="Times New Roman"/>
          <w:b w:val="0"/>
          <w:sz w:val="24"/>
          <w:szCs w:val="24"/>
        </w:rPr>
        <w:t>prašymus</w:t>
      </w:r>
      <w:r w:rsidR="00442EB9" w:rsidRPr="00531CBF">
        <w:rPr>
          <w:rFonts w:ascii="Times New Roman" w:hAnsi="Times New Roman"/>
          <w:b w:val="0"/>
          <w:sz w:val="24"/>
          <w:szCs w:val="24"/>
        </w:rPr>
        <w:t xml:space="preserve"> (ir kartu su prašymu </w:t>
      </w:r>
      <w:r w:rsidR="00A41D20" w:rsidRPr="00531CBF">
        <w:rPr>
          <w:rFonts w:ascii="Times New Roman" w:hAnsi="Times New Roman"/>
          <w:b w:val="0"/>
          <w:sz w:val="24"/>
          <w:szCs w:val="24"/>
        </w:rPr>
        <w:t xml:space="preserve">privalomus </w:t>
      </w:r>
      <w:r w:rsidR="00442EB9" w:rsidRPr="00531CBF">
        <w:rPr>
          <w:rFonts w:ascii="Times New Roman" w:hAnsi="Times New Roman"/>
          <w:b w:val="0"/>
          <w:sz w:val="24"/>
          <w:szCs w:val="24"/>
        </w:rPr>
        <w:t>pateik</w:t>
      </w:r>
      <w:r w:rsidR="00A41D20" w:rsidRPr="00531CBF">
        <w:rPr>
          <w:rFonts w:ascii="Times New Roman" w:hAnsi="Times New Roman"/>
          <w:b w:val="0"/>
          <w:sz w:val="24"/>
          <w:szCs w:val="24"/>
        </w:rPr>
        <w:t>t</w:t>
      </w:r>
      <w:r w:rsidR="00442EB9" w:rsidRPr="00531CBF">
        <w:rPr>
          <w:rFonts w:ascii="Times New Roman" w:hAnsi="Times New Roman"/>
          <w:b w:val="0"/>
          <w:sz w:val="24"/>
          <w:szCs w:val="24"/>
        </w:rPr>
        <w:t xml:space="preserve">i dokumentus) </w:t>
      </w:r>
      <w:r w:rsidRPr="00531CBF">
        <w:rPr>
          <w:rFonts w:ascii="Times New Roman" w:hAnsi="Times New Roman"/>
          <w:b w:val="0"/>
          <w:sz w:val="24"/>
          <w:szCs w:val="24"/>
        </w:rPr>
        <w:t>pateik</w:t>
      </w:r>
      <w:r w:rsidR="00D266F9" w:rsidRPr="00531CBF">
        <w:rPr>
          <w:rFonts w:ascii="Times New Roman" w:hAnsi="Times New Roman"/>
          <w:b w:val="0"/>
          <w:sz w:val="24"/>
          <w:szCs w:val="24"/>
        </w:rPr>
        <w:t>ę</w:t>
      </w:r>
      <w:r w:rsidR="00584824" w:rsidRPr="00531CBF">
        <w:rPr>
          <w:rFonts w:ascii="Times New Roman" w:hAnsi="Times New Roman"/>
          <w:b w:val="0"/>
          <w:sz w:val="24"/>
          <w:szCs w:val="24"/>
        </w:rPr>
        <w:t xml:space="preserve"> ir tinkamumo reikalavimus atiti</w:t>
      </w:r>
      <w:r w:rsidR="00D266F9" w:rsidRPr="00531CBF">
        <w:rPr>
          <w:rFonts w:ascii="Times New Roman" w:hAnsi="Times New Roman"/>
          <w:b w:val="0"/>
          <w:sz w:val="24"/>
          <w:szCs w:val="24"/>
        </w:rPr>
        <w:t>nkantys</w:t>
      </w:r>
      <w:r w:rsidR="00584824" w:rsidRPr="00531CBF">
        <w:rPr>
          <w:rFonts w:ascii="Times New Roman" w:hAnsi="Times New Roman"/>
          <w:b w:val="0"/>
          <w:sz w:val="24"/>
          <w:szCs w:val="24"/>
        </w:rPr>
        <w:t xml:space="preserve"> FT, </w:t>
      </w:r>
      <w:r w:rsidR="00D917A4" w:rsidRPr="00531CBF">
        <w:rPr>
          <w:rFonts w:ascii="Times New Roman" w:hAnsi="Times New Roman"/>
          <w:b w:val="0"/>
          <w:sz w:val="24"/>
          <w:szCs w:val="24"/>
        </w:rPr>
        <w:t xml:space="preserve">įgyja </w:t>
      </w:r>
      <w:r w:rsidRPr="00531CBF">
        <w:rPr>
          <w:rFonts w:ascii="Times New Roman" w:hAnsi="Times New Roman"/>
          <w:b w:val="0"/>
          <w:sz w:val="24"/>
          <w:szCs w:val="24"/>
        </w:rPr>
        <w:t xml:space="preserve">teisę gauti </w:t>
      </w:r>
      <w:bookmarkStart w:id="5" w:name="_Hlk36383395"/>
      <w:r w:rsidR="00E13BD6" w:rsidRPr="00531CBF">
        <w:rPr>
          <w:rFonts w:ascii="Times New Roman" w:hAnsi="Times New Roman"/>
          <w:b w:val="0"/>
          <w:sz w:val="24"/>
          <w:szCs w:val="24"/>
        </w:rPr>
        <w:t xml:space="preserve">dalį </w:t>
      </w:r>
      <w:r w:rsidR="00D917A4" w:rsidRPr="00531CBF">
        <w:rPr>
          <w:rFonts w:ascii="Times New Roman" w:hAnsi="Times New Roman"/>
          <w:b w:val="0"/>
          <w:sz w:val="24"/>
          <w:szCs w:val="24"/>
        </w:rPr>
        <w:t xml:space="preserve">PGF2 priemonės lėšų </w:t>
      </w:r>
      <w:r w:rsidRPr="00531CBF">
        <w:rPr>
          <w:rFonts w:ascii="Times New Roman" w:hAnsi="Times New Roman"/>
          <w:b w:val="0"/>
          <w:sz w:val="24"/>
          <w:szCs w:val="24"/>
        </w:rPr>
        <w:t>minimal</w:t>
      </w:r>
      <w:r w:rsidR="00E13BD6" w:rsidRPr="00531CBF">
        <w:rPr>
          <w:rFonts w:ascii="Times New Roman" w:hAnsi="Times New Roman"/>
          <w:b w:val="0"/>
          <w:sz w:val="24"/>
          <w:szCs w:val="24"/>
        </w:rPr>
        <w:t>ių</w:t>
      </w:r>
      <w:r w:rsidRPr="00531CBF">
        <w:rPr>
          <w:rFonts w:ascii="Times New Roman" w:hAnsi="Times New Roman"/>
          <w:b w:val="0"/>
          <w:sz w:val="24"/>
          <w:szCs w:val="24"/>
        </w:rPr>
        <w:t xml:space="preserve"> portfel</w:t>
      </w:r>
      <w:r w:rsidR="00442EB9" w:rsidRPr="00531CBF">
        <w:rPr>
          <w:rFonts w:ascii="Times New Roman" w:hAnsi="Times New Roman"/>
          <w:b w:val="0"/>
          <w:sz w:val="24"/>
          <w:szCs w:val="24"/>
        </w:rPr>
        <w:t>i</w:t>
      </w:r>
      <w:r w:rsidR="00E13BD6" w:rsidRPr="00531CBF">
        <w:rPr>
          <w:rFonts w:ascii="Times New Roman" w:hAnsi="Times New Roman"/>
          <w:b w:val="0"/>
          <w:sz w:val="24"/>
          <w:szCs w:val="24"/>
        </w:rPr>
        <w:t>ų</w:t>
      </w:r>
      <w:r w:rsidR="00D917A4" w:rsidRPr="00531CBF">
        <w:rPr>
          <w:rFonts w:ascii="Times New Roman" w:hAnsi="Times New Roman"/>
          <w:b w:val="0"/>
          <w:sz w:val="24"/>
          <w:szCs w:val="24"/>
        </w:rPr>
        <w:t xml:space="preserve"> formavimui</w:t>
      </w:r>
      <w:bookmarkEnd w:id="5"/>
      <w:r w:rsidR="001E1DEC" w:rsidRPr="00531CBF">
        <w:rPr>
          <w:rFonts w:ascii="Times New Roman" w:hAnsi="Times New Roman"/>
          <w:b w:val="0"/>
          <w:sz w:val="24"/>
          <w:szCs w:val="24"/>
        </w:rPr>
        <w:t xml:space="preserve">, </w:t>
      </w:r>
      <w:r w:rsidR="00722BB3" w:rsidRPr="00531CBF">
        <w:rPr>
          <w:rFonts w:ascii="Times New Roman" w:hAnsi="Times New Roman"/>
          <w:b w:val="0"/>
          <w:sz w:val="24"/>
          <w:szCs w:val="24"/>
        </w:rPr>
        <w:t>tačiau neviršijančią</w:t>
      </w:r>
      <w:r w:rsidR="001E1DEC" w:rsidRPr="00531CBF">
        <w:rPr>
          <w:rFonts w:ascii="Times New Roman" w:hAnsi="Times New Roman"/>
          <w:b w:val="0"/>
          <w:sz w:val="24"/>
          <w:szCs w:val="24"/>
        </w:rPr>
        <w:t xml:space="preserve"> 2</w:t>
      </w:r>
      <w:r w:rsidR="001F272D" w:rsidRPr="00531CBF">
        <w:rPr>
          <w:rFonts w:ascii="Times New Roman" w:hAnsi="Times New Roman"/>
          <w:b w:val="0"/>
          <w:sz w:val="24"/>
          <w:szCs w:val="24"/>
        </w:rPr>
        <w:t>5</w:t>
      </w:r>
      <w:r w:rsidR="001E1DEC" w:rsidRPr="00531CBF">
        <w:rPr>
          <w:rFonts w:ascii="Times New Roman" w:hAnsi="Times New Roman"/>
          <w:b w:val="0"/>
          <w:sz w:val="24"/>
          <w:szCs w:val="24"/>
        </w:rPr>
        <w:t xml:space="preserve"> proc. PGF2 priemonei įgyvendinti skirt</w:t>
      </w:r>
      <w:r w:rsidR="001F272D" w:rsidRPr="00531CBF">
        <w:rPr>
          <w:rFonts w:ascii="Times New Roman" w:hAnsi="Times New Roman"/>
          <w:b w:val="0"/>
          <w:sz w:val="24"/>
          <w:szCs w:val="24"/>
        </w:rPr>
        <w:t>os</w:t>
      </w:r>
      <w:r w:rsidR="001E1DEC" w:rsidRPr="00531CBF">
        <w:rPr>
          <w:rFonts w:ascii="Times New Roman" w:hAnsi="Times New Roman"/>
          <w:b w:val="0"/>
          <w:sz w:val="24"/>
          <w:szCs w:val="24"/>
        </w:rPr>
        <w:t xml:space="preserve"> lėšų sum</w:t>
      </w:r>
      <w:r w:rsidR="001F272D" w:rsidRPr="00531CBF">
        <w:rPr>
          <w:rFonts w:ascii="Times New Roman" w:hAnsi="Times New Roman"/>
          <w:b w:val="0"/>
          <w:sz w:val="24"/>
          <w:szCs w:val="24"/>
        </w:rPr>
        <w:t>os</w:t>
      </w:r>
      <w:r w:rsidRPr="00531CBF">
        <w:rPr>
          <w:rFonts w:ascii="Times New Roman" w:hAnsi="Times New Roman"/>
          <w:b w:val="0"/>
          <w:sz w:val="24"/>
          <w:szCs w:val="24"/>
        </w:rPr>
        <w:t xml:space="preserve">. </w:t>
      </w:r>
    </w:p>
    <w:p w14:paraId="1C52243B" w14:textId="62914D26" w:rsidR="00EB7004" w:rsidRPr="00531CBF" w:rsidRDefault="00D917A4" w:rsidP="00035106">
      <w:pPr>
        <w:pStyle w:val="Heading1"/>
        <w:numPr>
          <w:ilvl w:val="1"/>
          <w:numId w:val="11"/>
        </w:numPr>
        <w:tabs>
          <w:tab w:val="left" w:pos="851"/>
        </w:tabs>
        <w:spacing w:before="0" w:after="0"/>
        <w:ind w:left="0" w:firstLine="426"/>
        <w:jc w:val="both"/>
        <w:rPr>
          <w:rFonts w:ascii="Times New Roman" w:hAnsi="Times New Roman"/>
          <w:b w:val="0"/>
          <w:sz w:val="24"/>
          <w:szCs w:val="24"/>
        </w:rPr>
      </w:pPr>
      <w:r w:rsidRPr="00531CBF">
        <w:rPr>
          <w:rFonts w:ascii="Times New Roman" w:hAnsi="Times New Roman"/>
          <w:b w:val="0"/>
          <w:sz w:val="24"/>
          <w:szCs w:val="24"/>
        </w:rPr>
        <w:t>Įvertinus PGF2 priemonės lėšas, skirtas minimalių portfeli</w:t>
      </w:r>
      <w:r w:rsidR="00E5612C" w:rsidRPr="00531CBF">
        <w:rPr>
          <w:rFonts w:ascii="Times New Roman" w:hAnsi="Times New Roman"/>
          <w:b w:val="0"/>
          <w:sz w:val="24"/>
          <w:szCs w:val="24"/>
        </w:rPr>
        <w:t>ų</w:t>
      </w:r>
      <w:r w:rsidRPr="00531CBF">
        <w:rPr>
          <w:rFonts w:ascii="Times New Roman" w:hAnsi="Times New Roman"/>
          <w:b w:val="0"/>
          <w:sz w:val="24"/>
          <w:szCs w:val="24"/>
        </w:rPr>
        <w:t xml:space="preserve"> formavimui,</w:t>
      </w:r>
      <w:r w:rsidR="001E1DEC" w:rsidRPr="00531CBF">
        <w:rPr>
          <w:rFonts w:ascii="Times New Roman" w:hAnsi="Times New Roman"/>
          <w:b w:val="0"/>
          <w:sz w:val="24"/>
          <w:szCs w:val="24"/>
        </w:rPr>
        <w:t xml:space="preserve"> </w:t>
      </w:r>
      <w:r w:rsidR="00FA3706" w:rsidRPr="00531CBF">
        <w:rPr>
          <w:rFonts w:ascii="Times New Roman" w:hAnsi="Times New Roman"/>
          <w:b w:val="0"/>
          <w:sz w:val="24"/>
          <w:szCs w:val="24"/>
        </w:rPr>
        <w:t>likusi</w:t>
      </w:r>
      <w:r w:rsidR="001E1DEC" w:rsidRPr="00531CBF">
        <w:rPr>
          <w:rFonts w:ascii="Times New Roman" w:hAnsi="Times New Roman"/>
          <w:b w:val="0"/>
          <w:sz w:val="24"/>
          <w:szCs w:val="24"/>
        </w:rPr>
        <w:t xml:space="preserve"> PGF2</w:t>
      </w:r>
      <w:r w:rsidRPr="00531CBF">
        <w:rPr>
          <w:rFonts w:ascii="Times New Roman" w:hAnsi="Times New Roman"/>
          <w:b w:val="0"/>
          <w:sz w:val="24"/>
          <w:szCs w:val="24"/>
        </w:rPr>
        <w:t xml:space="preserve"> </w:t>
      </w:r>
      <w:r w:rsidR="00FA3706" w:rsidRPr="00531CBF">
        <w:rPr>
          <w:rFonts w:ascii="Times New Roman" w:hAnsi="Times New Roman"/>
          <w:b w:val="0"/>
          <w:sz w:val="24"/>
          <w:szCs w:val="24"/>
        </w:rPr>
        <w:t xml:space="preserve">priemonei skirta </w:t>
      </w:r>
      <w:r w:rsidR="001E1DEC" w:rsidRPr="00531CBF">
        <w:rPr>
          <w:rFonts w:ascii="Times New Roman" w:hAnsi="Times New Roman"/>
          <w:b w:val="0"/>
          <w:sz w:val="24"/>
          <w:szCs w:val="24"/>
        </w:rPr>
        <w:t>lėšų</w:t>
      </w:r>
      <w:r w:rsidR="00FA3706" w:rsidRPr="00531CBF">
        <w:rPr>
          <w:rFonts w:ascii="Times New Roman" w:hAnsi="Times New Roman"/>
          <w:b w:val="0"/>
          <w:sz w:val="24"/>
          <w:szCs w:val="24"/>
        </w:rPr>
        <w:t xml:space="preserve"> suma</w:t>
      </w:r>
      <w:r w:rsidR="001E1DEC" w:rsidRPr="00531CBF">
        <w:rPr>
          <w:rFonts w:ascii="Times New Roman" w:hAnsi="Times New Roman"/>
          <w:b w:val="0"/>
          <w:sz w:val="24"/>
          <w:szCs w:val="24"/>
        </w:rPr>
        <w:t xml:space="preserve"> </w:t>
      </w:r>
      <w:r w:rsidRPr="00531CBF">
        <w:rPr>
          <w:rFonts w:ascii="Times New Roman" w:hAnsi="Times New Roman"/>
          <w:b w:val="0"/>
          <w:sz w:val="24"/>
          <w:szCs w:val="24"/>
        </w:rPr>
        <w:t xml:space="preserve">FT </w:t>
      </w:r>
      <w:r w:rsidR="00FA3706" w:rsidRPr="00531CBF">
        <w:rPr>
          <w:rFonts w:ascii="Times New Roman" w:hAnsi="Times New Roman"/>
          <w:b w:val="0"/>
          <w:sz w:val="24"/>
          <w:szCs w:val="24"/>
        </w:rPr>
        <w:t xml:space="preserve">paskirstoma </w:t>
      </w:r>
      <w:r w:rsidR="001D3387" w:rsidRPr="00531CBF">
        <w:rPr>
          <w:rFonts w:ascii="Times New Roman" w:hAnsi="Times New Roman"/>
          <w:b w:val="0"/>
          <w:sz w:val="24"/>
          <w:szCs w:val="24"/>
        </w:rPr>
        <w:t xml:space="preserve">Aprašo 3 </w:t>
      </w:r>
      <w:r w:rsidR="00905B1D" w:rsidRPr="00531CBF">
        <w:rPr>
          <w:rFonts w:ascii="Times New Roman" w:hAnsi="Times New Roman"/>
          <w:b w:val="0"/>
          <w:sz w:val="24"/>
          <w:szCs w:val="24"/>
        </w:rPr>
        <w:t xml:space="preserve">priede </w:t>
      </w:r>
      <w:r w:rsidR="00442EB9" w:rsidRPr="00531CBF">
        <w:rPr>
          <w:rFonts w:ascii="Times New Roman" w:hAnsi="Times New Roman"/>
          <w:b w:val="0"/>
          <w:sz w:val="24"/>
          <w:szCs w:val="24"/>
        </w:rPr>
        <w:t>nurodyta tvarka</w:t>
      </w:r>
      <w:r w:rsidR="00722BB3" w:rsidRPr="00531CBF">
        <w:rPr>
          <w:rFonts w:ascii="Times New Roman" w:hAnsi="Times New Roman"/>
          <w:b w:val="0"/>
          <w:sz w:val="24"/>
          <w:szCs w:val="24"/>
        </w:rPr>
        <w:t>,</w:t>
      </w:r>
      <w:r w:rsidR="00442EB9" w:rsidRPr="00531CBF">
        <w:rPr>
          <w:rFonts w:ascii="Times New Roman" w:hAnsi="Times New Roman"/>
          <w:b w:val="0"/>
          <w:sz w:val="24"/>
          <w:szCs w:val="24"/>
        </w:rPr>
        <w:t xml:space="preserve"> nustatant </w:t>
      </w:r>
      <w:r w:rsidR="0048335F" w:rsidRPr="00531CBF">
        <w:rPr>
          <w:rFonts w:ascii="Times New Roman" w:hAnsi="Times New Roman"/>
          <w:b w:val="0"/>
          <w:sz w:val="24"/>
          <w:szCs w:val="24"/>
        </w:rPr>
        <w:t>FT</w:t>
      </w:r>
      <w:r w:rsidR="00442F69" w:rsidRPr="00531CBF">
        <w:rPr>
          <w:rFonts w:ascii="Times New Roman" w:hAnsi="Times New Roman"/>
          <w:b w:val="0"/>
          <w:sz w:val="24"/>
          <w:szCs w:val="24"/>
        </w:rPr>
        <w:t xml:space="preserve"> skiriamus</w:t>
      </w:r>
      <w:r w:rsidR="0048335F" w:rsidRPr="00531CBF">
        <w:rPr>
          <w:rFonts w:ascii="Times New Roman" w:hAnsi="Times New Roman"/>
          <w:b w:val="0"/>
          <w:sz w:val="24"/>
          <w:szCs w:val="24"/>
        </w:rPr>
        <w:t xml:space="preserve"> </w:t>
      </w:r>
      <w:r w:rsidR="00905B1D" w:rsidRPr="00531CBF">
        <w:rPr>
          <w:rFonts w:ascii="Times New Roman" w:hAnsi="Times New Roman"/>
          <w:b w:val="0"/>
          <w:sz w:val="24"/>
          <w:szCs w:val="24"/>
        </w:rPr>
        <w:t>maksimal</w:t>
      </w:r>
      <w:r w:rsidR="00442EB9" w:rsidRPr="00531CBF">
        <w:rPr>
          <w:rFonts w:ascii="Times New Roman" w:hAnsi="Times New Roman"/>
          <w:b w:val="0"/>
          <w:sz w:val="24"/>
          <w:szCs w:val="24"/>
        </w:rPr>
        <w:t>ius</w:t>
      </w:r>
      <w:r w:rsidR="00905B1D" w:rsidRPr="00531CBF">
        <w:rPr>
          <w:rFonts w:ascii="Times New Roman" w:hAnsi="Times New Roman"/>
          <w:b w:val="0"/>
          <w:sz w:val="24"/>
          <w:szCs w:val="24"/>
        </w:rPr>
        <w:t xml:space="preserve"> </w:t>
      </w:r>
      <w:r w:rsidR="00442EB9" w:rsidRPr="00531CBF">
        <w:rPr>
          <w:rFonts w:ascii="Times New Roman" w:hAnsi="Times New Roman"/>
          <w:b w:val="0"/>
          <w:sz w:val="24"/>
          <w:szCs w:val="24"/>
        </w:rPr>
        <w:t>portfelius</w:t>
      </w:r>
      <w:r w:rsidR="00722BB3" w:rsidRPr="00531CBF">
        <w:rPr>
          <w:rFonts w:ascii="Times New Roman" w:hAnsi="Times New Roman"/>
          <w:b w:val="0"/>
          <w:sz w:val="24"/>
          <w:szCs w:val="24"/>
        </w:rPr>
        <w:t xml:space="preserve"> ir atitinkamai </w:t>
      </w:r>
      <w:r w:rsidR="00FA3706" w:rsidRPr="00531CBF">
        <w:rPr>
          <w:rFonts w:ascii="Times New Roman" w:hAnsi="Times New Roman"/>
          <w:b w:val="0"/>
          <w:sz w:val="24"/>
          <w:szCs w:val="24"/>
        </w:rPr>
        <w:t xml:space="preserve">skiriamą </w:t>
      </w:r>
      <w:r w:rsidR="00722BB3" w:rsidRPr="00531CBF">
        <w:rPr>
          <w:rFonts w:ascii="Times New Roman" w:hAnsi="Times New Roman"/>
          <w:b w:val="0"/>
          <w:sz w:val="24"/>
          <w:szCs w:val="24"/>
        </w:rPr>
        <w:t>PGF2 priemonės lėšų dal</w:t>
      </w:r>
      <w:r w:rsidR="00FA3706" w:rsidRPr="00531CBF">
        <w:rPr>
          <w:rFonts w:ascii="Times New Roman" w:hAnsi="Times New Roman"/>
          <w:b w:val="0"/>
          <w:sz w:val="24"/>
          <w:szCs w:val="24"/>
        </w:rPr>
        <w:t>į vienam FT</w:t>
      </w:r>
      <w:r w:rsidR="008E2835" w:rsidRPr="00531CBF">
        <w:rPr>
          <w:rFonts w:ascii="Times New Roman" w:hAnsi="Times New Roman"/>
          <w:b w:val="0"/>
          <w:sz w:val="24"/>
          <w:szCs w:val="24"/>
        </w:rPr>
        <w:t xml:space="preserve">, </w:t>
      </w:r>
      <w:r w:rsidR="00FA3706" w:rsidRPr="00531CBF">
        <w:rPr>
          <w:rFonts w:ascii="Times New Roman" w:hAnsi="Times New Roman"/>
          <w:b w:val="0"/>
          <w:sz w:val="24"/>
          <w:szCs w:val="24"/>
        </w:rPr>
        <w:t>įvertinant, kad vienam FT skiriama suma</w:t>
      </w:r>
      <w:r w:rsidR="005810EE" w:rsidRPr="00531CBF">
        <w:rPr>
          <w:rFonts w:ascii="Times New Roman" w:hAnsi="Times New Roman"/>
          <w:b w:val="0"/>
          <w:sz w:val="24"/>
          <w:szCs w:val="24"/>
        </w:rPr>
        <w:t xml:space="preserve"> </w:t>
      </w:r>
      <w:r w:rsidR="008E2835" w:rsidRPr="00531CBF">
        <w:rPr>
          <w:rFonts w:ascii="Times New Roman" w:hAnsi="Times New Roman"/>
          <w:b w:val="0"/>
          <w:sz w:val="24"/>
          <w:szCs w:val="24"/>
        </w:rPr>
        <w:t>negali viršyti 2</w:t>
      </w:r>
      <w:r w:rsidR="001F272D" w:rsidRPr="00531CBF">
        <w:rPr>
          <w:rFonts w:ascii="Times New Roman" w:hAnsi="Times New Roman"/>
          <w:b w:val="0"/>
          <w:sz w:val="24"/>
          <w:szCs w:val="24"/>
        </w:rPr>
        <w:t>5</w:t>
      </w:r>
      <w:r w:rsidR="008E2835" w:rsidRPr="00531CBF">
        <w:rPr>
          <w:rFonts w:ascii="Times New Roman" w:hAnsi="Times New Roman"/>
          <w:b w:val="0"/>
          <w:sz w:val="24"/>
          <w:szCs w:val="24"/>
        </w:rPr>
        <w:t xml:space="preserve"> proc. PGF2 </w:t>
      </w:r>
      <w:r w:rsidR="0048335F" w:rsidRPr="00531CBF">
        <w:rPr>
          <w:rFonts w:ascii="Times New Roman" w:hAnsi="Times New Roman"/>
          <w:b w:val="0"/>
          <w:sz w:val="24"/>
          <w:szCs w:val="24"/>
        </w:rPr>
        <w:t>priemonei įgyvendinti skirt</w:t>
      </w:r>
      <w:r w:rsidR="00442F69" w:rsidRPr="00531CBF">
        <w:rPr>
          <w:rFonts w:ascii="Times New Roman" w:hAnsi="Times New Roman"/>
          <w:b w:val="0"/>
          <w:sz w:val="24"/>
          <w:szCs w:val="24"/>
        </w:rPr>
        <w:t xml:space="preserve">os </w:t>
      </w:r>
      <w:r w:rsidR="0048335F" w:rsidRPr="00531CBF">
        <w:rPr>
          <w:rFonts w:ascii="Times New Roman" w:hAnsi="Times New Roman"/>
          <w:b w:val="0"/>
          <w:sz w:val="24"/>
          <w:szCs w:val="24"/>
        </w:rPr>
        <w:t>lėšų sum</w:t>
      </w:r>
      <w:r w:rsidR="00442F69" w:rsidRPr="00531CBF">
        <w:rPr>
          <w:rFonts w:ascii="Times New Roman" w:hAnsi="Times New Roman"/>
          <w:b w:val="0"/>
          <w:sz w:val="24"/>
          <w:szCs w:val="24"/>
        </w:rPr>
        <w:t>os</w:t>
      </w:r>
      <w:r w:rsidR="00905B1D" w:rsidRPr="00531CBF">
        <w:rPr>
          <w:rFonts w:ascii="Times New Roman" w:hAnsi="Times New Roman"/>
          <w:b w:val="0"/>
          <w:sz w:val="24"/>
          <w:szCs w:val="24"/>
        </w:rPr>
        <w:t>.</w:t>
      </w:r>
    </w:p>
    <w:p w14:paraId="1644B83D" w14:textId="77777777" w:rsidR="003F20CB" w:rsidRPr="00531CBF" w:rsidRDefault="003F20CB" w:rsidP="00035106">
      <w:pPr>
        <w:pStyle w:val="Heading1"/>
        <w:numPr>
          <w:ilvl w:val="1"/>
          <w:numId w:val="11"/>
        </w:numPr>
        <w:tabs>
          <w:tab w:val="left" w:pos="851"/>
        </w:tabs>
        <w:spacing w:before="0" w:after="0"/>
        <w:ind w:left="0" w:firstLine="426"/>
        <w:jc w:val="both"/>
        <w:rPr>
          <w:rFonts w:ascii="Times New Roman" w:hAnsi="Times New Roman"/>
          <w:b w:val="0"/>
          <w:sz w:val="24"/>
          <w:szCs w:val="24"/>
        </w:rPr>
      </w:pPr>
      <w:r w:rsidRPr="00531CBF">
        <w:rPr>
          <w:rFonts w:ascii="Times New Roman" w:hAnsi="Times New Roman"/>
          <w:b w:val="0"/>
          <w:sz w:val="24"/>
          <w:szCs w:val="24"/>
        </w:rPr>
        <w:t xml:space="preserve">Antro kvietimo galiojimo metu kol </w:t>
      </w:r>
      <w:r w:rsidR="003A6B06" w:rsidRPr="00531CBF">
        <w:rPr>
          <w:rFonts w:ascii="Times New Roman" w:hAnsi="Times New Roman"/>
          <w:b w:val="0"/>
          <w:sz w:val="24"/>
          <w:szCs w:val="24"/>
        </w:rPr>
        <w:t xml:space="preserve">PGF2 priemonėje </w:t>
      </w:r>
      <w:r w:rsidR="00E13BD6" w:rsidRPr="00531CBF">
        <w:rPr>
          <w:rFonts w:ascii="Times New Roman" w:hAnsi="Times New Roman"/>
          <w:b w:val="0"/>
          <w:sz w:val="24"/>
          <w:szCs w:val="24"/>
        </w:rPr>
        <w:t>yra</w:t>
      </w:r>
      <w:r w:rsidR="00D846FB" w:rsidRPr="00531CBF">
        <w:rPr>
          <w:rFonts w:ascii="Times New Roman" w:hAnsi="Times New Roman"/>
          <w:b w:val="0"/>
          <w:sz w:val="24"/>
          <w:szCs w:val="24"/>
        </w:rPr>
        <w:t xml:space="preserve"> nepaskirstytų PGF2 priemonės lėšų</w:t>
      </w:r>
      <w:r w:rsidRPr="00531CBF">
        <w:rPr>
          <w:rFonts w:ascii="Times New Roman" w:hAnsi="Times New Roman"/>
          <w:b w:val="0"/>
          <w:sz w:val="24"/>
          <w:szCs w:val="24"/>
        </w:rPr>
        <w:t>:</w:t>
      </w:r>
    </w:p>
    <w:p w14:paraId="655CB69A" w14:textId="77777777" w:rsidR="003F20CB" w:rsidRPr="003F20CB" w:rsidRDefault="003F20CB" w:rsidP="003A0F59">
      <w:pPr>
        <w:pStyle w:val="Heading1"/>
        <w:numPr>
          <w:ilvl w:val="2"/>
          <w:numId w:val="11"/>
        </w:numPr>
        <w:tabs>
          <w:tab w:val="left" w:pos="851"/>
          <w:tab w:val="left" w:pos="1134"/>
        </w:tabs>
        <w:spacing w:before="0" w:after="0"/>
        <w:ind w:left="0" w:firstLine="567"/>
        <w:jc w:val="both"/>
        <w:rPr>
          <w:rFonts w:ascii="Times New Roman" w:hAnsi="Times New Roman"/>
          <w:b w:val="0"/>
          <w:sz w:val="24"/>
          <w:szCs w:val="24"/>
        </w:rPr>
      </w:pPr>
      <w:r w:rsidRPr="00531CBF">
        <w:rPr>
          <w:rFonts w:ascii="Times New Roman" w:hAnsi="Times New Roman"/>
          <w:b w:val="0"/>
          <w:sz w:val="24"/>
          <w:szCs w:val="24"/>
        </w:rPr>
        <w:t>prašymą teikiančiam</w:t>
      </w:r>
      <w:r w:rsidRPr="00442F69">
        <w:rPr>
          <w:rFonts w:ascii="Times New Roman" w:hAnsi="Times New Roman"/>
          <w:b w:val="0"/>
          <w:sz w:val="24"/>
          <w:szCs w:val="24"/>
        </w:rPr>
        <w:t xml:space="preserve"> FT</w:t>
      </w:r>
      <w:r w:rsidR="004F1931">
        <w:rPr>
          <w:rFonts w:ascii="Times New Roman" w:hAnsi="Times New Roman"/>
          <w:b w:val="0"/>
          <w:sz w:val="24"/>
          <w:szCs w:val="24"/>
        </w:rPr>
        <w:t xml:space="preserve"> (</w:t>
      </w:r>
      <w:r w:rsidR="004F1931" w:rsidRPr="007F0DC3">
        <w:rPr>
          <w:rFonts w:ascii="Times New Roman" w:hAnsi="Times New Roman"/>
          <w:b w:val="0"/>
          <w:sz w:val="24"/>
          <w:szCs w:val="24"/>
        </w:rPr>
        <w:t>kuris n</w:t>
      </w:r>
      <w:r w:rsidR="004F1931">
        <w:rPr>
          <w:rFonts w:ascii="Times New Roman" w:hAnsi="Times New Roman"/>
          <w:b w:val="0"/>
          <w:sz w:val="24"/>
          <w:szCs w:val="24"/>
        </w:rPr>
        <w:t>ėra sudaręs</w:t>
      </w:r>
      <w:r w:rsidR="004F1931" w:rsidRPr="007F0DC3">
        <w:rPr>
          <w:rFonts w:ascii="Times New Roman" w:hAnsi="Times New Roman"/>
          <w:b w:val="0"/>
          <w:sz w:val="24"/>
          <w:szCs w:val="24"/>
        </w:rPr>
        <w:t xml:space="preserve"> Sutarties</w:t>
      </w:r>
      <w:r w:rsidR="004F1931">
        <w:rPr>
          <w:rFonts w:ascii="Times New Roman" w:hAnsi="Times New Roman"/>
          <w:b w:val="0"/>
          <w:sz w:val="24"/>
          <w:szCs w:val="24"/>
        </w:rPr>
        <w:t>) ir atitinka tinkamumo reikalavimus,</w:t>
      </w:r>
      <w:r w:rsidRPr="00442F69">
        <w:rPr>
          <w:rFonts w:ascii="Times New Roman" w:hAnsi="Times New Roman"/>
          <w:b w:val="0"/>
          <w:sz w:val="24"/>
          <w:szCs w:val="24"/>
        </w:rPr>
        <w:t xml:space="preserve"> </w:t>
      </w:r>
      <w:r w:rsidR="004F1931">
        <w:rPr>
          <w:rFonts w:ascii="Times New Roman" w:hAnsi="Times New Roman"/>
          <w:b w:val="0"/>
          <w:sz w:val="24"/>
          <w:szCs w:val="24"/>
        </w:rPr>
        <w:t>skiriama</w:t>
      </w:r>
      <w:r w:rsidRPr="00442F69">
        <w:rPr>
          <w:rFonts w:ascii="Times New Roman" w:hAnsi="Times New Roman"/>
          <w:b w:val="0"/>
          <w:sz w:val="24"/>
          <w:szCs w:val="24"/>
        </w:rPr>
        <w:t xml:space="preserve"> jo </w:t>
      </w:r>
      <w:r w:rsidRPr="003F20CB">
        <w:rPr>
          <w:rFonts w:ascii="Times New Roman" w:hAnsi="Times New Roman"/>
          <w:b w:val="0"/>
          <w:sz w:val="24"/>
          <w:szCs w:val="24"/>
        </w:rPr>
        <w:t>prašyme</w:t>
      </w:r>
      <w:r w:rsidRPr="00442F69">
        <w:rPr>
          <w:rFonts w:ascii="Times New Roman" w:hAnsi="Times New Roman"/>
          <w:b w:val="0"/>
          <w:sz w:val="24"/>
          <w:szCs w:val="24"/>
        </w:rPr>
        <w:t xml:space="preserve"> nurodyta PGF2 </w:t>
      </w:r>
      <w:r w:rsidR="00722BB3">
        <w:rPr>
          <w:rFonts w:ascii="Times New Roman" w:hAnsi="Times New Roman"/>
          <w:b w:val="0"/>
          <w:sz w:val="24"/>
          <w:szCs w:val="24"/>
        </w:rPr>
        <w:t xml:space="preserve">priemonės </w:t>
      </w:r>
      <w:r w:rsidRPr="00442F69">
        <w:rPr>
          <w:rFonts w:ascii="Times New Roman" w:hAnsi="Times New Roman"/>
          <w:b w:val="0"/>
          <w:sz w:val="24"/>
          <w:szCs w:val="24"/>
        </w:rPr>
        <w:t xml:space="preserve">lėšų suma, bet ne </w:t>
      </w:r>
      <w:r w:rsidRPr="003F20CB">
        <w:rPr>
          <w:rFonts w:ascii="Times New Roman" w:hAnsi="Times New Roman"/>
          <w:b w:val="0"/>
          <w:sz w:val="24"/>
          <w:szCs w:val="24"/>
        </w:rPr>
        <w:t>didesnė</w:t>
      </w:r>
      <w:r w:rsidRPr="00442F69">
        <w:rPr>
          <w:rFonts w:ascii="Times New Roman" w:hAnsi="Times New Roman"/>
          <w:b w:val="0"/>
          <w:sz w:val="24"/>
          <w:szCs w:val="24"/>
        </w:rPr>
        <w:t xml:space="preserve"> kaip 25 proc. PGF2 </w:t>
      </w:r>
      <w:r w:rsidRPr="003F20CB">
        <w:rPr>
          <w:rFonts w:ascii="Times New Roman" w:hAnsi="Times New Roman"/>
          <w:b w:val="0"/>
          <w:sz w:val="24"/>
          <w:szCs w:val="24"/>
        </w:rPr>
        <w:t>priemonei</w:t>
      </w:r>
      <w:r w:rsidRPr="00442F69">
        <w:rPr>
          <w:rFonts w:ascii="Times New Roman" w:hAnsi="Times New Roman"/>
          <w:b w:val="0"/>
          <w:sz w:val="24"/>
          <w:szCs w:val="24"/>
        </w:rPr>
        <w:t xml:space="preserve"> skirtos lėšų sumos</w:t>
      </w:r>
      <w:r w:rsidR="004F1931">
        <w:rPr>
          <w:rFonts w:ascii="Times New Roman" w:hAnsi="Times New Roman"/>
          <w:b w:val="0"/>
          <w:sz w:val="24"/>
          <w:szCs w:val="24"/>
        </w:rPr>
        <w:t xml:space="preserve"> ir ne daugiau kaip likusi nepaskirstyta PGF2 priemonės lėšų suma</w:t>
      </w:r>
      <w:r w:rsidR="00442F69">
        <w:rPr>
          <w:rFonts w:ascii="Times New Roman" w:hAnsi="Times New Roman"/>
          <w:b w:val="0"/>
          <w:sz w:val="24"/>
          <w:szCs w:val="24"/>
        </w:rPr>
        <w:t>. P</w:t>
      </w:r>
      <w:r w:rsidR="004F1931">
        <w:rPr>
          <w:rFonts w:ascii="Times New Roman" w:hAnsi="Times New Roman"/>
          <w:b w:val="0"/>
          <w:sz w:val="24"/>
          <w:szCs w:val="24"/>
        </w:rPr>
        <w:t xml:space="preserve">GF2 </w:t>
      </w:r>
      <w:r w:rsidR="00442F69">
        <w:rPr>
          <w:rFonts w:ascii="Times New Roman" w:hAnsi="Times New Roman"/>
          <w:b w:val="0"/>
          <w:sz w:val="24"/>
          <w:szCs w:val="24"/>
        </w:rPr>
        <w:t xml:space="preserve">priemonės </w:t>
      </w:r>
      <w:r w:rsidR="004F1931">
        <w:rPr>
          <w:rFonts w:ascii="Times New Roman" w:hAnsi="Times New Roman"/>
          <w:b w:val="0"/>
          <w:sz w:val="24"/>
          <w:szCs w:val="24"/>
        </w:rPr>
        <w:t>lėšos paskiriamos sudarant Sutartį</w:t>
      </w:r>
      <w:r w:rsidR="00442F69">
        <w:rPr>
          <w:rFonts w:ascii="Times New Roman" w:hAnsi="Times New Roman"/>
          <w:b w:val="0"/>
          <w:sz w:val="24"/>
          <w:szCs w:val="24"/>
        </w:rPr>
        <w:t xml:space="preserve"> su šiuo FT</w:t>
      </w:r>
      <w:r w:rsidR="004F1931">
        <w:rPr>
          <w:rFonts w:ascii="Times New Roman" w:hAnsi="Times New Roman"/>
          <w:b w:val="0"/>
          <w:sz w:val="24"/>
          <w:szCs w:val="24"/>
        </w:rPr>
        <w:t>;</w:t>
      </w:r>
    </w:p>
    <w:p w14:paraId="30D625DC" w14:textId="4959BDA3" w:rsidR="005A2D30" w:rsidRPr="00531CBF" w:rsidRDefault="000D5887" w:rsidP="003A0F59">
      <w:pPr>
        <w:pStyle w:val="Heading1"/>
        <w:numPr>
          <w:ilvl w:val="2"/>
          <w:numId w:val="11"/>
        </w:numPr>
        <w:tabs>
          <w:tab w:val="left" w:pos="851"/>
          <w:tab w:val="left" w:pos="1134"/>
        </w:tabs>
        <w:spacing w:before="0" w:after="0"/>
        <w:ind w:left="0" w:firstLine="567"/>
        <w:jc w:val="both"/>
        <w:rPr>
          <w:rFonts w:ascii="Times New Roman" w:hAnsi="Times New Roman"/>
          <w:b w:val="0"/>
          <w:sz w:val="24"/>
          <w:szCs w:val="24"/>
        </w:rPr>
      </w:pPr>
      <w:r>
        <w:rPr>
          <w:rFonts w:ascii="Times New Roman" w:hAnsi="Times New Roman"/>
          <w:b w:val="0"/>
          <w:sz w:val="24"/>
          <w:szCs w:val="24"/>
        </w:rPr>
        <w:t xml:space="preserve"> </w:t>
      </w:r>
      <w:r w:rsidR="00D846FB" w:rsidRPr="00531CBF">
        <w:rPr>
          <w:rFonts w:ascii="Times New Roman" w:hAnsi="Times New Roman"/>
          <w:b w:val="0"/>
          <w:sz w:val="24"/>
          <w:szCs w:val="24"/>
        </w:rPr>
        <w:t>Sutartį sudar</w:t>
      </w:r>
      <w:r w:rsidR="004F1931" w:rsidRPr="00531CBF">
        <w:rPr>
          <w:rFonts w:ascii="Times New Roman" w:hAnsi="Times New Roman"/>
          <w:b w:val="0"/>
          <w:sz w:val="24"/>
          <w:szCs w:val="24"/>
        </w:rPr>
        <w:t xml:space="preserve">iusiam </w:t>
      </w:r>
      <w:r w:rsidR="00D846FB" w:rsidRPr="00531CBF">
        <w:rPr>
          <w:rFonts w:ascii="Times New Roman" w:hAnsi="Times New Roman"/>
          <w:b w:val="0"/>
          <w:sz w:val="24"/>
          <w:szCs w:val="24"/>
        </w:rPr>
        <w:t>FT</w:t>
      </w:r>
      <w:r w:rsidR="001E7CC0" w:rsidRPr="00531CBF">
        <w:rPr>
          <w:rFonts w:ascii="Times New Roman" w:hAnsi="Times New Roman"/>
          <w:b w:val="0"/>
          <w:sz w:val="24"/>
          <w:szCs w:val="24"/>
        </w:rPr>
        <w:t xml:space="preserve">, </w:t>
      </w:r>
      <w:r w:rsidR="004F1931" w:rsidRPr="00531CBF">
        <w:rPr>
          <w:rFonts w:ascii="Times New Roman" w:hAnsi="Times New Roman"/>
          <w:b w:val="0"/>
          <w:sz w:val="24"/>
          <w:szCs w:val="24"/>
        </w:rPr>
        <w:t>sukont</w:t>
      </w:r>
      <w:r w:rsidR="00442F69" w:rsidRPr="00531CBF">
        <w:rPr>
          <w:rFonts w:ascii="Times New Roman" w:hAnsi="Times New Roman"/>
          <w:b w:val="0"/>
          <w:sz w:val="24"/>
          <w:szCs w:val="24"/>
        </w:rPr>
        <w:t>rakta</w:t>
      </w:r>
      <w:r w:rsidR="004F1931" w:rsidRPr="00531CBF">
        <w:rPr>
          <w:rFonts w:ascii="Times New Roman" w:hAnsi="Times New Roman"/>
          <w:b w:val="0"/>
          <w:sz w:val="24"/>
          <w:szCs w:val="24"/>
        </w:rPr>
        <w:t>vusiam</w:t>
      </w:r>
      <w:r w:rsidR="00CF23CC" w:rsidRPr="00531CBF">
        <w:rPr>
          <w:rFonts w:ascii="Times New Roman" w:hAnsi="Times New Roman"/>
          <w:b w:val="0"/>
          <w:sz w:val="24"/>
          <w:szCs w:val="24"/>
        </w:rPr>
        <w:t xml:space="preserve"> </w:t>
      </w:r>
      <w:r w:rsidR="001E7CC0" w:rsidRPr="00531CBF">
        <w:rPr>
          <w:rFonts w:ascii="Times New Roman" w:hAnsi="Times New Roman"/>
          <w:b w:val="0"/>
          <w:sz w:val="24"/>
          <w:szCs w:val="24"/>
        </w:rPr>
        <w:t xml:space="preserve">daugiau kaip </w:t>
      </w:r>
      <w:r w:rsidR="00E930F2" w:rsidRPr="00531CBF">
        <w:rPr>
          <w:rFonts w:ascii="Times New Roman" w:hAnsi="Times New Roman"/>
          <w:b w:val="0"/>
          <w:sz w:val="24"/>
          <w:szCs w:val="24"/>
        </w:rPr>
        <w:t>7</w:t>
      </w:r>
      <w:r w:rsidR="001E7CC0" w:rsidRPr="00531CBF">
        <w:rPr>
          <w:rFonts w:ascii="Times New Roman" w:hAnsi="Times New Roman"/>
          <w:b w:val="0"/>
          <w:sz w:val="24"/>
          <w:szCs w:val="24"/>
        </w:rPr>
        <w:t>0 proc. Sutart</w:t>
      </w:r>
      <w:r w:rsidR="00CF23CC" w:rsidRPr="00531CBF">
        <w:rPr>
          <w:rFonts w:ascii="Times New Roman" w:hAnsi="Times New Roman"/>
          <w:b w:val="0"/>
          <w:sz w:val="24"/>
          <w:szCs w:val="24"/>
        </w:rPr>
        <w:t>yje numatyto Portfelio</w:t>
      </w:r>
      <w:r w:rsidR="001E7CC0" w:rsidRPr="00531CBF">
        <w:rPr>
          <w:rFonts w:ascii="Times New Roman" w:hAnsi="Times New Roman"/>
          <w:b w:val="0"/>
          <w:sz w:val="24"/>
          <w:szCs w:val="24"/>
        </w:rPr>
        <w:t>,</w:t>
      </w:r>
      <w:r w:rsidR="00CF23CC" w:rsidRPr="00531CBF">
        <w:rPr>
          <w:rFonts w:ascii="Times New Roman" w:hAnsi="Times New Roman"/>
          <w:b w:val="0"/>
          <w:sz w:val="24"/>
          <w:szCs w:val="24"/>
        </w:rPr>
        <w:t xml:space="preserve"> </w:t>
      </w:r>
      <w:r w:rsidR="000460BF" w:rsidRPr="00531CBF">
        <w:rPr>
          <w:rFonts w:ascii="Times New Roman" w:hAnsi="Times New Roman"/>
          <w:b w:val="0"/>
          <w:sz w:val="24"/>
          <w:szCs w:val="24"/>
        </w:rPr>
        <w:t>pa</w:t>
      </w:r>
      <w:r w:rsidR="00D846FB" w:rsidRPr="00531CBF">
        <w:rPr>
          <w:rFonts w:ascii="Times New Roman" w:hAnsi="Times New Roman"/>
          <w:b w:val="0"/>
          <w:sz w:val="24"/>
          <w:szCs w:val="24"/>
        </w:rPr>
        <w:t>teik</w:t>
      </w:r>
      <w:r w:rsidR="004F1931" w:rsidRPr="00531CBF">
        <w:rPr>
          <w:rFonts w:ascii="Times New Roman" w:hAnsi="Times New Roman"/>
          <w:b w:val="0"/>
          <w:sz w:val="24"/>
          <w:szCs w:val="24"/>
        </w:rPr>
        <w:t>us</w:t>
      </w:r>
      <w:r w:rsidR="000447DA" w:rsidRPr="00531CBF">
        <w:rPr>
          <w:rFonts w:ascii="Times New Roman" w:hAnsi="Times New Roman"/>
          <w:b w:val="0"/>
          <w:sz w:val="24"/>
          <w:szCs w:val="24"/>
        </w:rPr>
        <w:t xml:space="preserve"> rašytinį</w:t>
      </w:r>
      <w:r w:rsidR="00D846FB" w:rsidRPr="00531CBF">
        <w:rPr>
          <w:rFonts w:ascii="Times New Roman" w:hAnsi="Times New Roman"/>
          <w:b w:val="0"/>
          <w:sz w:val="24"/>
          <w:szCs w:val="24"/>
        </w:rPr>
        <w:t xml:space="preserve"> prašymą </w:t>
      </w:r>
      <w:r w:rsidR="004F1931" w:rsidRPr="00531CBF">
        <w:rPr>
          <w:rFonts w:ascii="Times New Roman" w:hAnsi="Times New Roman"/>
          <w:b w:val="0"/>
          <w:sz w:val="24"/>
          <w:szCs w:val="24"/>
        </w:rPr>
        <w:t xml:space="preserve">„Invegai“ </w:t>
      </w:r>
      <w:r w:rsidR="000460BF" w:rsidRPr="00531CBF">
        <w:rPr>
          <w:rFonts w:ascii="Times New Roman" w:hAnsi="Times New Roman"/>
          <w:b w:val="0"/>
          <w:sz w:val="24"/>
          <w:szCs w:val="24"/>
        </w:rPr>
        <w:t>skiriama praš</w:t>
      </w:r>
      <w:r w:rsidR="00FC2F56" w:rsidRPr="00531CBF">
        <w:rPr>
          <w:rFonts w:ascii="Times New Roman" w:hAnsi="Times New Roman"/>
          <w:b w:val="0"/>
          <w:sz w:val="24"/>
          <w:szCs w:val="24"/>
        </w:rPr>
        <w:t>yme nurodyta</w:t>
      </w:r>
      <w:r w:rsidR="000460BF" w:rsidRPr="00531CBF">
        <w:rPr>
          <w:rFonts w:ascii="Times New Roman" w:hAnsi="Times New Roman"/>
          <w:b w:val="0"/>
          <w:sz w:val="24"/>
          <w:szCs w:val="24"/>
        </w:rPr>
        <w:t xml:space="preserve"> </w:t>
      </w:r>
      <w:r w:rsidR="001E7CC0" w:rsidRPr="00531CBF">
        <w:rPr>
          <w:rFonts w:ascii="Times New Roman" w:hAnsi="Times New Roman"/>
          <w:b w:val="0"/>
          <w:sz w:val="24"/>
          <w:szCs w:val="24"/>
        </w:rPr>
        <w:t>PGF2 priemonės lėšų suma</w:t>
      </w:r>
      <w:r w:rsidR="00FF7511" w:rsidRPr="00531CBF">
        <w:rPr>
          <w:rFonts w:ascii="Times New Roman" w:hAnsi="Times New Roman"/>
          <w:b w:val="0"/>
          <w:sz w:val="24"/>
          <w:szCs w:val="24"/>
        </w:rPr>
        <w:t xml:space="preserve">, </w:t>
      </w:r>
      <w:r w:rsidR="00FC2F56" w:rsidRPr="00531CBF">
        <w:rPr>
          <w:rFonts w:ascii="Times New Roman" w:hAnsi="Times New Roman"/>
          <w:b w:val="0"/>
          <w:sz w:val="24"/>
          <w:szCs w:val="24"/>
        </w:rPr>
        <w:t>tačiau</w:t>
      </w:r>
      <w:r w:rsidR="00FF7511" w:rsidRPr="00531CBF">
        <w:rPr>
          <w:rFonts w:ascii="Times New Roman" w:hAnsi="Times New Roman"/>
          <w:b w:val="0"/>
          <w:sz w:val="24"/>
          <w:szCs w:val="24"/>
        </w:rPr>
        <w:t xml:space="preserve"> ne daugiau kaip </w:t>
      </w:r>
      <w:r w:rsidR="001E7CC0" w:rsidRPr="00531CBF">
        <w:rPr>
          <w:rFonts w:ascii="Times New Roman" w:hAnsi="Times New Roman"/>
          <w:b w:val="0"/>
          <w:sz w:val="24"/>
          <w:szCs w:val="24"/>
        </w:rPr>
        <w:t xml:space="preserve">50 proc. </w:t>
      </w:r>
      <w:r w:rsidR="00FF7511" w:rsidRPr="00531CBF">
        <w:rPr>
          <w:rFonts w:ascii="Times New Roman" w:hAnsi="Times New Roman"/>
          <w:b w:val="0"/>
          <w:sz w:val="24"/>
          <w:szCs w:val="24"/>
        </w:rPr>
        <w:t>FT</w:t>
      </w:r>
      <w:r w:rsidR="002E5B78" w:rsidRPr="00531CBF">
        <w:rPr>
          <w:rFonts w:ascii="Times New Roman" w:hAnsi="Times New Roman"/>
          <w:b w:val="0"/>
          <w:sz w:val="24"/>
          <w:szCs w:val="24"/>
        </w:rPr>
        <w:t xml:space="preserve"> </w:t>
      </w:r>
      <w:r w:rsidR="00110559" w:rsidRPr="00531CBF">
        <w:rPr>
          <w:rFonts w:ascii="Times New Roman" w:hAnsi="Times New Roman"/>
          <w:b w:val="0"/>
          <w:sz w:val="24"/>
          <w:szCs w:val="24"/>
        </w:rPr>
        <w:t xml:space="preserve">pagal Sutartį jau </w:t>
      </w:r>
      <w:r w:rsidR="00FF7511" w:rsidRPr="00531CBF">
        <w:rPr>
          <w:rFonts w:ascii="Times New Roman" w:hAnsi="Times New Roman"/>
          <w:b w:val="0"/>
          <w:sz w:val="24"/>
          <w:szCs w:val="24"/>
        </w:rPr>
        <w:t xml:space="preserve">skirtos </w:t>
      </w:r>
      <w:r w:rsidR="00110559" w:rsidRPr="00531CBF">
        <w:rPr>
          <w:rFonts w:ascii="Times New Roman" w:hAnsi="Times New Roman"/>
          <w:b w:val="0"/>
          <w:sz w:val="24"/>
          <w:szCs w:val="24"/>
        </w:rPr>
        <w:t xml:space="preserve">PGF2 priemonės lėšų </w:t>
      </w:r>
      <w:r w:rsidR="001E7CC0" w:rsidRPr="00531CBF">
        <w:rPr>
          <w:rFonts w:ascii="Times New Roman" w:hAnsi="Times New Roman"/>
          <w:b w:val="0"/>
          <w:sz w:val="24"/>
          <w:szCs w:val="24"/>
        </w:rPr>
        <w:t>sumos</w:t>
      </w:r>
      <w:r w:rsidR="007A2A64" w:rsidRPr="00531CBF">
        <w:rPr>
          <w:rFonts w:ascii="Times New Roman" w:hAnsi="Times New Roman"/>
          <w:b w:val="0"/>
          <w:sz w:val="24"/>
          <w:szCs w:val="24"/>
        </w:rPr>
        <w:t xml:space="preserve"> </w:t>
      </w:r>
      <w:bookmarkStart w:id="6" w:name="_Hlk36569853"/>
      <w:r w:rsidR="007A2A64" w:rsidRPr="00531CBF">
        <w:rPr>
          <w:rFonts w:ascii="Times New Roman" w:hAnsi="Times New Roman"/>
          <w:b w:val="0"/>
          <w:sz w:val="24"/>
          <w:szCs w:val="24"/>
        </w:rPr>
        <w:t>ir ne daugiau kaip likusi nepaskirstyta PGF2 priemonės lėšų suma</w:t>
      </w:r>
      <w:r w:rsidR="00110559" w:rsidRPr="00531CBF">
        <w:rPr>
          <w:rFonts w:ascii="Times New Roman" w:hAnsi="Times New Roman"/>
          <w:b w:val="0"/>
          <w:sz w:val="24"/>
          <w:szCs w:val="24"/>
        </w:rPr>
        <w:t>.</w:t>
      </w:r>
      <w:bookmarkEnd w:id="6"/>
      <w:r w:rsidR="00110559" w:rsidRPr="00531CBF">
        <w:rPr>
          <w:rFonts w:ascii="Times New Roman" w:hAnsi="Times New Roman"/>
          <w:b w:val="0"/>
          <w:sz w:val="24"/>
          <w:szCs w:val="24"/>
        </w:rPr>
        <w:t xml:space="preserve"> P</w:t>
      </w:r>
      <w:r w:rsidR="001E7CC0" w:rsidRPr="00531CBF">
        <w:rPr>
          <w:rFonts w:ascii="Times New Roman" w:hAnsi="Times New Roman"/>
          <w:b w:val="0"/>
          <w:sz w:val="24"/>
          <w:szCs w:val="24"/>
        </w:rPr>
        <w:t xml:space="preserve">apildomos </w:t>
      </w:r>
      <w:r w:rsidR="005A2D30" w:rsidRPr="00531CBF">
        <w:rPr>
          <w:rFonts w:ascii="Times New Roman" w:hAnsi="Times New Roman"/>
          <w:b w:val="0"/>
          <w:sz w:val="24"/>
          <w:szCs w:val="24"/>
        </w:rPr>
        <w:t>PGF2 </w:t>
      </w:r>
      <w:r w:rsidR="001E7CC0" w:rsidRPr="00531CBF">
        <w:rPr>
          <w:rFonts w:ascii="Times New Roman" w:hAnsi="Times New Roman"/>
          <w:b w:val="0"/>
          <w:sz w:val="24"/>
          <w:szCs w:val="24"/>
        </w:rPr>
        <w:t>priemonės lėšų sumos skyrimas įforminamas jau sudarytos Sutarties</w:t>
      </w:r>
      <w:r w:rsidR="00FC2F56" w:rsidRPr="00531CBF">
        <w:rPr>
          <w:rFonts w:ascii="Times New Roman" w:hAnsi="Times New Roman"/>
          <w:b w:val="0"/>
          <w:sz w:val="24"/>
          <w:szCs w:val="24"/>
        </w:rPr>
        <w:t xml:space="preserve"> su</w:t>
      </w:r>
      <w:r w:rsidR="001E7CC0" w:rsidRPr="00531CBF">
        <w:rPr>
          <w:rFonts w:ascii="Times New Roman" w:hAnsi="Times New Roman"/>
          <w:b w:val="0"/>
          <w:sz w:val="24"/>
          <w:szCs w:val="24"/>
        </w:rPr>
        <w:t xml:space="preserve"> </w:t>
      </w:r>
      <w:r w:rsidR="00FC2F56" w:rsidRPr="00531CBF">
        <w:rPr>
          <w:rFonts w:ascii="Times New Roman" w:hAnsi="Times New Roman"/>
          <w:b w:val="0"/>
          <w:sz w:val="24"/>
          <w:szCs w:val="24"/>
        </w:rPr>
        <w:t xml:space="preserve">FT </w:t>
      </w:r>
      <w:r w:rsidR="001E7CC0" w:rsidRPr="00531CBF">
        <w:rPr>
          <w:rFonts w:ascii="Times New Roman" w:hAnsi="Times New Roman"/>
          <w:b w:val="0"/>
          <w:sz w:val="24"/>
          <w:szCs w:val="24"/>
        </w:rPr>
        <w:t>pakeitimu</w:t>
      </w:r>
      <w:r w:rsidR="00FC2F56" w:rsidRPr="00531CBF">
        <w:rPr>
          <w:rFonts w:ascii="Times New Roman" w:hAnsi="Times New Roman"/>
          <w:b w:val="0"/>
          <w:sz w:val="24"/>
          <w:szCs w:val="24"/>
        </w:rPr>
        <w:t xml:space="preserve">, </w:t>
      </w:r>
      <w:r w:rsidR="001E7CC0" w:rsidRPr="00531CBF">
        <w:rPr>
          <w:rFonts w:ascii="Times New Roman" w:hAnsi="Times New Roman"/>
          <w:b w:val="0"/>
          <w:sz w:val="24"/>
          <w:szCs w:val="24"/>
        </w:rPr>
        <w:t xml:space="preserve">atnaujinant </w:t>
      </w:r>
      <w:r w:rsidR="00CF23CC" w:rsidRPr="00531CBF">
        <w:rPr>
          <w:rFonts w:ascii="Times New Roman" w:hAnsi="Times New Roman"/>
          <w:b w:val="0"/>
          <w:sz w:val="24"/>
          <w:szCs w:val="24"/>
        </w:rPr>
        <w:t>Faktoringo sandorių įtraukimo į Portfelį</w:t>
      </w:r>
      <w:r w:rsidR="001E7CC0" w:rsidRPr="00531CBF">
        <w:rPr>
          <w:rFonts w:ascii="Times New Roman" w:hAnsi="Times New Roman"/>
          <w:b w:val="0"/>
          <w:sz w:val="24"/>
          <w:szCs w:val="24"/>
        </w:rPr>
        <w:t xml:space="preserve"> grafiką.</w:t>
      </w:r>
    </w:p>
    <w:p w14:paraId="227742B0" w14:textId="77777777" w:rsidR="005A2D30" w:rsidRPr="005A2D30" w:rsidRDefault="005A2D30" w:rsidP="003A0F59">
      <w:pPr>
        <w:spacing w:after="0"/>
      </w:pPr>
    </w:p>
    <w:p w14:paraId="544624A4" w14:textId="77777777" w:rsidR="00FA2FDC" w:rsidRDefault="00227921" w:rsidP="005A2D30">
      <w:pPr>
        <w:pStyle w:val="ListParagraph"/>
        <w:keepNext/>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Pr>
          <w:rFonts w:ascii="Times New Roman" w:hAnsi="Times New Roman"/>
          <w:b/>
          <w:sz w:val="24"/>
          <w:szCs w:val="24"/>
        </w:rPr>
        <w:t>SU</w:t>
      </w:r>
      <w:r w:rsidR="0080154E">
        <w:rPr>
          <w:rFonts w:ascii="Times New Roman" w:hAnsi="Times New Roman"/>
          <w:b/>
          <w:sz w:val="24"/>
          <w:szCs w:val="24"/>
        </w:rPr>
        <w:t>DAROMOS SUTARTIES NUOSTATOS</w:t>
      </w:r>
    </w:p>
    <w:p w14:paraId="21F88517" w14:textId="77777777" w:rsidR="00AF5122" w:rsidRPr="003A0F59" w:rsidRDefault="00AF5122" w:rsidP="006E6CF4">
      <w:pPr>
        <w:pStyle w:val="ListParagraph"/>
        <w:keepNext/>
        <w:tabs>
          <w:tab w:val="left" w:pos="284"/>
        </w:tabs>
        <w:autoSpaceDE w:val="0"/>
        <w:autoSpaceDN w:val="0"/>
        <w:adjustRightInd w:val="0"/>
        <w:spacing w:after="0" w:line="240" w:lineRule="auto"/>
        <w:ind w:left="0"/>
        <w:rPr>
          <w:rFonts w:ascii="Times New Roman" w:hAnsi="Times New Roman"/>
          <w:bCs/>
        </w:rPr>
      </w:pPr>
    </w:p>
    <w:p w14:paraId="56169134" w14:textId="57A61C14" w:rsidR="00FA2FDC" w:rsidRPr="00392BB1" w:rsidRDefault="00FA2FDC" w:rsidP="00035106">
      <w:pPr>
        <w:pStyle w:val="Heading1"/>
        <w:numPr>
          <w:ilvl w:val="1"/>
          <w:numId w:val="5"/>
        </w:numPr>
        <w:tabs>
          <w:tab w:val="left" w:pos="851"/>
        </w:tabs>
        <w:spacing w:before="0" w:after="0" w:line="240" w:lineRule="auto"/>
        <w:ind w:left="0" w:firstLine="425"/>
        <w:jc w:val="both"/>
        <w:rPr>
          <w:rFonts w:ascii="Times New Roman" w:hAnsi="Times New Roman"/>
          <w:b w:val="0"/>
          <w:sz w:val="24"/>
          <w:szCs w:val="24"/>
        </w:rPr>
      </w:pPr>
      <w:r w:rsidRPr="000C696D">
        <w:rPr>
          <w:rFonts w:ascii="Times New Roman" w:eastAsia="Calibri" w:hAnsi="Times New Roman"/>
          <w:b w:val="0"/>
          <w:bCs w:val="0"/>
          <w:kern w:val="0"/>
          <w:sz w:val="24"/>
          <w:szCs w:val="24"/>
        </w:rPr>
        <w:t>Sudarom</w:t>
      </w:r>
      <w:r w:rsidR="006E6CF4">
        <w:rPr>
          <w:rFonts w:ascii="Times New Roman" w:eastAsia="Calibri" w:hAnsi="Times New Roman"/>
          <w:b w:val="0"/>
          <w:bCs w:val="0"/>
          <w:kern w:val="0"/>
          <w:sz w:val="24"/>
          <w:szCs w:val="24"/>
        </w:rPr>
        <w:t>a</w:t>
      </w:r>
      <w:r w:rsidRPr="000C696D">
        <w:rPr>
          <w:rFonts w:ascii="Times New Roman" w:eastAsia="Calibri" w:hAnsi="Times New Roman"/>
          <w:b w:val="0"/>
          <w:bCs w:val="0"/>
          <w:kern w:val="0"/>
          <w:sz w:val="24"/>
          <w:szCs w:val="24"/>
        </w:rPr>
        <w:t xml:space="preserve"> </w:t>
      </w:r>
      <w:r w:rsidR="00E87AAE" w:rsidRPr="000C696D">
        <w:rPr>
          <w:rFonts w:ascii="Times New Roman" w:eastAsia="Calibri" w:hAnsi="Times New Roman"/>
          <w:b w:val="0"/>
          <w:bCs w:val="0"/>
          <w:kern w:val="0"/>
          <w:sz w:val="24"/>
          <w:szCs w:val="24"/>
        </w:rPr>
        <w:t>S</w:t>
      </w:r>
      <w:r w:rsidRPr="000C696D">
        <w:rPr>
          <w:rFonts w:ascii="Times New Roman" w:eastAsia="Calibri" w:hAnsi="Times New Roman"/>
          <w:b w:val="0"/>
          <w:bCs w:val="0"/>
          <w:kern w:val="0"/>
          <w:sz w:val="24"/>
          <w:szCs w:val="24"/>
        </w:rPr>
        <w:t xml:space="preserve">utartis </w:t>
      </w:r>
      <w:r w:rsidR="006E6CF4">
        <w:rPr>
          <w:rFonts w:ascii="Times New Roman" w:eastAsia="Calibri" w:hAnsi="Times New Roman"/>
          <w:b w:val="0"/>
          <w:bCs w:val="0"/>
          <w:kern w:val="0"/>
          <w:sz w:val="24"/>
          <w:szCs w:val="24"/>
        </w:rPr>
        <w:t>galioja</w:t>
      </w:r>
      <w:r w:rsidR="00CD0177">
        <w:rPr>
          <w:rFonts w:ascii="Times New Roman" w:eastAsia="Calibri" w:hAnsi="Times New Roman"/>
          <w:b w:val="0"/>
          <w:bCs w:val="0"/>
          <w:kern w:val="0"/>
          <w:sz w:val="24"/>
          <w:szCs w:val="24"/>
        </w:rPr>
        <w:t xml:space="preserve"> 7 </w:t>
      </w:r>
      <w:r w:rsidR="003A0F59">
        <w:rPr>
          <w:rFonts w:ascii="Times New Roman" w:eastAsia="Calibri" w:hAnsi="Times New Roman"/>
          <w:b w:val="0"/>
          <w:bCs w:val="0"/>
          <w:kern w:val="0"/>
          <w:sz w:val="24"/>
          <w:szCs w:val="24"/>
        </w:rPr>
        <w:t xml:space="preserve">(septynis) </w:t>
      </w:r>
      <w:r w:rsidR="00CD0177">
        <w:rPr>
          <w:rFonts w:ascii="Times New Roman" w:eastAsia="Calibri" w:hAnsi="Times New Roman"/>
          <w:b w:val="0"/>
          <w:bCs w:val="0"/>
          <w:kern w:val="0"/>
          <w:sz w:val="24"/>
          <w:szCs w:val="24"/>
        </w:rPr>
        <w:t>metus arba</w:t>
      </w:r>
      <w:r w:rsidRPr="000C696D">
        <w:rPr>
          <w:rFonts w:ascii="Times New Roman" w:eastAsia="Calibri" w:hAnsi="Times New Roman"/>
          <w:b w:val="0"/>
          <w:bCs w:val="0"/>
          <w:kern w:val="0"/>
          <w:sz w:val="24"/>
          <w:szCs w:val="24"/>
        </w:rPr>
        <w:t xml:space="preserve"> iki šalių įsipareigojimų pagal </w:t>
      </w:r>
      <w:r w:rsidR="00E87AAE" w:rsidRPr="000C696D">
        <w:rPr>
          <w:rFonts w:ascii="Times New Roman" w:eastAsia="Calibri" w:hAnsi="Times New Roman"/>
          <w:b w:val="0"/>
          <w:bCs w:val="0"/>
          <w:kern w:val="0"/>
          <w:sz w:val="24"/>
          <w:szCs w:val="24"/>
        </w:rPr>
        <w:t>S</w:t>
      </w:r>
      <w:r w:rsidRPr="000C696D">
        <w:rPr>
          <w:rFonts w:ascii="Times New Roman" w:eastAsia="Calibri" w:hAnsi="Times New Roman"/>
          <w:b w:val="0"/>
          <w:bCs w:val="0"/>
          <w:kern w:val="0"/>
          <w:sz w:val="24"/>
          <w:szCs w:val="24"/>
        </w:rPr>
        <w:t xml:space="preserve">utartį </w:t>
      </w:r>
      <w:r w:rsidR="006E6CF4">
        <w:rPr>
          <w:rFonts w:ascii="Times New Roman" w:eastAsia="Calibri" w:hAnsi="Times New Roman"/>
          <w:b w:val="0"/>
          <w:bCs w:val="0"/>
          <w:kern w:val="0"/>
          <w:sz w:val="24"/>
          <w:szCs w:val="24"/>
        </w:rPr>
        <w:t xml:space="preserve">įvykdymo </w:t>
      </w:r>
      <w:r w:rsidRPr="000C696D">
        <w:rPr>
          <w:rFonts w:ascii="Times New Roman" w:eastAsia="Calibri" w:hAnsi="Times New Roman"/>
          <w:b w:val="0"/>
          <w:bCs w:val="0"/>
          <w:kern w:val="0"/>
          <w:sz w:val="24"/>
          <w:szCs w:val="24"/>
        </w:rPr>
        <w:t xml:space="preserve">pabaigos, su galimybe, esant poreikiui, pratęsti </w:t>
      </w:r>
      <w:r w:rsidR="006E6CF4" w:rsidRPr="000C696D">
        <w:rPr>
          <w:rFonts w:ascii="Times New Roman" w:eastAsia="Calibri" w:hAnsi="Times New Roman"/>
          <w:b w:val="0"/>
          <w:bCs w:val="0"/>
          <w:kern w:val="0"/>
          <w:sz w:val="24"/>
          <w:szCs w:val="24"/>
        </w:rPr>
        <w:t>Sutart</w:t>
      </w:r>
      <w:r w:rsidR="006E6CF4">
        <w:rPr>
          <w:rFonts w:ascii="Times New Roman" w:eastAsia="Calibri" w:hAnsi="Times New Roman"/>
          <w:b w:val="0"/>
          <w:bCs w:val="0"/>
          <w:kern w:val="0"/>
          <w:sz w:val="24"/>
          <w:szCs w:val="24"/>
        </w:rPr>
        <w:t>į</w:t>
      </w:r>
      <w:r w:rsidRPr="000C696D">
        <w:rPr>
          <w:rFonts w:ascii="Times New Roman" w:eastAsia="Calibri" w:hAnsi="Times New Roman"/>
          <w:b w:val="0"/>
          <w:bCs w:val="0"/>
          <w:kern w:val="0"/>
          <w:sz w:val="24"/>
          <w:szCs w:val="24"/>
        </w:rPr>
        <w:t xml:space="preserve"> ar Sutarto Portfelio dydį šalių susitarimu</w:t>
      </w:r>
      <w:r w:rsidRPr="00392BB1">
        <w:rPr>
          <w:rFonts w:ascii="Times New Roman" w:hAnsi="Times New Roman"/>
          <w:b w:val="0"/>
          <w:sz w:val="24"/>
          <w:szCs w:val="24"/>
        </w:rPr>
        <w:t>.</w:t>
      </w:r>
    </w:p>
    <w:p w14:paraId="3ACD6D87" w14:textId="75F04342" w:rsidR="001E35B1" w:rsidRPr="000C696D" w:rsidRDefault="006F473C" w:rsidP="00035106">
      <w:pPr>
        <w:pStyle w:val="ListParagraph"/>
        <w:numPr>
          <w:ilvl w:val="1"/>
          <w:numId w:val="5"/>
        </w:numPr>
        <w:tabs>
          <w:tab w:val="left" w:pos="851"/>
        </w:tabs>
        <w:spacing w:after="0" w:line="240" w:lineRule="auto"/>
        <w:ind w:left="0" w:firstLine="425"/>
        <w:jc w:val="both"/>
        <w:rPr>
          <w:rFonts w:ascii="Times New Roman" w:hAnsi="Times New Roman"/>
          <w:sz w:val="24"/>
          <w:szCs w:val="24"/>
        </w:rPr>
      </w:pPr>
      <w:r w:rsidRPr="000C696D">
        <w:rPr>
          <w:rFonts w:ascii="Times New Roman" w:hAnsi="Times New Roman"/>
          <w:sz w:val="24"/>
          <w:szCs w:val="24"/>
        </w:rPr>
        <w:t xml:space="preserve">Sudaromoje </w:t>
      </w:r>
      <w:r w:rsidR="00E87AAE" w:rsidRPr="000C696D">
        <w:rPr>
          <w:rFonts w:ascii="Times New Roman" w:hAnsi="Times New Roman"/>
          <w:sz w:val="24"/>
          <w:szCs w:val="24"/>
        </w:rPr>
        <w:t>S</w:t>
      </w:r>
      <w:r w:rsidR="001E35B1" w:rsidRPr="000C696D">
        <w:rPr>
          <w:rFonts w:ascii="Times New Roman" w:hAnsi="Times New Roman"/>
          <w:sz w:val="24"/>
          <w:szCs w:val="24"/>
        </w:rPr>
        <w:t xml:space="preserve">utartyje </w:t>
      </w:r>
      <w:r w:rsidR="001E35B1" w:rsidRPr="000C696D">
        <w:rPr>
          <w:rFonts w:ascii="Times New Roman" w:hAnsi="Times New Roman"/>
          <w:i/>
          <w:sz w:val="24"/>
          <w:szCs w:val="24"/>
        </w:rPr>
        <w:t xml:space="preserve">inter alia </w:t>
      </w:r>
      <w:r w:rsidR="001E35B1" w:rsidRPr="000C696D">
        <w:rPr>
          <w:rFonts w:ascii="Times New Roman" w:hAnsi="Times New Roman"/>
          <w:sz w:val="24"/>
          <w:szCs w:val="24"/>
        </w:rPr>
        <w:t xml:space="preserve">bus įtrauktos šios nuostatos (sąvokos suprantamos taip, kaip apibrėžta </w:t>
      </w:r>
      <w:r w:rsidR="00432066" w:rsidRPr="000C696D">
        <w:rPr>
          <w:rFonts w:ascii="Times New Roman" w:hAnsi="Times New Roman"/>
          <w:sz w:val="24"/>
          <w:szCs w:val="24"/>
        </w:rPr>
        <w:t>Aprašo 1</w:t>
      </w:r>
      <w:r w:rsidR="001E35B1" w:rsidRPr="000C696D">
        <w:rPr>
          <w:rFonts w:ascii="Times New Roman" w:hAnsi="Times New Roman"/>
          <w:sz w:val="24"/>
          <w:szCs w:val="24"/>
        </w:rPr>
        <w:t> priede (</w:t>
      </w:r>
      <w:r w:rsidR="0006097C">
        <w:rPr>
          <w:rFonts w:ascii="Times New Roman" w:hAnsi="Times New Roman"/>
          <w:sz w:val="24"/>
          <w:szCs w:val="24"/>
        </w:rPr>
        <w:t>Pagrindinės sąlygos</w:t>
      </w:r>
      <w:r w:rsidR="001E35B1" w:rsidRPr="000C696D">
        <w:rPr>
          <w:rFonts w:ascii="Times New Roman" w:hAnsi="Times New Roman"/>
          <w:sz w:val="24"/>
          <w:szCs w:val="24"/>
        </w:rPr>
        <w:t>):</w:t>
      </w:r>
    </w:p>
    <w:p w14:paraId="75EFB49F" w14:textId="77777777" w:rsidR="001E35B1" w:rsidRPr="000C696D" w:rsidRDefault="001E35B1" w:rsidP="00035106">
      <w:pPr>
        <w:pStyle w:val="ListParagraph"/>
        <w:numPr>
          <w:ilvl w:val="2"/>
          <w:numId w:val="5"/>
        </w:numPr>
        <w:tabs>
          <w:tab w:val="left" w:pos="567"/>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 xml:space="preserve"> </w:t>
      </w:r>
      <w:r w:rsidR="003D2517">
        <w:rPr>
          <w:rFonts w:ascii="Times New Roman" w:hAnsi="Times New Roman"/>
          <w:sz w:val="24"/>
          <w:szCs w:val="24"/>
        </w:rPr>
        <w:t>PGF2 priemonės valdytojo</w:t>
      </w:r>
      <w:r w:rsidRPr="000C696D">
        <w:rPr>
          <w:rFonts w:ascii="Times New Roman" w:hAnsi="Times New Roman"/>
          <w:sz w:val="24"/>
          <w:szCs w:val="24"/>
        </w:rPr>
        <w:t xml:space="preserve"> įsipareigojimai:</w:t>
      </w:r>
    </w:p>
    <w:p w14:paraId="07F13D23" w14:textId="77777777" w:rsidR="001E35B1" w:rsidRPr="000C696D" w:rsidRDefault="001E35B1"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Faktoringo sandorius, garantuotus PGF</w:t>
      </w:r>
      <w:r w:rsidR="00893D40" w:rsidRPr="000C696D">
        <w:rPr>
          <w:rFonts w:ascii="Times New Roman" w:hAnsi="Times New Roman"/>
          <w:sz w:val="24"/>
          <w:szCs w:val="24"/>
        </w:rPr>
        <w:t>2</w:t>
      </w:r>
      <w:r w:rsidRPr="000C696D">
        <w:rPr>
          <w:rFonts w:ascii="Times New Roman" w:hAnsi="Times New Roman"/>
          <w:sz w:val="24"/>
          <w:szCs w:val="24"/>
        </w:rPr>
        <w:t> priemonės lėšomis, apskaityti atskirai ir taip, kad būtų galima juos lengvai identifikuoti;</w:t>
      </w:r>
    </w:p>
    <w:p w14:paraId="4CC3277A" w14:textId="77777777" w:rsidR="001E35B1" w:rsidRPr="000C696D" w:rsidRDefault="001E35B1"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nedels</w:t>
      </w:r>
      <w:r w:rsidR="003F4F73" w:rsidRPr="000C696D">
        <w:rPr>
          <w:rFonts w:ascii="Times New Roman" w:hAnsi="Times New Roman"/>
          <w:sz w:val="24"/>
          <w:szCs w:val="24"/>
        </w:rPr>
        <w:t>iant</w:t>
      </w:r>
      <w:r w:rsidRPr="000C696D">
        <w:rPr>
          <w:rFonts w:ascii="Times New Roman" w:hAnsi="Times New Roman"/>
          <w:sz w:val="24"/>
          <w:szCs w:val="24"/>
        </w:rPr>
        <w:t xml:space="preserve"> informuoti „Invegą“ apie bet kurį įvykį, kuris jo nuomone yra esminis (įskaitant, bet neapsiribojant Faktoringo sandorių Tinkamumo sąlygų pažeidimu), dėl kurio, </w:t>
      </w:r>
      <w:r w:rsidR="00AF5122" w:rsidRPr="000C696D">
        <w:rPr>
          <w:rFonts w:ascii="Times New Roman" w:hAnsi="Times New Roman"/>
          <w:sz w:val="24"/>
          <w:szCs w:val="24"/>
        </w:rPr>
        <w:t>„</w:t>
      </w:r>
      <w:r w:rsidR="0077560A">
        <w:rPr>
          <w:rFonts w:ascii="Times New Roman" w:hAnsi="Times New Roman"/>
          <w:sz w:val="24"/>
          <w:szCs w:val="24"/>
        </w:rPr>
        <w:t>Invegai“</w:t>
      </w:r>
      <w:r w:rsidRPr="000C696D">
        <w:rPr>
          <w:rFonts w:ascii="Times New Roman" w:hAnsi="Times New Roman"/>
          <w:sz w:val="24"/>
          <w:szCs w:val="24"/>
        </w:rPr>
        <w:t xml:space="preserve"> gali tekti imtis veiksmų ir (arba) kuris gali turėti įtakos </w:t>
      </w:r>
      <w:r w:rsidR="003D2517" w:rsidRPr="00516C4F">
        <w:rPr>
          <w:rFonts w:ascii="Times New Roman" w:hAnsi="Times New Roman"/>
          <w:sz w:val="24"/>
          <w:szCs w:val="24"/>
        </w:rPr>
        <w:t>PGF2 priemonės valdytojo</w:t>
      </w:r>
      <w:r w:rsidR="003D2517">
        <w:rPr>
          <w:rFonts w:ascii="Times New Roman" w:hAnsi="Times New Roman"/>
          <w:b/>
          <w:sz w:val="24"/>
          <w:szCs w:val="24"/>
        </w:rPr>
        <w:t xml:space="preserve"> </w:t>
      </w:r>
      <w:r w:rsidRPr="000C696D">
        <w:rPr>
          <w:rFonts w:ascii="Times New Roman" w:hAnsi="Times New Roman"/>
          <w:sz w:val="24"/>
          <w:szCs w:val="24"/>
        </w:rPr>
        <w:t xml:space="preserve"> gebėjimui vykdyti įsipareigojimus, prisiimtus pagal </w:t>
      </w:r>
      <w:r w:rsidR="00E87AAE" w:rsidRPr="000C696D">
        <w:rPr>
          <w:rFonts w:ascii="Times New Roman" w:hAnsi="Times New Roman"/>
          <w:sz w:val="24"/>
          <w:szCs w:val="24"/>
        </w:rPr>
        <w:t>S</w:t>
      </w:r>
      <w:r w:rsidRPr="000C696D">
        <w:rPr>
          <w:rFonts w:ascii="Times New Roman" w:hAnsi="Times New Roman"/>
          <w:sz w:val="24"/>
          <w:szCs w:val="24"/>
        </w:rPr>
        <w:t>utartį;</w:t>
      </w:r>
    </w:p>
    <w:p w14:paraId="75CE6343" w14:textId="77777777" w:rsidR="001E35B1" w:rsidRPr="000C696D" w:rsidRDefault="001E35B1"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 xml:space="preserve">neperleisti savo teisių ir prievolių pagal </w:t>
      </w:r>
      <w:r w:rsidR="00E87AAE" w:rsidRPr="000C696D">
        <w:rPr>
          <w:rFonts w:ascii="Times New Roman" w:hAnsi="Times New Roman"/>
          <w:sz w:val="24"/>
          <w:szCs w:val="24"/>
        </w:rPr>
        <w:t>S</w:t>
      </w:r>
      <w:r w:rsidRPr="000C696D">
        <w:rPr>
          <w:rFonts w:ascii="Times New Roman" w:hAnsi="Times New Roman"/>
          <w:sz w:val="24"/>
          <w:szCs w:val="24"/>
        </w:rPr>
        <w:t xml:space="preserve">utartį negavęs išankstinio rašytinio </w:t>
      </w:r>
      <w:r w:rsidR="0077560A">
        <w:rPr>
          <w:rFonts w:ascii="Times New Roman" w:hAnsi="Times New Roman"/>
          <w:sz w:val="24"/>
          <w:szCs w:val="24"/>
        </w:rPr>
        <w:t>„Invegos“</w:t>
      </w:r>
      <w:r w:rsidR="0077560A" w:rsidRPr="000C696D">
        <w:rPr>
          <w:rFonts w:ascii="Times New Roman" w:hAnsi="Times New Roman"/>
          <w:sz w:val="24"/>
          <w:szCs w:val="24"/>
        </w:rPr>
        <w:t xml:space="preserve"> </w:t>
      </w:r>
      <w:r w:rsidRPr="000C696D">
        <w:rPr>
          <w:rFonts w:ascii="Times New Roman" w:hAnsi="Times New Roman"/>
          <w:sz w:val="24"/>
          <w:szCs w:val="24"/>
        </w:rPr>
        <w:t>sutikimo;</w:t>
      </w:r>
    </w:p>
    <w:p w14:paraId="09C2E96B" w14:textId="77777777" w:rsidR="001E35B1" w:rsidRDefault="001E35B1"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0C696D">
        <w:rPr>
          <w:rFonts w:ascii="Times New Roman" w:hAnsi="Times New Roman"/>
          <w:sz w:val="24"/>
          <w:szCs w:val="24"/>
        </w:rPr>
        <w:t xml:space="preserve">teikti papildomą informaciją, pagal atskirą </w:t>
      </w:r>
      <w:r w:rsidR="0077560A">
        <w:rPr>
          <w:rFonts w:ascii="Times New Roman" w:hAnsi="Times New Roman"/>
          <w:sz w:val="24"/>
          <w:szCs w:val="24"/>
        </w:rPr>
        <w:t>„Invegos“</w:t>
      </w:r>
      <w:r w:rsidR="0077560A" w:rsidRPr="000C696D">
        <w:rPr>
          <w:rFonts w:ascii="Times New Roman" w:hAnsi="Times New Roman"/>
          <w:sz w:val="24"/>
          <w:szCs w:val="24"/>
        </w:rPr>
        <w:t xml:space="preserve"> </w:t>
      </w:r>
      <w:r w:rsidRPr="000C696D">
        <w:rPr>
          <w:rFonts w:ascii="Times New Roman" w:hAnsi="Times New Roman"/>
          <w:sz w:val="24"/>
          <w:szCs w:val="24"/>
        </w:rPr>
        <w:t xml:space="preserve">paklausimą. </w:t>
      </w:r>
      <w:r w:rsidR="00384AC7">
        <w:rPr>
          <w:rFonts w:ascii="Times New Roman" w:hAnsi="Times New Roman"/>
          <w:sz w:val="24"/>
          <w:szCs w:val="24"/>
        </w:rPr>
        <w:t>„</w:t>
      </w:r>
      <w:r w:rsidR="0077560A">
        <w:rPr>
          <w:rFonts w:ascii="Times New Roman" w:hAnsi="Times New Roman"/>
          <w:sz w:val="24"/>
          <w:szCs w:val="24"/>
        </w:rPr>
        <w:t>Invega</w:t>
      </w:r>
      <w:r w:rsidR="00384AC7">
        <w:rPr>
          <w:rFonts w:ascii="Times New Roman" w:hAnsi="Times New Roman"/>
          <w:sz w:val="24"/>
          <w:szCs w:val="24"/>
        </w:rPr>
        <w:t>“</w:t>
      </w:r>
      <w:r w:rsidRPr="000C696D">
        <w:rPr>
          <w:rFonts w:ascii="Times New Roman" w:hAnsi="Times New Roman"/>
          <w:sz w:val="24"/>
          <w:szCs w:val="24"/>
        </w:rPr>
        <w:t xml:space="preserve"> neprivalo nuolat stebėti ir tikrinti, ar Faktoringo sandoris, traukiamas į Portfelį, atitinka Tinkamumo sąlygas, tačiau </w:t>
      </w:r>
      <w:r w:rsidR="00384AC7">
        <w:rPr>
          <w:rFonts w:ascii="Times New Roman" w:hAnsi="Times New Roman"/>
          <w:sz w:val="24"/>
          <w:szCs w:val="24"/>
        </w:rPr>
        <w:t>„I</w:t>
      </w:r>
      <w:r w:rsidR="0077560A">
        <w:rPr>
          <w:rFonts w:ascii="Times New Roman" w:hAnsi="Times New Roman"/>
          <w:sz w:val="24"/>
          <w:szCs w:val="24"/>
        </w:rPr>
        <w:t>nvega</w:t>
      </w:r>
      <w:bookmarkStart w:id="7" w:name="_Hlk36561065"/>
      <w:r w:rsidR="00384AC7">
        <w:rPr>
          <w:rFonts w:ascii="Times New Roman" w:hAnsi="Times New Roman"/>
          <w:sz w:val="24"/>
          <w:szCs w:val="24"/>
        </w:rPr>
        <w:t>“</w:t>
      </w:r>
      <w:bookmarkEnd w:id="7"/>
      <w:r w:rsidRPr="000C696D">
        <w:rPr>
          <w:rFonts w:ascii="Times New Roman" w:hAnsi="Times New Roman"/>
          <w:sz w:val="24"/>
          <w:szCs w:val="24"/>
        </w:rPr>
        <w:t xml:space="preserve"> gali bet kuriuo metu pareikalauti, kad </w:t>
      </w:r>
      <w:r w:rsidR="003D2517" w:rsidRPr="006D43FA">
        <w:rPr>
          <w:rFonts w:ascii="Times New Roman" w:hAnsi="Times New Roman"/>
          <w:sz w:val="24"/>
          <w:szCs w:val="24"/>
        </w:rPr>
        <w:t>PGF2</w:t>
      </w:r>
      <w:r w:rsidR="003D2517">
        <w:rPr>
          <w:rFonts w:ascii="Times New Roman" w:hAnsi="Times New Roman"/>
          <w:sz w:val="24"/>
          <w:szCs w:val="24"/>
        </w:rPr>
        <w:t xml:space="preserve"> priemonės valdytojas</w:t>
      </w:r>
      <w:r w:rsidRPr="000C696D">
        <w:rPr>
          <w:rFonts w:ascii="Times New Roman" w:hAnsi="Times New Roman"/>
          <w:sz w:val="24"/>
          <w:szCs w:val="24"/>
        </w:rPr>
        <w:t xml:space="preserve"> neatlygintinai pateiktų informaciją, kuri leistų </w:t>
      </w:r>
      <w:r w:rsidR="00384AC7">
        <w:rPr>
          <w:rFonts w:ascii="Times New Roman" w:hAnsi="Times New Roman"/>
          <w:sz w:val="24"/>
          <w:szCs w:val="24"/>
        </w:rPr>
        <w:t>„</w:t>
      </w:r>
      <w:r w:rsidR="0077560A">
        <w:rPr>
          <w:rFonts w:ascii="Times New Roman" w:hAnsi="Times New Roman"/>
          <w:sz w:val="24"/>
          <w:szCs w:val="24"/>
        </w:rPr>
        <w:t>Invegai“</w:t>
      </w:r>
      <w:r w:rsidRPr="000C696D">
        <w:rPr>
          <w:rFonts w:ascii="Times New Roman" w:hAnsi="Times New Roman"/>
          <w:sz w:val="24"/>
          <w:szCs w:val="24"/>
        </w:rPr>
        <w:t xml:space="preserve"> patikrinti, ar Faktoringo sandoris atitinka Tinkamumo sąlygas ir jo įtraukimas į Portfelį neprieštarauja sutarties sąlygoms. </w:t>
      </w:r>
      <w:r w:rsidR="003D2517" w:rsidRPr="006D43FA">
        <w:rPr>
          <w:rFonts w:ascii="Times New Roman" w:hAnsi="Times New Roman"/>
          <w:sz w:val="24"/>
          <w:szCs w:val="24"/>
        </w:rPr>
        <w:t>PGF2</w:t>
      </w:r>
      <w:r w:rsidR="003D2517">
        <w:rPr>
          <w:rFonts w:ascii="Times New Roman" w:hAnsi="Times New Roman"/>
          <w:sz w:val="24"/>
          <w:szCs w:val="24"/>
        </w:rPr>
        <w:t xml:space="preserve"> priemonės valdytojas</w:t>
      </w:r>
      <w:r w:rsidRPr="000C696D">
        <w:rPr>
          <w:rFonts w:ascii="Times New Roman" w:hAnsi="Times New Roman"/>
          <w:sz w:val="24"/>
          <w:szCs w:val="24"/>
        </w:rPr>
        <w:t xml:space="preserve"> privalo pateikti </w:t>
      </w:r>
      <w:r w:rsidR="00384AC7">
        <w:rPr>
          <w:rFonts w:ascii="Times New Roman" w:hAnsi="Times New Roman"/>
          <w:sz w:val="24"/>
          <w:szCs w:val="24"/>
        </w:rPr>
        <w:t>„I</w:t>
      </w:r>
      <w:r w:rsidR="0077560A">
        <w:rPr>
          <w:rFonts w:ascii="Times New Roman" w:hAnsi="Times New Roman"/>
          <w:sz w:val="24"/>
          <w:szCs w:val="24"/>
        </w:rPr>
        <w:t>nvegai</w:t>
      </w:r>
      <w:r w:rsidR="00384AC7">
        <w:rPr>
          <w:rFonts w:ascii="Times New Roman" w:hAnsi="Times New Roman"/>
          <w:sz w:val="24"/>
          <w:szCs w:val="24"/>
        </w:rPr>
        <w:t>“</w:t>
      </w:r>
      <w:r w:rsidRPr="000C696D">
        <w:rPr>
          <w:rFonts w:ascii="Times New Roman" w:hAnsi="Times New Roman"/>
          <w:sz w:val="24"/>
          <w:szCs w:val="24"/>
        </w:rPr>
        <w:t xml:space="preserve"> informaciją, kurios pagrįstai pareikalauja </w:t>
      </w:r>
      <w:r w:rsidR="00384AC7">
        <w:rPr>
          <w:rFonts w:ascii="Times New Roman" w:hAnsi="Times New Roman"/>
          <w:sz w:val="24"/>
          <w:szCs w:val="24"/>
        </w:rPr>
        <w:t>„I</w:t>
      </w:r>
      <w:r w:rsidR="0077560A">
        <w:rPr>
          <w:rFonts w:ascii="Times New Roman" w:hAnsi="Times New Roman"/>
          <w:sz w:val="24"/>
          <w:szCs w:val="24"/>
        </w:rPr>
        <w:t>nvega</w:t>
      </w:r>
      <w:r w:rsidR="00384AC7">
        <w:rPr>
          <w:rFonts w:ascii="Times New Roman" w:hAnsi="Times New Roman"/>
          <w:sz w:val="24"/>
          <w:szCs w:val="24"/>
        </w:rPr>
        <w:t>“</w:t>
      </w:r>
      <w:r w:rsidRPr="000C696D">
        <w:rPr>
          <w:rFonts w:ascii="Times New Roman" w:hAnsi="Times New Roman"/>
          <w:sz w:val="24"/>
          <w:szCs w:val="24"/>
        </w:rPr>
        <w:t>;</w:t>
      </w:r>
    </w:p>
    <w:p w14:paraId="15816CE4" w14:textId="77777777" w:rsidR="003F20CB" w:rsidRDefault="005B42BF"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Pr>
          <w:rFonts w:ascii="Times New Roman" w:hAnsi="Times New Roman"/>
          <w:sz w:val="24"/>
          <w:szCs w:val="24"/>
        </w:rPr>
        <w:lastRenderedPageBreak/>
        <w:t xml:space="preserve"> </w:t>
      </w:r>
      <w:r w:rsidRPr="006D43FA">
        <w:rPr>
          <w:rFonts w:ascii="Times New Roman" w:hAnsi="Times New Roman"/>
          <w:sz w:val="24"/>
          <w:szCs w:val="24"/>
        </w:rPr>
        <w:t>PGF2</w:t>
      </w:r>
      <w:r w:rsidR="0058182C" w:rsidRPr="0058182C">
        <w:rPr>
          <w:rFonts w:ascii="Times New Roman" w:hAnsi="Times New Roman"/>
          <w:sz w:val="24"/>
          <w:szCs w:val="24"/>
        </w:rPr>
        <w:t xml:space="preserve"> priemonės valdytojo įsipareigojimas užtikrin</w:t>
      </w:r>
      <w:r w:rsidR="0058182C">
        <w:rPr>
          <w:rFonts w:ascii="Times New Roman" w:hAnsi="Times New Roman"/>
          <w:sz w:val="24"/>
          <w:szCs w:val="24"/>
        </w:rPr>
        <w:t>ti</w:t>
      </w:r>
      <w:r w:rsidR="0058182C" w:rsidRPr="0058182C">
        <w:rPr>
          <w:rFonts w:ascii="Times New Roman" w:hAnsi="Times New Roman"/>
          <w:sz w:val="24"/>
          <w:szCs w:val="24"/>
        </w:rPr>
        <w:t>, kad vykdant Sutartį bus įgyvendintos tinkamos techninės ir organizacinės asmens duomenų tvarkymo priemonės, asmens duomenų tvarkymas atitiks 2016 m. balandžio 27 d. Europos Parlamento ir Tarybos reglament</w:t>
      </w:r>
      <w:r w:rsidR="0058182C">
        <w:rPr>
          <w:rFonts w:ascii="Times New Roman" w:hAnsi="Times New Roman"/>
          <w:sz w:val="24"/>
          <w:szCs w:val="24"/>
        </w:rPr>
        <w:t>e</w:t>
      </w:r>
      <w:r w:rsidR="0058182C" w:rsidRPr="0058182C">
        <w:rPr>
          <w:rFonts w:ascii="Times New Roman" w:hAnsi="Times New Roman"/>
          <w:sz w:val="24"/>
          <w:szCs w:val="24"/>
        </w:rPr>
        <w:t xml:space="preserve"> (ES) 2016/679 dėl fizinių asmenų apsaugos tvarkant asmens duomenis ir dėl laisvo tokių duomenų judėjimo ir kuriuo panaikinama Direktyva 95/46/EB (Bendrasis duomenų apsaugos reglamentas)</w:t>
      </w:r>
      <w:r w:rsidR="0058182C">
        <w:rPr>
          <w:rFonts w:ascii="Times New Roman" w:hAnsi="Times New Roman"/>
          <w:sz w:val="24"/>
          <w:szCs w:val="24"/>
        </w:rPr>
        <w:t>, Lietuvos Respublikos asmens duomenų teisinės apsaugos įstatyme įtvirtintus reikalavimus</w:t>
      </w:r>
      <w:r w:rsidR="003F20CB">
        <w:rPr>
          <w:rFonts w:ascii="Times New Roman" w:hAnsi="Times New Roman"/>
          <w:sz w:val="24"/>
          <w:szCs w:val="24"/>
        </w:rPr>
        <w:t>.</w:t>
      </w:r>
    </w:p>
    <w:p w14:paraId="213B1117" w14:textId="77777777" w:rsidR="0058182C" w:rsidRPr="005B42BF" w:rsidRDefault="0058182C"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Pr>
          <w:rFonts w:ascii="Times New Roman" w:hAnsi="Times New Roman"/>
          <w:sz w:val="24"/>
          <w:szCs w:val="24"/>
        </w:rPr>
        <w:t xml:space="preserve"> </w:t>
      </w:r>
      <w:r w:rsidR="005B42BF" w:rsidRPr="006D43FA">
        <w:rPr>
          <w:rFonts w:ascii="Times New Roman" w:hAnsi="Times New Roman"/>
          <w:sz w:val="24"/>
          <w:szCs w:val="24"/>
        </w:rPr>
        <w:t>PGF2</w:t>
      </w:r>
      <w:r>
        <w:rPr>
          <w:rFonts w:ascii="Times New Roman" w:hAnsi="Times New Roman"/>
          <w:sz w:val="24"/>
          <w:szCs w:val="24"/>
        </w:rPr>
        <w:t xml:space="preserve"> priemonės valdytojo įsipareigojimas informuoti duomenų subjektus apie </w:t>
      </w:r>
      <w:r w:rsidR="00D24AB6">
        <w:rPr>
          <w:rFonts w:ascii="Times New Roman" w:hAnsi="Times New Roman"/>
          <w:sz w:val="24"/>
          <w:szCs w:val="24"/>
        </w:rPr>
        <w:t xml:space="preserve">asmens </w:t>
      </w:r>
      <w:r w:rsidRPr="0058182C">
        <w:rPr>
          <w:rFonts w:ascii="Times New Roman" w:hAnsi="Times New Roman"/>
          <w:sz w:val="24"/>
          <w:szCs w:val="24"/>
        </w:rPr>
        <w:t>duomenų tvarkymo dalyk</w:t>
      </w:r>
      <w:r w:rsidR="005B42BF">
        <w:rPr>
          <w:rFonts w:ascii="Times New Roman" w:hAnsi="Times New Roman"/>
          <w:sz w:val="24"/>
          <w:szCs w:val="24"/>
        </w:rPr>
        <w:t>ą</w:t>
      </w:r>
      <w:r>
        <w:rPr>
          <w:rFonts w:ascii="Times New Roman" w:hAnsi="Times New Roman"/>
          <w:sz w:val="24"/>
          <w:szCs w:val="24"/>
        </w:rPr>
        <w:t>, trukmę</w:t>
      </w:r>
      <w:r w:rsidRPr="0058182C">
        <w:rPr>
          <w:rFonts w:ascii="Times New Roman" w:hAnsi="Times New Roman"/>
          <w:sz w:val="24"/>
          <w:szCs w:val="24"/>
        </w:rPr>
        <w:t>, duomenų tvarkymo pobūd</w:t>
      </w:r>
      <w:r>
        <w:rPr>
          <w:rFonts w:ascii="Times New Roman" w:hAnsi="Times New Roman"/>
          <w:sz w:val="24"/>
          <w:szCs w:val="24"/>
        </w:rPr>
        <w:t>į</w:t>
      </w:r>
      <w:r w:rsidRPr="0058182C">
        <w:rPr>
          <w:rFonts w:ascii="Times New Roman" w:hAnsi="Times New Roman"/>
          <w:sz w:val="24"/>
          <w:szCs w:val="24"/>
        </w:rPr>
        <w:t xml:space="preserve"> ir tiksl</w:t>
      </w:r>
      <w:r>
        <w:rPr>
          <w:rFonts w:ascii="Times New Roman" w:hAnsi="Times New Roman"/>
          <w:sz w:val="24"/>
          <w:szCs w:val="24"/>
        </w:rPr>
        <w:t>us</w:t>
      </w:r>
      <w:r w:rsidRPr="0058182C">
        <w:rPr>
          <w:rFonts w:ascii="Times New Roman" w:hAnsi="Times New Roman"/>
          <w:sz w:val="24"/>
          <w:szCs w:val="24"/>
        </w:rPr>
        <w:t xml:space="preserve">, duomenų </w:t>
      </w:r>
      <w:r w:rsidR="00D24AB6">
        <w:rPr>
          <w:rFonts w:ascii="Times New Roman" w:hAnsi="Times New Roman"/>
          <w:sz w:val="24"/>
          <w:szCs w:val="24"/>
        </w:rPr>
        <w:t>rūšis</w:t>
      </w:r>
      <w:r w:rsidRPr="0058182C">
        <w:rPr>
          <w:rFonts w:ascii="Times New Roman" w:hAnsi="Times New Roman"/>
          <w:sz w:val="24"/>
          <w:szCs w:val="24"/>
        </w:rPr>
        <w:t xml:space="preserve"> ir duomenų subjektų kategorij</w:t>
      </w:r>
      <w:r>
        <w:rPr>
          <w:rFonts w:ascii="Times New Roman" w:hAnsi="Times New Roman"/>
          <w:sz w:val="24"/>
          <w:szCs w:val="24"/>
        </w:rPr>
        <w:t>as</w:t>
      </w:r>
      <w:r w:rsidRPr="0058182C">
        <w:rPr>
          <w:rFonts w:ascii="Times New Roman" w:hAnsi="Times New Roman"/>
          <w:sz w:val="24"/>
          <w:szCs w:val="24"/>
        </w:rPr>
        <w:t xml:space="preserve">, </w:t>
      </w:r>
      <w:r>
        <w:rPr>
          <w:rFonts w:ascii="Times New Roman" w:hAnsi="Times New Roman"/>
          <w:sz w:val="24"/>
          <w:szCs w:val="24"/>
        </w:rPr>
        <w:t>duomenų perdavim</w:t>
      </w:r>
      <w:r w:rsidR="00D24AB6">
        <w:rPr>
          <w:rFonts w:ascii="Times New Roman" w:hAnsi="Times New Roman"/>
          <w:sz w:val="24"/>
          <w:szCs w:val="24"/>
        </w:rPr>
        <w:t>o</w:t>
      </w:r>
      <w:r>
        <w:rPr>
          <w:rFonts w:ascii="Times New Roman" w:hAnsi="Times New Roman"/>
          <w:sz w:val="24"/>
          <w:szCs w:val="24"/>
        </w:rPr>
        <w:t xml:space="preserve"> ,,Invegai</w:t>
      </w:r>
      <w:r w:rsidRPr="0058182C">
        <w:rPr>
          <w:rFonts w:ascii="Times New Roman" w:hAnsi="Times New Roman"/>
          <w:sz w:val="24"/>
          <w:szCs w:val="24"/>
        </w:rPr>
        <w:t>“</w:t>
      </w:r>
      <w:r w:rsidR="00D24AB6">
        <w:rPr>
          <w:rFonts w:ascii="Times New Roman" w:hAnsi="Times New Roman"/>
          <w:sz w:val="24"/>
          <w:szCs w:val="24"/>
        </w:rPr>
        <w:t xml:space="preserve"> tikslus ir pagrindus</w:t>
      </w:r>
      <w:r>
        <w:rPr>
          <w:rFonts w:ascii="Times New Roman" w:hAnsi="Times New Roman"/>
          <w:sz w:val="24"/>
          <w:szCs w:val="24"/>
        </w:rPr>
        <w:t xml:space="preserve">; </w:t>
      </w:r>
      <w:r w:rsidR="005B42BF" w:rsidRPr="006D43FA">
        <w:rPr>
          <w:rFonts w:ascii="Times New Roman" w:hAnsi="Times New Roman"/>
          <w:sz w:val="24"/>
          <w:szCs w:val="24"/>
        </w:rPr>
        <w:t>PGF2</w:t>
      </w:r>
      <w:r>
        <w:rPr>
          <w:rFonts w:ascii="Times New Roman" w:hAnsi="Times New Roman"/>
          <w:sz w:val="24"/>
          <w:szCs w:val="24"/>
        </w:rPr>
        <w:t xml:space="preserve"> priemonės valdytojo</w:t>
      </w:r>
      <w:r w:rsidRPr="005B42BF">
        <w:rPr>
          <w:rFonts w:ascii="Times New Roman" w:hAnsi="Times New Roman"/>
          <w:sz w:val="24"/>
          <w:szCs w:val="24"/>
        </w:rPr>
        <w:t xml:space="preserve"> įsipareigojimas užtikrinti, kad jo darbuotojai, tvarkantys asmens duomenis, laikysis konfidencialumo įsipareigojimo</w:t>
      </w:r>
      <w:r>
        <w:rPr>
          <w:rFonts w:ascii="Times New Roman" w:hAnsi="Times New Roman"/>
          <w:sz w:val="24"/>
          <w:szCs w:val="24"/>
        </w:rPr>
        <w:t xml:space="preserve">; </w:t>
      </w:r>
    </w:p>
    <w:p w14:paraId="3A04E991" w14:textId="77777777" w:rsidR="001E35B1" w:rsidRPr="000C696D" w:rsidRDefault="001E35B1" w:rsidP="00035106">
      <w:pPr>
        <w:pStyle w:val="ListParagraph"/>
        <w:numPr>
          <w:ilvl w:val="1"/>
          <w:numId w:val="5"/>
        </w:numPr>
        <w:tabs>
          <w:tab w:val="left" w:pos="851"/>
          <w:tab w:val="left" w:pos="170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Su Faktoringo gavėjais sudaromose sutartyse </w:t>
      </w:r>
      <w:r w:rsidR="003D2517" w:rsidRPr="006D43FA">
        <w:rPr>
          <w:rFonts w:ascii="Times New Roman" w:hAnsi="Times New Roman"/>
          <w:sz w:val="24"/>
          <w:szCs w:val="24"/>
        </w:rPr>
        <w:t>PGF2</w:t>
      </w:r>
      <w:r w:rsidR="003D2517">
        <w:rPr>
          <w:rFonts w:ascii="Times New Roman" w:hAnsi="Times New Roman"/>
          <w:sz w:val="24"/>
          <w:szCs w:val="24"/>
        </w:rPr>
        <w:t xml:space="preserve"> priemonės valdytojas</w:t>
      </w:r>
      <w:r w:rsidR="004C393C" w:rsidRPr="000C696D">
        <w:rPr>
          <w:rFonts w:ascii="Times New Roman" w:hAnsi="Times New Roman"/>
          <w:sz w:val="24"/>
          <w:szCs w:val="24"/>
        </w:rPr>
        <w:t xml:space="preserve"> turi </w:t>
      </w:r>
      <w:r w:rsidRPr="000C696D">
        <w:rPr>
          <w:rFonts w:ascii="Times New Roman" w:hAnsi="Times New Roman"/>
          <w:i/>
          <w:sz w:val="24"/>
          <w:szCs w:val="24"/>
        </w:rPr>
        <w:t>inter alia</w:t>
      </w:r>
      <w:r w:rsidRPr="000C696D">
        <w:rPr>
          <w:rFonts w:ascii="Times New Roman" w:hAnsi="Times New Roman"/>
          <w:sz w:val="24"/>
          <w:szCs w:val="24"/>
        </w:rPr>
        <w:t xml:space="preserve"> numatyti, kad:</w:t>
      </w:r>
    </w:p>
    <w:p w14:paraId="69812655" w14:textId="77777777" w:rsidR="001E35B1" w:rsidRPr="000C696D" w:rsidRDefault="001E35B1"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0C696D">
        <w:rPr>
          <w:rFonts w:ascii="Times New Roman" w:hAnsi="Times New Roman"/>
          <w:sz w:val="24"/>
          <w:szCs w:val="24"/>
        </w:rPr>
        <w:t xml:space="preserve">Faktoringo gavėjas neprieštaraus, kad duomenis apie iš Faktoringo sandorio lėšų įgyvendintą projektą </w:t>
      </w:r>
      <w:r w:rsidR="00384AC7">
        <w:rPr>
          <w:rFonts w:ascii="Times New Roman" w:hAnsi="Times New Roman"/>
          <w:sz w:val="24"/>
          <w:szCs w:val="24"/>
        </w:rPr>
        <w:t>„</w:t>
      </w:r>
      <w:r w:rsidR="0077560A">
        <w:rPr>
          <w:rFonts w:ascii="Times New Roman" w:hAnsi="Times New Roman"/>
          <w:sz w:val="24"/>
          <w:szCs w:val="24"/>
        </w:rPr>
        <w:t>Invega</w:t>
      </w:r>
      <w:r w:rsidR="00384AC7">
        <w:rPr>
          <w:rFonts w:ascii="Times New Roman" w:hAnsi="Times New Roman"/>
          <w:sz w:val="24"/>
          <w:szCs w:val="24"/>
        </w:rPr>
        <w:t>“</w:t>
      </w:r>
      <w:r w:rsidRPr="000C696D">
        <w:rPr>
          <w:rFonts w:ascii="Times New Roman" w:hAnsi="Times New Roman"/>
          <w:sz w:val="24"/>
          <w:szCs w:val="24"/>
        </w:rPr>
        <w:t xml:space="preserve"> naudos viešinimo tikslais;</w:t>
      </w:r>
    </w:p>
    <w:p w14:paraId="1AA86FBC" w14:textId="77777777" w:rsidR="001E35B1" w:rsidRPr="000C696D" w:rsidRDefault="003D2517"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6D43FA">
        <w:rPr>
          <w:rFonts w:ascii="Times New Roman" w:hAnsi="Times New Roman"/>
          <w:sz w:val="24"/>
          <w:szCs w:val="24"/>
        </w:rPr>
        <w:t>PGF2</w:t>
      </w:r>
      <w:r>
        <w:rPr>
          <w:rFonts w:ascii="Times New Roman" w:hAnsi="Times New Roman"/>
          <w:sz w:val="24"/>
          <w:szCs w:val="24"/>
        </w:rPr>
        <w:t xml:space="preserve"> priemonės valdytojas</w:t>
      </w:r>
      <w:r w:rsidR="001E35B1" w:rsidRPr="000C696D">
        <w:rPr>
          <w:rFonts w:ascii="Times New Roman" w:hAnsi="Times New Roman"/>
          <w:sz w:val="24"/>
          <w:szCs w:val="24"/>
        </w:rPr>
        <w:t xml:space="preserve"> turi teisę iš Faktoringo gavėjo išsiieškoti nuostolius, kylančius dėl netinkamo Faktoringo sandorio vykdymo;</w:t>
      </w:r>
    </w:p>
    <w:p w14:paraId="4AD34581" w14:textId="77777777" w:rsidR="001E35B1" w:rsidRPr="000C696D" w:rsidRDefault="001E35B1"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0C696D">
        <w:rPr>
          <w:rFonts w:ascii="Times New Roman" w:hAnsi="Times New Roman"/>
          <w:sz w:val="24"/>
          <w:szCs w:val="24"/>
        </w:rPr>
        <w:t xml:space="preserve">Faktoringo gavėjas yra informuojamas apie suteikiamą </w:t>
      </w:r>
      <w:r w:rsidRPr="000C696D">
        <w:rPr>
          <w:rFonts w:ascii="Times New Roman" w:hAnsi="Times New Roman"/>
          <w:i/>
          <w:sz w:val="24"/>
          <w:szCs w:val="24"/>
        </w:rPr>
        <w:t>de minimis</w:t>
      </w:r>
      <w:r w:rsidRPr="000C696D">
        <w:rPr>
          <w:rFonts w:ascii="Times New Roman" w:hAnsi="Times New Roman"/>
          <w:sz w:val="24"/>
          <w:szCs w:val="24"/>
        </w:rPr>
        <w:t xml:space="preserve"> pagalbą;</w:t>
      </w:r>
    </w:p>
    <w:p w14:paraId="261E4746" w14:textId="2DBE0CC4" w:rsidR="001E35B1" w:rsidRPr="000C696D" w:rsidRDefault="001E35B1"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0C696D">
        <w:rPr>
          <w:rFonts w:ascii="Times New Roman" w:hAnsi="Times New Roman"/>
          <w:sz w:val="24"/>
          <w:szCs w:val="24"/>
        </w:rPr>
        <w:t>kiti įsipareigojimai, kylantys iš PGF</w:t>
      </w:r>
      <w:r w:rsidR="003D2517" w:rsidRPr="00516C4F">
        <w:rPr>
          <w:rFonts w:ascii="Times New Roman" w:hAnsi="Times New Roman"/>
          <w:sz w:val="24"/>
          <w:szCs w:val="24"/>
        </w:rPr>
        <w:t>2</w:t>
      </w:r>
      <w:r w:rsidRPr="000C696D">
        <w:rPr>
          <w:rFonts w:ascii="Times New Roman" w:hAnsi="Times New Roman"/>
          <w:sz w:val="24"/>
          <w:szCs w:val="24"/>
        </w:rPr>
        <w:t xml:space="preserve"> priemonės įgyvendinimo sąlygų, nustatytų </w:t>
      </w:r>
      <w:r w:rsidR="0006097C">
        <w:rPr>
          <w:rFonts w:ascii="Times New Roman" w:hAnsi="Times New Roman"/>
          <w:sz w:val="24"/>
          <w:szCs w:val="24"/>
        </w:rPr>
        <w:t>Apraše.</w:t>
      </w:r>
    </w:p>
    <w:p w14:paraId="72A100FF" w14:textId="77777777" w:rsidR="001E35B1" w:rsidRPr="000C696D"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Tarp </w:t>
      </w:r>
      <w:r w:rsidR="00E87AAE" w:rsidRPr="000C696D">
        <w:rPr>
          <w:rFonts w:ascii="Times New Roman" w:hAnsi="Times New Roman"/>
          <w:sz w:val="24"/>
          <w:szCs w:val="24"/>
        </w:rPr>
        <w:t>S</w:t>
      </w:r>
      <w:r w:rsidRPr="000C696D">
        <w:rPr>
          <w:rFonts w:ascii="Times New Roman" w:hAnsi="Times New Roman"/>
          <w:sz w:val="24"/>
          <w:szCs w:val="24"/>
        </w:rPr>
        <w:t>utarties šalių kylantys ginčai sprendžiami Lietuvos Respublikos įstatymuose nustatyta tvarka.</w:t>
      </w:r>
    </w:p>
    <w:p w14:paraId="25B03C29" w14:textId="3639B931" w:rsidR="001E35B1" w:rsidRPr="000C696D"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Jeigu viena iš </w:t>
      </w:r>
      <w:r w:rsidR="003B7127">
        <w:rPr>
          <w:rFonts w:ascii="Times New Roman" w:hAnsi="Times New Roman"/>
          <w:sz w:val="24"/>
          <w:szCs w:val="24"/>
        </w:rPr>
        <w:t xml:space="preserve">Sutarties </w:t>
      </w:r>
      <w:r w:rsidRPr="000C696D">
        <w:rPr>
          <w:rFonts w:ascii="Times New Roman" w:hAnsi="Times New Roman"/>
          <w:sz w:val="24"/>
          <w:szCs w:val="24"/>
        </w:rPr>
        <w:t xml:space="preserve">šalių nevykdo sutartinių įsipareigojimų ir tai yra esminis </w:t>
      </w:r>
      <w:r w:rsidR="00E87AAE" w:rsidRPr="000C696D">
        <w:rPr>
          <w:rFonts w:ascii="Times New Roman" w:hAnsi="Times New Roman"/>
          <w:sz w:val="24"/>
          <w:szCs w:val="24"/>
        </w:rPr>
        <w:t>S</w:t>
      </w:r>
      <w:r w:rsidRPr="000C696D">
        <w:rPr>
          <w:rFonts w:ascii="Times New Roman" w:hAnsi="Times New Roman"/>
          <w:sz w:val="24"/>
          <w:szCs w:val="24"/>
        </w:rPr>
        <w:t xml:space="preserve">utarties pažeidimas, kita šalis gali vienašališkai nutraukti </w:t>
      </w:r>
      <w:r w:rsidR="00E87AAE" w:rsidRPr="000C696D">
        <w:rPr>
          <w:rFonts w:ascii="Times New Roman" w:hAnsi="Times New Roman"/>
          <w:sz w:val="24"/>
          <w:szCs w:val="24"/>
        </w:rPr>
        <w:t>S</w:t>
      </w:r>
      <w:r w:rsidRPr="000C696D">
        <w:rPr>
          <w:rFonts w:ascii="Times New Roman" w:hAnsi="Times New Roman"/>
          <w:sz w:val="24"/>
          <w:szCs w:val="24"/>
        </w:rPr>
        <w:t xml:space="preserve">utartį, įspėjusi kitą </w:t>
      </w:r>
      <w:r w:rsidR="00E87AAE" w:rsidRPr="000C696D">
        <w:rPr>
          <w:rFonts w:ascii="Times New Roman" w:hAnsi="Times New Roman"/>
          <w:sz w:val="24"/>
          <w:szCs w:val="24"/>
        </w:rPr>
        <w:t>S</w:t>
      </w:r>
      <w:r w:rsidRPr="000C696D">
        <w:rPr>
          <w:rFonts w:ascii="Times New Roman" w:hAnsi="Times New Roman"/>
          <w:sz w:val="24"/>
          <w:szCs w:val="24"/>
        </w:rPr>
        <w:t>utarties šalį raštu ne vėliau kaip prieš 60 (šešiasdešimt) kalendorinių dienų pateikdama pagrįstus motyvus. Sutarties nutraukimo atvejai ir sąlygos bus nustatytos</w:t>
      </w:r>
      <w:r w:rsidR="00E87AAE" w:rsidRPr="000C696D">
        <w:rPr>
          <w:rFonts w:ascii="Times New Roman" w:hAnsi="Times New Roman"/>
          <w:sz w:val="24"/>
          <w:szCs w:val="24"/>
        </w:rPr>
        <w:t xml:space="preserve"> S</w:t>
      </w:r>
      <w:r w:rsidRPr="000C696D">
        <w:rPr>
          <w:rFonts w:ascii="Times New Roman" w:hAnsi="Times New Roman"/>
          <w:sz w:val="24"/>
          <w:szCs w:val="24"/>
        </w:rPr>
        <w:t>utartyje.</w:t>
      </w:r>
    </w:p>
    <w:p w14:paraId="7500BEBE" w14:textId="77777777" w:rsidR="001E35B1" w:rsidRPr="000C696D" w:rsidRDefault="00893D40"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S</w:t>
      </w:r>
      <w:r w:rsidR="001E35B1" w:rsidRPr="000C696D">
        <w:rPr>
          <w:rFonts w:ascii="Times New Roman" w:hAnsi="Times New Roman"/>
          <w:sz w:val="24"/>
          <w:szCs w:val="24"/>
        </w:rPr>
        <w:t xml:space="preserve">utarties </w:t>
      </w:r>
      <w:r w:rsidR="00EB2318" w:rsidRPr="000C696D">
        <w:rPr>
          <w:rFonts w:ascii="Times New Roman" w:hAnsi="Times New Roman"/>
          <w:sz w:val="24"/>
          <w:szCs w:val="24"/>
        </w:rPr>
        <w:t xml:space="preserve">galiojimo metu gali būti </w:t>
      </w:r>
      <w:r w:rsidR="009F4479" w:rsidRPr="000C696D">
        <w:rPr>
          <w:rFonts w:ascii="Times New Roman" w:hAnsi="Times New Roman"/>
          <w:sz w:val="24"/>
          <w:szCs w:val="24"/>
        </w:rPr>
        <w:t xml:space="preserve">atliekami šie pakeitimai: </w:t>
      </w:r>
    </w:p>
    <w:p w14:paraId="38A274A9" w14:textId="77777777" w:rsidR="00F45D61" w:rsidRDefault="00F45D6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Pr>
          <w:rFonts w:ascii="Times New Roman" w:hAnsi="Times New Roman"/>
          <w:sz w:val="24"/>
          <w:szCs w:val="24"/>
        </w:rPr>
        <w:t xml:space="preserve">susiję su </w:t>
      </w:r>
      <w:r w:rsidR="001E35B1" w:rsidRPr="000C696D">
        <w:rPr>
          <w:rFonts w:ascii="Times New Roman" w:hAnsi="Times New Roman"/>
          <w:sz w:val="24"/>
          <w:szCs w:val="24"/>
        </w:rPr>
        <w:t>PGF</w:t>
      </w:r>
      <w:r w:rsidR="0077560A" w:rsidRPr="00516C4F">
        <w:rPr>
          <w:rFonts w:ascii="Times New Roman" w:hAnsi="Times New Roman"/>
          <w:sz w:val="24"/>
          <w:szCs w:val="24"/>
        </w:rPr>
        <w:t>2</w:t>
      </w:r>
      <w:r w:rsidR="001E35B1" w:rsidRPr="000C696D">
        <w:rPr>
          <w:rFonts w:ascii="Times New Roman" w:hAnsi="Times New Roman"/>
          <w:sz w:val="24"/>
          <w:szCs w:val="24"/>
        </w:rPr>
        <w:t xml:space="preserve"> priemonės sąlygų</w:t>
      </w:r>
      <w:r>
        <w:rPr>
          <w:rFonts w:ascii="Times New Roman" w:hAnsi="Times New Roman"/>
          <w:sz w:val="24"/>
          <w:szCs w:val="24"/>
        </w:rPr>
        <w:t>, nurodytų Aprašo 1 priede,</w:t>
      </w:r>
      <w:r w:rsidR="001E35B1" w:rsidRPr="000C696D">
        <w:rPr>
          <w:rFonts w:ascii="Times New Roman" w:hAnsi="Times New Roman"/>
          <w:sz w:val="24"/>
          <w:szCs w:val="24"/>
        </w:rPr>
        <w:t xml:space="preserve"> pakeitim</w:t>
      </w:r>
      <w:r>
        <w:rPr>
          <w:rFonts w:ascii="Times New Roman" w:hAnsi="Times New Roman"/>
          <w:sz w:val="24"/>
          <w:szCs w:val="24"/>
        </w:rPr>
        <w:t>u;</w:t>
      </w:r>
    </w:p>
    <w:p w14:paraId="4B625820" w14:textId="77777777" w:rsidR="001E35B1" w:rsidRPr="000C696D" w:rsidRDefault="001E35B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0C696D">
        <w:rPr>
          <w:rFonts w:ascii="Times New Roman" w:hAnsi="Times New Roman"/>
          <w:sz w:val="24"/>
          <w:szCs w:val="24"/>
        </w:rPr>
        <w:t xml:space="preserve">susiję su konkrečių nacionalinių ar ES teisės aktų </w:t>
      </w:r>
      <w:r w:rsidR="00432066" w:rsidRPr="000C696D">
        <w:rPr>
          <w:rFonts w:ascii="Times New Roman" w:hAnsi="Times New Roman"/>
          <w:sz w:val="24"/>
          <w:szCs w:val="24"/>
        </w:rPr>
        <w:t xml:space="preserve">pakeitimais </w:t>
      </w:r>
      <w:r w:rsidR="00BA7C0E">
        <w:rPr>
          <w:rFonts w:ascii="Times New Roman" w:hAnsi="Times New Roman"/>
          <w:sz w:val="24"/>
          <w:szCs w:val="24"/>
        </w:rPr>
        <w:t>ir</w:t>
      </w:r>
      <w:r w:rsidR="00BA7C0E" w:rsidRPr="000C696D">
        <w:rPr>
          <w:rFonts w:ascii="Times New Roman" w:hAnsi="Times New Roman"/>
          <w:sz w:val="24"/>
          <w:szCs w:val="24"/>
        </w:rPr>
        <w:t xml:space="preserve"> </w:t>
      </w:r>
      <w:r w:rsidRPr="000C696D">
        <w:rPr>
          <w:rFonts w:ascii="Times New Roman" w:hAnsi="Times New Roman"/>
          <w:sz w:val="24"/>
          <w:szCs w:val="24"/>
        </w:rPr>
        <w:t>jų išaiškinimų, reglamentuojančių PGF</w:t>
      </w:r>
      <w:r w:rsidR="0077560A">
        <w:rPr>
          <w:rFonts w:ascii="Times New Roman" w:hAnsi="Times New Roman"/>
          <w:sz w:val="24"/>
          <w:szCs w:val="24"/>
        </w:rPr>
        <w:t>2</w:t>
      </w:r>
      <w:r w:rsidRPr="000C696D">
        <w:rPr>
          <w:rFonts w:ascii="Times New Roman" w:hAnsi="Times New Roman"/>
          <w:sz w:val="24"/>
          <w:szCs w:val="24"/>
        </w:rPr>
        <w:t xml:space="preserve"> priemonės įgyvendinimą, pakeitimais, Audito institucijų rekomendacijomis; </w:t>
      </w:r>
    </w:p>
    <w:p w14:paraId="16DBB093" w14:textId="5F8269A3" w:rsidR="001E35B1" w:rsidRPr="000C696D" w:rsidRDefault="004A3C92"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Pr>
          <w:rFonts w:ascii="Times New Roman" w:hAnsi="Times New Roman"/>
          <w:sz w:val="24"/>
          <w:szCs w:val="24"/>
        </w:rPr>
        <w:t>s</w:t>
      </w:r>
      <w:r w:rsidR="00F45D61">
        <w:rPr>
          <w:rFonts w:ascii="Times New Roman" w:hAnsi="Times New Roman"/>
          <w:sz w:val="24"/>
          <w:szCs w:val="24"/>
        </w:rPr>
        <w:t>usiję su</w:t>
      </w:r>
      <w:r w:rsidR="001E35B1" w:rsidRPr="000C696D">
        <w:rPr>
          <w:rFonts w:ascii="Times New Roman" w:hAnsi="Times New Roman"/>
          <w:sz w:val="24"/>
          <w:szCs w:val="24"/>
        </w:rPr>
        <w:t xml:space="preserve"> PGF</w:t>
      </w:r>
      <w:r w:rsidR="0077560A">
        <w:rPr>
          <w:rFonts w:ascii="Times New Roman" w:hAnsi="Times New Roman"/>
          <w:sz w:val="24"/>
          <w:szCs w:val="24"/>
        </w:rPr>
        <w:t>2</w:t>
      </w:r>
      <w:r w:rsidR="001E35B1" w:rsidRPr="000C696D">
        <w:rPr>
          <w:rFonts w:ascii="Times New Roman" w:hAnsi="Times New Roman"/>
          <w:sz w:val="24"/>
          <w:szCs w:val="24"/>
        </w:rPr>
        <w:t xml:space="preserve"> priemonei nustatytų rodiklių įgyvendinimu ir pan.;</w:t>
      </w:r>
    </w:p>
    <w:p w14:paraId="0511AEEE" w14:textId="77777777" w:rsidR="001E35B1" w:rsidRPr="000C696D" w:rsidRDefault="001E35B1"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Garantijos mokesčio ir išieškotų skolų INVEGOS fondui mokėjimo terminų, Tinkamumo laikotarpio bei Faktoringo avansų išmokėjimo laikotarpio keitima</w:t>
      </w:r>
      <w:r w:rsidR="006D2BB0" w:rsidRPr="000C696D">
        <w:rPr>
          <w:rFonts w:ascii="Times New Roman" w:hAnsi="Times New Roman"/>
          <w:sz w:val="24"/>
          <w:szCs w:val="24"/>
        </w:rPr>
        <w:t>i</w:t>
      </w:r>
      <w:r w:rsidRPr="000C696D">
        <w:rPr>
          <w:rFonts w:ascii="Times New Roman" w:hAnsi="Times New Roman"/>
          <w:sz w:val="24"/>
          <w:szCs w:val="24"/>
        </w:rPr>
        <w:t>;</w:t>
      </w:r>
    </w:p>
    <w:p w14:paraId="1270846E" w14:textId="77777777" w:rsidR="001E35B1" w:rsidRPr="000C696D" w:rsidRDefault="001E35B1"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Sutarto Portfelio dydžio keitima</w:t>
      </w:r>
      <w:r w:rsidR="006D2BB0" w:rsidRPr="000C696D">
        <w:rPr>
          <w:rFonts w:ascii="Times New Roman" w:hAnsi="Times New Roman"/>
          <w:sz w:val="24"/>
          <w:szCs w:val="24"/>
        </w:rPr>
        <w:t>i</w:t>
      </w:r>
      <w:r w:rsidRPr="000C696D">
        <w:rPr>
          <w:rFonts w:ascii="Times New Roman" w:hAnsi="Times New Roman"/>
          <w:sz w:val="24"/>
          <w:szCs w:val="24"/>
        </w:rPr>
        <w:t xml:space="preserve">, </w:t>
      </w:r>
      <w:r w:rsidR="006D2BB0" w:rsidRPr="000C696D">
        <w:rPr>
          <w:rFonts w:ascii="Times New Roman" w:hAnsi="Times New Roman"/>
          <w:sz w:val="24"/>
          <w:szCs w:val="24"/>
        </w:rPr>
        <w:t>Apraše</w:t>
      </w:r>
      <w:r w:rsidRPr="000C696D">
        <w:rPr>
          <w:rFonts w:ascii="Times New Roman" w:hAnsi="Times New Roman"/>
          <w:sz w:val="24"/>
          <w:szCs w:val="24"/>
        </w:rPr>
        <w:t xml:space="preserve"> nurodytais atvejais padidinus ar sumažinus </w:t>
      </w:r>
      <w:r w:rsidR="00583768" w:rsidRPr="000C696D">
        <w:rPr>
          <w:rFonts w:ascii="Times New Roman" w:hAnsi="Times New Roman"/>
          <w:sz w:val="24"/>
          <w:szCs w:val="24"/>
        </w:rPr>
        <w:t>FT</w:t>
      </w:r>
      <w:r w:rsidRPr="000C696D">
        <w:rPr>
          <w:rFonts w:ascii="Times New Roman" w:hAnsi="Times New Roman"/>
          <w:sz w:val="24"/>
          <w:szCs w:val="24"/>
        </w:rPr>
        <w:t xml:space="preserve"> </w:t>
      </w:r>
      <w:r w:rsidR="00F45D61" w:rsidRPr="000C696D">
        <w:rPr>
          <w:rFonts w:ascii="Times New Roman" w:hAnsi="Times New Roman"/>
          <w:sz w:val="24"/>
          <w:szCs w:val="24"/>
        </w:rPr>
        <w:t xml:space="preserve">skirtų </w:t>
      </w:r>
      <w:r w:rsidRPr="000C696D">
        <w:rPr>
          <w:rFonts w:ascii="Times New Roman" w:hAnsi="Times New Roman"/>
          <w:sz w:val="24"/>
          <w:szCs w:val="24"/>
        </w:rPr>
        <w:t>PGF</w:t>
      </w:r>
      <w:r w:rsidR="006D2BB0" w:rsidRPr="000C696D">
        <w:rPr>
          <w:rFonts w:ascii="Times New Roman" w:hAnsi="Times New Roman"/>
          <w:sz w:val="24"/>
          <w:szCs w:val="24"/>
        </w:rPr>
        <w:t>2</w:t>
      </w:r>
      <w:r w:rsidRPr="000C696D">
        <w:rPr>
          <w:rFonts w:ascii="Times New Roman" w:hAnsi="Times New Roman"/>
          <w:sz w:val="24"/>
          <w:szCs w:val="24"/>
        </w:rPr>
        <w:t xml:space="preserve"> priemo</w:t>
      </w:r>
      <w:r w:rsidR="00F45D61">
        <w:rPr>
          <w:rFonts w:ascii="Times New Roman" w:hAnsi="Times New Roman"/>
          <w:sz w:val="24"/>
          <w:szCs w:val="24"/>
        </w:rPr>
        <w:t>nės</w:t>
      </w:r>
      <w:r w:rsidRPr="000C696D">
        <w:rPr>
          <w:rFonts w:ascii="Times New Roman" w:hAnsi="Times New Roman"/>
          <w:sz w:val="24"/>
          <w:szCs w:val="24"/>
        </w:rPr>
        <w:t xml:space="preserve"> lėšų</w:t>
      </w:r>
      <w:r w:rsidRPr="000C696D" w:rsidDel="008914E8">
        <w:rPr>
          <w:rFonts w:ascii="Times New Roman" w:hAnsi="Times New Roman"/>
          <w:sz w:val="24"/>
          <w:szCs w:val="24"/>
        </w:rPr>
        <w:t xml:space="preserve"> </w:t>
      </w:r>
      <w:r w:rsidRPr="000C696D">
        <w:rPr>
          <w:rFonts w:ascii="Times New Roman" w:hAnsi="Times New Roman"/>
          <w:sz w:val="24"/>
          <w:szCs w:val="24"/>
        </w:rPr>
        <w:t>sumą;</w:t>
      </w:r>
    </w:p>
    <w:p w14:paraId="01952AA2" w14:textId="77777777" w:rsidR="001E35B1" w:rsidRPr="000C696D" w:rsidRDefault="001E35B1"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PGF</w:t>
      </w:r>
      <w:r w:rsidR="006D2BB0" w:rsidRPr="000C696D">
        <w:rPr>
          <w:rFonts w:ascii="Times New Roman" w:hAnsi="Times New Roman"/>
          <w:sz w:val="24"/>
          <w:szCs w:val="24"/>
        </w:rPr>
        <w:t>2</w:t>
      </w:r>
      <w:r w:rsidRPr="000C696D">
        <w:rPr>
          <w:rFonts w:ascii="Times New Roman" w:hAnsi="Times New Roman"/>
          <w:sz w:val="24"/>
          <w:szCs w:val="24"/>
        </w:rPr>
        <w:t xml:space="preserve"> priemonės įgyvendinimo grafiko keitimas padidinus arba sumažinus </w:t>
      </w:r>
      <w:r w:rsidR="00583768" w:rsidRPr="000C696D">
        <w:rPr>
          <w:rFonts w:ascii="Times New Roman" w:hAnsi="Times New Roman"/>
          <w:sz w:val="24"/>
          <w:szCs w:val="24"/>
        </w:rPr>
        <w:t>FT</w:t>
      </w:r>
      <w:r w:rsidRPr="000C696D">
        <w:rPr>
          <w:rFonts w:ascii="Times New Roman" w:hAnsi="Times New Roman"/>
          <w:sz w:val="24"/>
          <w:szCs w:val="24"/>
        </w:rPr>
        <w:t xml:space="preserve"> </w:t>
      </w:r>
      <w:r w:rsidR="00F45D61" w:rsidRPr="000C696D">
        <w:rPr>
          <w:rFonts w:ascii="Times New Roman" w:hAnsi="Times New Roman"/>
          <w:sz w:val="24"/>
          <w:szCs w:val="24"/>
        </w:rPr>
        <w:t xml:space="preserve">skirtų </w:t>
      </w:r>
      <w:r w:rsidRPr="000C696D">
        <w:rPr>
          <w:rFonts w:ascii="Times New Roman" w:hAnsi="Times New Roman"/>
          <w:sz w:val="24"/>
          <w:szCs w:val="24"/>
        </w:rPr>
        <w:t>PGF</w:t>
      </w:r>
      <w:r w:rsidR="006D2BB0" w:rsidRPr="000C696D">
        <w:rPr>
          <w:rFonts w:ascii="Times New Roman" w:hAnsi="Times New Roman"/>
          <w:sz w:val="24"/>
          <w:szCs w:val="24"/>
        </w:rPr>
        <w:t>2</w:t>
      </w:r>
      <w:r w:rsidRPr="000C696D">
        <w:rPr>
          <w:rFonts w:ascii="Times New Roman" w:hAnsi="Times New Roman"/>
          <w:sz w:val="24"/>
          <w:szCs w:val="24"/>
        </w:rPr>
        <w:t xml:space="preserve"> priemon</w:t>
      </w:r>
      <w:r w:rsidR="00F45D61">
        <w:rPr>
          <w:rFonts w:ascii="Times New Roman" w:hAnsi="Times New Roman"/>
          <w:sz w:val="24"/>
          <w:szCs w:val="24"/>
        </w:rPr>
        <w:t xml:space="preserve">ės </w:t>
      </w:r>
      <w:r w:rsidRPr="000C696D">
        <w:rPr>
          <w:rFonts w:ascii="Times New Roman" w:hAnsi="Times New Roman"/>
          <w:sz w:val="24"/>
          <w:szCs w:val="24"/>
        </w:rPr>
        <w:t>lėšų sumą;</w:t>
      </w:r>
    </w:p>
    <w:p w14:paraId="529144F1" w14:textId="77777777" w:rsidR="001E35B1" w:rsidRPr="000C696D" w:rsidRDefault="00E87AAE"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S</w:t>
      </w:r>
      <w:r w:rsidR="001E35B1" w:rsidRPr="000C696D">
        <w:rPr>
          <w:rFonts w:ascii="Times New Roman" w:hAnsi="Times New Roman"/>
          <w:sz w:val="24"/>
          <w:szCs w:val="24"/>
        </w:rPr>
        <w:t>utarties termino pratęsimas, tuo atveju, jeigu yra pratęsiamas PGF</w:t>
      </w:r>
      <w:r w:rsidR="003D2517">
        <w:rPr>
          <w:rFonts w:ascii="Times New Roman" w:hAnsi="Times New Roman"/>
          <w:sz w:val="24"/>
          <w:szCs w:val="24"/>
        </w:rPr>
        <w:t>2</w:t>
      </w:r>
      <w:r w:rsidR="001E35B1" w:rsidRPr="000C696D">
        <w:rPr>
          <w:rFonts w:ascii="Times New Roman" w:hAnsi="Times New Roman"/>
          <w:sz w:val="24"/>
          <w:szCs w:val="24"/>
        </w:rPr>
        <w:t xml:space="preserve"> priemonės Tinkamumo laikotarpis;</w:t>
      </w:r>
    </w:p>
    <w:p w14:paraId="2A0EC551" w14:textId="77777777" w:rsidR="00FA2FDC" w:rsidRPr="000C696D" w:rsidRDefault="003E1FB9" w:rsidP="00035106">
      <w:pPr>
        <w:pStyle w:val="ListParagraph"/>
        <w:numPr>
          <w:ilvl w:val="2"/>
          <w:numId w:val="5"/>
        </w:numPr>
        <w:tabs>
          <w:tab w:val="left" w:pos="851"/>
          <w:tab w:val="left" w:pos="1134"/>
          <w:tab w:val="left" w:pos="1418"/>
        </w:tabs>
        <w:spacing w:after="0" w:line="240" w:lineRule="auto"/>
        <w:ind w:left="0" w:firstLine="426"/>
        <w:jc w:val="both"/>
        <w:rPr>
          <w:rFonts w:ascii="Times New Roman" w:hAnsi="Times New Roman"/>
          <w:sz w:val="24"/>
          <w:szCs w:val="24"/>
        </w:rPr>
      </w:pPr>
      <w:r>
        <w:rPr>
          <w:rFonts w:ascii="Times New Roman" w:hAnsi="Times New Roman"/>
          <w:sz w:val="24"/>
          <w:szCs w:val="24"/>
        </w:rPr>
        <w:t>FT</w:t>
      </w:r>
      <w:r w:rsidR="001E35B1" w:rsidRPr="000C696D">
        <w:rPr>
          <w:rFonts w:ascii="Times New Roman" w:hAnsi="Times New Roman"/>
          <w:sz w:val="24"/>
          <w:szCs w:val="24"/>
        </w:rPr>
        <w:t xml:space="preserve"> teikiamų ataskaitų formų ir jų pateikimo tvarkos keitimai.</w:t>
      </w:r>
    </w:p>
    <w:p w14:paraId="13B48BB8" w14:textId="291B6E14" w:rsidR="001E35B1" w:rsidRPr="000C696D" w:rsidRDefault="00F45D61" w:rsidP="003A0F59">
      <w:pPr>
        <w:pStyle w:val="ListParagraph"/>
        <w:numPr>
          <w:ilvl w:val="1"/>
          <w:numId w:val="5"/>
        </w:numPr>
        <w:tabs>
          <w:tab w:val="left" w:pos="993"/>
          <w:tab w:val="left" w:pos="1418"/>
        </w:tabs>
        <w:spacing w:after="0" w:line="240" w:lineRule="auto"/>
        <w:ind w:left="0" w:firstLine="426"/>
        <w:jc w:val="both"/>
        <w:rPr>
          <w:rFonts w:ascii="Times New Roman" w:hAnsi="Times New Roman"/>
          <w:sz w:val="24"/>
          <w:szCs w:val="24"/>
        </w:rPr>
      </w:pPr>
      <w:r>
        <w:rPr>
          <w:rFonts w:ascii="Times New Roman" w:hAnsi="Times New Roman"/>
          <w:sz w:val="24"/>
          <w:szCs w:val="24"/>
        </w:rPr>
        <w:t>K</w:t>
      </w:r>
      <w:r w:rsidR="0067403A" w:rsidRPr="000C696D">
        <w:rPr>
          <w:rFonts w:ascii="Times New Roman" w:hAnsi="Times New Roman"/>
          <w:sz w:val="24"/>
          <w:szCs w:val="24"/>
        </w:rPr>
        <w:t>iti</w:t>
      </w:r>
      <w:r>
        <w:rPr>
          <w:rFonts w:ascii="Times New Roman" w:hAnsi="Times New Roman"/>
          <w:sz w:val="24"/>
          <w:szCs w:val="24"/>
        </w:rPr>
        <w:t xml:space="preserve"> Sutarties</w:t>
      </w:r>
      <w:r w:rsidR="0067403A" w:rsidRPr="000C696D">
        <w:rPr>
          <w:rFonts w:ascii="Times New Roman" w:hAnsi="Times New Roman"/>
          <w:sz w:val="24"/>
          <w:szCs w:val="24"/>
        </w:rPr>
        <w:t xml:space="preserve"> keitimai</w:t>
      </w:r>
      <w:r w:rsidR="004A3DE3">
        <w:rPr>
          <w:rFonts w:ascii="Times New Roman" w:hAnsi="Times New Roman"/>
          <w:sz w:val="24"/>
          <w:szCs w:val="24"/>
        </w:rPr>
        <w:t xml:space="preserve"> atliekami </w:t>
      </w:r>
      <w:r>
        <w:rPr>
          <w:rFonts w:ascii="Times New Roman" w:hAnsi="Times New Roman"/>
          <w:sz w:val="24"/>
          <w:szCs w:val="24"/>
        </w:rPr>
        <w:t>laikantis Lietuvos Respublikos civilinio kodekso nuostatų ir</w:t>
      </w:r>
      <w:r w:rsidR="004A3C92">
        <w:rPr>
          <w:rFonts w:ascii="Times New Roman" w:hAnsi="Times New Roman"/>
          <w:sz w:val="24"/>
          <w:szCs w:val="24"/>
        </w:rPr>
        <w:t>,</w:t>
      </w:r>
      <w:r>
        <w:rPr>
          <w:rFonts w:ascii="Times New Roman" w:hAnsi="Times New Roman"/>
          <w:sz w:val="24"/>
          <w:szCs w:val="24"/>
        </w:rPr>
        <w:t xml:space="preserve"> tik jei neprieštarauja PGF2 priemonės įgyvendinimo sąlygoms</w:t>
      </w:r>
      <w:r w:rsidR="001E35B1" w:rsidRPr="000C696D">
        <w:rPr>
          <w:rFonts w:ascii="Times New Roman" w:hAnsi="Times New Roman"/>
          <w:sz w:val="24"/>
          <w:szCs w:val="24"/>
        </w:rPr>
        <w:t>.</w:t>
      </w:r>
    </w:p>
    <w:p w14:paraId="6F0263FB" w14:textId="08C2C618" w:rsidR="00035106" w:rsidRDefault="00035106">
      <w:pPr>
        <w:spacing w:after="0" w:line="240" w:lineRule="auto"/>
        <w:rPr>
          <w:rFonts w:ascii="Bookman Old Style" w:hAnsi="Bookman Old Style"/>
        </w:rPr>
      </w:pPr>
      <w:r>
        <w:rPr>
          <w:rFonts w:ascii="Bookman Old Style" w:hAnsi="Bookman Old Style"/>
        </w:rPr>
        <w:br w:type="page"/>
      </w:r>
    </w:p>
    <w:p w14:paraId="5868F847" w14:textId="023C9292" w:rsidR="0014063E" w:rsidRPr="00464FB9" w:rsidRDefault="0014063E" w:rsidP="0014063E">
      <w:pPr>
        <w:tabs>
          <w:tab w:val="left" w:pos="1418"/>
        </w:tabs>
        <w:spacing w:after="0" w:line="240" w:lineRule="auto"/>
        <w:ind w:left="993"/>
        <w:contextualSpacing/>
        <w:jc w:val="right"/>
        <w:rPr>
          <w:rFonts w:ascii="Times New Roman" w:hAnsi="Times New Roman"/>
          <w:lang w:eastAsia="lt-LT"/>
        </w:rPr>
      </w:pPr>
      <w:r w:rsidRPr="00531CBF">
        <w:rPr>
          <w:rFonts w:ascii="Times New Roman" w:hAnsi="Times New Roman"/>
          <w:lang w:eastAsia="lt-LT"/>
        </w:rPr>
        <w:lastRenderedPageBreak/>
        <w:t xml:space="preserve">Aprašo </w:t>
      </w:r>
      <w:r>
        <w:rPr>
          <w:rFonts w:ascii="Times New Roman" w:hAnsi="Times New Roman"/>
          <w:lang w:val="en-US" w:eastAsia="lt-LT"/>
        </w:rPr>
        <w:t>1</w:t>
      </w:r>
      <w:r w:rsidRPr="00464FB9">
        <w:rPr>
          <w:rFonts w:ascii="Times New Roman" w:hAnsi="Times New Roman"/>
          <w:lang w:eastAsia="lt-LT"/>
        </w:rPr>
        <w:t xml:space="preserve"> priedas</w:t>
      </w:r>
    </w:p>
    <w:p w14:paraId="7B1464B9" w14:textId="6AECBE58" w:rsidR="0014063E" w:rsidRPr="0004231A" w:rsidRDefault="0006097C" w:rsidP="0014063E">
      <w:pPr>
        <w:autoSpaceDE w:val="0"/>
        <w:autoSpaceDN w:val="0"/>
        <w:adjustRightInd w:val="0"/>
        <w:spacing w:after="0" w:line="240" w:lineRule="auto"/>
        <w:ind w:firstLine="851"/>
        <w:jc w:val="right"/>
        <w:rPr>
          <w:rFonts w:ascii="Times New Roman" w:hAnsi="Times New Roman"/>
          <w:bCs/>
          <w:i/>
        </w:rPr>
      </w:pPr>
      <w:r>
        <w:rPr>
          <w:rFonts w:ascii="Times New Roman" w:hAnsi="Times New Roman"/>
          <w:bCs/>
          <w:iCs/>
        </w:rPr>
        <w:t>Pagrindinės sąlygos</w:t>
      </w:r>
    </w:p>
    <w:p w14:paraId="368F0C49" w14:textId="77777777" w:rsidR="0004231A" w:rsidRDefault="0004231A" w:rsidP="00035106">
      <w:pPr>
        <w:autoSpaceDE w:val="0"/>
        <w:autoSpaceDN w:val="0"/>
        <w:adjustRightInd w:val="0"/>
        <w:spacing w:after="0" w:line="240" w:lineRule="auto"/>
        <w:ind w:firstLine="851"/>
        <w:jc w:val="center"/>
        <w:rPr>
          <w:rFonts w:ascii="Times New Roman" w:hAnsi="Times New Roman"/>
          <w:b/>
          <w:iCs/>
          <w:sz w:val="24"/>
          <w:szCs w:val="24"/>
        </w:rPr>
      </w:pPr>
    </w:p>
    <w:p w14:paraId="1A1A9EDA" w14:textId="4344842A" w:rsidR="00035106" w:rsidRPr="003A0F59" w:rsidRDefault="00035106" w:rsidP="00035106">
      <w:pPr>
        <w:autoSpaceDE w:val="0"/>
        <w:autoSpaceDN w:val="0"/>
        <w:adjustRightInd w:val="0"/>
        <w:spacing w:after="0" w:line="240" w:lineRule="auto"/>
        <w:ind w:firstLine="851"/>
        <w:jc w:val="center"/>
        <w:rPr>
          <w:rFonts w:ascii="Times New Roman" w:hAnsi="Times New Roman"/>
          <w:b/>
          <w:iCs/>
          <w:sz w:val="24"/>
          <w:szCs w:val="24"/>
        </w:rPr>
      </w:pPr>
      <w:r w:rsidRPr="003A0F59">
        <w:rPr>
          <w:rFonts w:ascii="Times New Roman" w:hAnsi="Times New Roman"/>
          <w:b/>
          <w:iCs/>
          <w:sz w:val="24"/>
          <w:szCs w:val="24"/>
        </w:rPr>
        <w:t xml:space="preserve">PAGRINDINĖS PRIEMONĖS </w:t>
      </w:r>
    </w:p>
    <w:p w14:paraId="0A4CD143" w14:textId="203D7BAD" w:rsidR="00035106" w:rsidRPr="003A0F59" w:rsidRDefault="00035106" w:rsidP="003A0F59">
      <w:pPr>
        <w:autoSpaceDE w:val="0"/>
        <w:autoSpaceDN w:val="0"/>
        <w:adjustRightInd w:val="0"/>
        <w:spacing w:after="0" w:line="240" w:lineRule="auto"/>
        <w:ind w:firstLine="851"/>
        <w:jc w:val="center"/>
        <w:rPr>
          <w:rFonts w:ascii="Times New Roman" w:hAnsi="Times New Roman"/>
          <w:b/>
          <w:iCs/>
          <w:sz w:val="24"/>
          <w:szCs w:val="24"/>
        </w:rPr>
      </w:pPr>
      <w:r w:rsidRPr="003A0F59">
        <w:rPr>
          <w:rFonts w:ascii="Times New Roman" w:hAnsi="Times New Roman"/>
          <w:b/>
          <w:iCs/>
          <w:sz w:val="24"/>
          <w:szCs w:val="24"/>
        </w:rPr>
        <w:t xml:space="preserve">„PORTFELINĖS GARANTIJOS FAKTORINGO SANDORIAMS </w:t>
      </w:r>
      <w:r w:rsidRPr="003A0F59">
        <w:rPr>
          <w:rFonts w:ascii="Times New Roman" w:hAnsi="Times New Roman"/>
          <w:b/>
          <w:iCs/>
          <w:sz w:val="24"/>
          <w:szCs w:val="24"/>
          <w:lang w:val="en-US"/>
        </w:rPr>
        <w:t>2</w:t>
      </w:r>
      <w:r w:rsidRPr="003A0F59">
        <w:rPr>
          <w:rFonts w:ascii="Times New Roman" w:hAnsi="Times New Roman"/>
          <w:b/>
          <w:iCs/>
          <w:sz w:val="24"/>
          <w:szCs w:val="24"/>
        </w:rPr>
        <w:t>“ SĄLYGOS</w:t>
      </w:r>
      <w:r w:rsidR="003A0F59" w:rsidRPr="003A0F59">
        <w:rPr>
          <w:rFonts w:ascii="Times New Roman" w:hAnsi="Times New Roman"/>
          <w:b/>
          <w:iCs/>
          <w:sz w:val="24"/>
          <w:szCs w:val="24"/>
        </w:rPr>
        <w:t xml:space="preserve"> </w:t>
      </w:r>
    </w:p>
    <w:p w14:paraId="4004B66E" w14:textId="77777777" w:rsidR="00035106" w:rsidRDefault="00035106" w:rsidP="00035106">
      <w:pPr>
        <w:autoSpaceDE w:val="0"/>
        <w:autoSpaceDN w:val="0"/>
        <w:adjustRightInd w:val="0"/>
        <w:spacing w:after="0" w:line="240" w:lineRule="auto"/>
        <w:ind w:firstLine="851"/>
        <w:jc w:val="center"/>
        <w:rPr>
          <w:rFonts w:ascii="Times New Roman" w:hAnsi="Times New Roman"/>
          <w:b/>
          <w:i/>
          <w:sz w:val="24"/>
          <w:szCs w:val="24"/>
        </w:rPr>
      </w:pPr>
    </w:p>
    <w:p w14:paraId="0FD7718E" w14:textId="77777777" w:rsidR="00035106" w:rsidRPr="00DC12B4" w:rsidRDefault="00035106" w:rsidP="00035106">
      <w:pPr>
        <w:autoSpaceDE w:val="0"/>
        <w:autoSpaceDN w:val="0"/>
        <w:adjustRightInd w:val="0"/>
        <w:spacing w:after="0" w:line="240" w:lineRule="auto"/>
        <w:ind w:firstLine="851"/>
        <w:jc w:val="center"/>
        <w:rPr>
          <w:rFonts w:ascii="Times New Roman" w:hAnsi="Times New Roman"/>
          <w:b/>
          <w:i/>
          <w:sz w:val="24"/>
          <w:szCs w:val="24"/>
        </w:rPr>
      </w:pPr>
    </w:p>
    <w:p w14:paraId="572C1506" w14:textId="77777777" w:rsidR="00035106" w:rsidRDefault="00035106" w:rsidP="00035106">
      <w:pPr>
        <w:numPr>
          <w:ilvl w:val="0"/>
          <w:numId w:val="1"/>
        </w:numPr>
        <w:autoSpaceDE w:val="0"/>
        <w:autoSpaceDN w:val="0"/>
        <w:adjustRightInd w:val="0"/>
        <w:spacing w:after="0" w:line="240" w:lineRule="auto"/>
        <w:ind w:left="720"/>
        <w:jc w:val="center"/>
        <w:rPr>
          <w:rFonts w:ascii="Times New Roman" w:hAnsi="Times New Roman"/>
          <w:b/>
          <w:bCs/>
          <w:sz w:val="24"/>
          <w:szCs w:val="24"/>
        </w:rPr>
      </w:pPr>
      <w:r>
        <w:rPr>
          <w:rFonts w:ascii="Times New Roman" w:hAnsi="Times New Roman"/>
          <w:b/>
          <w:bCs/>
          <w:sz w:val="24"/>
          <w:szCs w:val="24"/>
        </w:rPr>
        <w:t xml:space="preserve">BENDROJI </w:t>
      </w:r>
      <w:r w:rsidRPr="00C366A5">
        <w:rPr>
          <w:rFonts w:ascii="Times New Roman" w:hAnsi="Times New Roman"/>
          <w:b/>
          <w:bCs/>
          <w:sz w:val="24"/>
          <w:szCs w:val="24"/>
        </w:rPr>
        <w:t>INFORMACIJA</w:t>
      </w:r>
    </w:p>
    <w:p w14:paraId="512F691C" w14:textId="77777777" w:rsidR="00035106" w:rsidRPr="00C366A5" w:rsidRDefault="00035106" w:rsidP="00035106">
      <w:pPr>
        <w:autoSpaceDE w:val="0"/>
        <w:autoSpaceDN w:val="0"/>
        <w:adjustRightInd w:val="0"/>
        <w:spacing w:after="0" w:line="240" w:lineRule="auto"/>
        <w:ind w:left="720"/>
        <w:rPr>
          <w:rFonts w:ascii="Times New Roman" w:hAnsi="Times New Roman"/>
          <w:b/>
          <w:bCs/>
          <w:sz w:val="24"/>
          <w:szCs w:val="24"/>
        </w:rPr>
      </w:pPr>
    </w:p>
    <w:p w14:paraId="22E04086" w14:textId="77777777" w:rsidR="00035106" w:rsidRDefault="00035106" w:rsidP="00035106">
      <w:pPr>
        <w:autoSpaceDE w:val="0"/>
        <w:autoSpaceDN w:val="0"/>
        <w:adjustRightInd w:val="0"/>
        <w:spacing w:after="0" w:line="240" w:lineRule="auto"/>
        <w:ind w:firstLine="851"/>
        <w:jc w:val="both"/>
        <w:rPr>
          <w:rFonts w:ascii="Times New Roman" w:hAnsi="Times New Roman"/>
          <w:b/>
          <w:bCs/>
          <w:sz w:val="24"/>
          <w:szCs w:val="24"/>
        </w:rPr>
      </w:pPr>
      <w:r w:rsidRPr="002E1F2A">
        <w:rPr>
          <w:rFonts w:ascii="Times New Roman" w:hAnsi="Times New Roman"/>
          <w:b/>
          <w:bCs/>
          <w:sz w:val="24"/>
          <w:szCs w:val="24"/>
        </w:rPr>
        <w:t xml:space="preserve">1.1. </w:t>
      </w:r>
      <w:r>
        <w:rPr>
          <w:rFonts w:ascii="Times New Roman" w:hAnsi="Times New Roman"/>
          <w:b/>
          <w:bCs/>
          <w:sz w:val="24"/>
          <w:szCs w:val="24"/>
        </w:rPr>
        <w:t>Kvietimo tikslas</w:t>
      </w:r>
    </w:p>
    <w:p w14:paraId="101816FF" w14:textId="77777777" w:rsidR="00035106" w:rsidRDefault="00035106" w:rsidP="00035106">
      <w:pPr>
        <w:autoSpaceDE w:val="0"/>
        <w:autoSpaceDN w:val="0"/>
        <w:adjustRightInd w:val="0"/>
        <w:spacing w:after="0" w:line="240" w:lineRule="auto"/>
        <w:ind w:firstLine="851"/>
        <w:jc w:val="both"/>
        <w:rPr>
          <w:rFonts w:ascii="Times New Roman" w:hAnsi="Times New Roman"/>
          <w:b/>
          <w:bCs/>
          <w:sz w:val="24"/>
          <w:szCs w:val="24"/>
        </w:rPr>
      </w:pPr>
    </w:p>
    <w:p w14:paraId="0736DE9A" w14:textId="6628EFA1" w:rsidR="00035106" w:rsidRPr="002E1F2A" w:rsidRDefault="00035106" w:rsidP="00035106">
      <w:pPr>
        <w:autoSpaceDE w:val="0"/>
        <w:autoSpaceDN w:val="0"/>
        <w:adjustRightInd w:val="0"/>
        <w:spacing w:after="0" w:line="240" w:lineRule="auto"/>
        <w:ind w:firstLine="851"/>
        <w:jc w:val="both"/>
        <w:rPr>
          <w:rFonts w:ascii="Times New Roman" w:hAnsi="Times New Roman"/>
          <w:sz w:val="24"/>
          <w:szCs w:val="24"/>
        </w:rPr>
      </w:pPr>
      <w:r w:rsidRPr="00E13B4F">
        <w:rPr>
          <w:rFonts w:ascii="Times New Roman" w:hAnsi="Times New Roman"/>
          <w:sz w:val="24"/>
          <w:szCs w:val="24"/>
        </w:rPr>
        <w:t>Organizuojam</w:t>
      </w:r>
      <w:r>
        <w:rPr>
          <w:rFonts w:ascii="Times New Roman" w:hAnsi="Times New Roman"/>
          <w:sz w:val="24"/>
          <w:szCs w:val="24"/>
        </w:rPr>
        <w:t>u kvietimu siekiama sudaryti sutartis su</w:t>
      </w:r>
      <w:r w:rsidRPr="00E13B4F">
        <w:rPr>
          <w:rFonts w:ascii="Times New Roman" w:hAnsi="Times New Roman"/>
          <w:sz w:val="24"/>
          <w:szCs w:val="24"/>
        </w:rPr>
        <w:t xml:space="preserve"> finansų inžinerijos priemon</w:t>
      </w:r>
      <w:r>
        <w:rPr>
          <w:rFonts w:ascii="Times New Roman" w:hAnsi="Times New Roman"/>
          <w:sz w:val="24"/>
          <w:szCs w:val="24"/>
        </w:rPr>
        <w:t>ės</w:t>
      </w:r>
      <w:r w:rsidRPr="00E13B4F">
        <w:rPr>
          <w:rFonts w:ascii="Times New Roman" w:hAnsi="Times New Roman"/>
          <w:sz w:val="24"/>
          <w:szCs w:val="24"/>
        </w:rPr>
        <w:t xml:space="preserve"> „P</w:t>
      </w:r>
      <w:r w:rsidRPr="006968FD">
        <w:rPr>
          <w:rFonts w:ascii="Times New Roman" w:hAnsi="Times New Roman"/>
          <w:sz w:val="24"/>
        </w:rPr>
        <w:t>ortfelinės garantijos faktoringo sandoriams</w:t>
      </w:r>
      <w:r>
        <w:rPr>
          <w:rFonts w:ascii="Times New Roman" w:hAnsi="Times New Roman"/>
          <w:sz w:val="24"/>
        </w:rPr>
        <w:t xml:space="preserve"> 2</w:t>
      </w:r>
      <w:r w:rsidRPr="00E13B4F">
        <w:rPr>
          <w:rFonts w:ascii="Times New Roman" w:hAnsi="Times New Roman"/>
          <w:sz w:val="24"/>
          <w:szCs w:val="24"/>
        </w:rPr>
        <w:t xml:space="preserve">“ (toliau – </w:t>
      </w:r>
      <w:r>
        <w:rPr>
          <w:rFonts w:ascii="Times New Roman" w:hAnsi="Times New Roman"/>
          <w:sz w:val="24"/>
          <w:szCs w:val="24"/>
        </w:rPr>
        <w:t>PGF2</w:t>
      </w:r>
      <w:r w:rsidRPr="00E13B4F">
        <w:rPr>
          <w:rFonts w:ascii="Times New Roman" w:hAnsi="Times New Roman"/>
          <w:sz w:val="24"/>
          <w:szCs w:val="24"/>
        </w:rPr>
        <w:t xml:space="preserve"> priemonė)</w:t>
      </w:r>
      <w:r>
        <w:rPr>
          <w:rFonts w:ascii="Times New Roman" w:hAnsi="Times New Roman"/>
          <w:sz w:val="24"/>
          <w:szCs w:val="24"/>
        </w:rPr>
        <w:t xml:space="preserve"> finansų tarpininkais (toliau – PGF2 priemonės valdytojai), kurie, </w:t>
      </w:r>
      <w:r w:rsidR="0006097C">
        <w:rPr>
          <w:rFonts w:ascii="Times New Roman" w:hAnsi="Times New Roman"/>
          <w:sz w:val="24"/>
          <w:szCs w:val="24"/>
        </w:rPr>
        <w:t>laikydamiesi nustatytų sąlygų,</w:t>
      </w:r>
      <w:r>
        <w:rPr>
          <w:rFonts w:ascii="Times New Roman" w:hAnsi="Times New Roman"/>
          <w:sz w:val="24"/>
          <w:szCs w:val="24"/>
        </w:rPr>
        <w:t xml:space="preserve"> </w:t>
      </w:r>
      <w:r w:rsidRPr="00E13B4F">
        <w:rPr>
          <w:rFonts w:ascii="Times New Roman" w:hAnsi="Times New Roman"/>
          <w:sz w:val="24"/>
          <w:szCs w:val="24"/>
        </w:rPr>
        <w:t xml:space="preserve">įgyvendins </w:t>
      </w:r>
      <w:r>
        <w:rPr>
          <w:rFonts w:ascii="Times New Roman" w:hAnsi="Times New Roman"/>
          <w:sz w:val="24"/>
          <w:szCs w:val="24"/>
        </w:rPr>
        <w:t>PGF2</w:t>
      </w:r>
      <w:r w:rsidRPr="00E13B4F">
        <w:rPr>
          <w:rFonts w:ascii="Times New Roman" w:hAnsi="Times New Roman"/>
          <w:sz w:val="24"/>
          <w:szCs w:val="24"/>
        </w:rPr>
        <w:t xml:space="preserve"> priemonę.</w:t>
      </w:r>
    </w:p>
    <w:p w14:paraId="5F0662A1" w14:textId="77777777" w:rsidR="00035106" w:rsidRDefault="00035106" w:rsidP="00035106">
      <w:pPr>
        <w:autoSpaceDE w:val="0"/>
        <w:autoSpaceDN w:val="0"/>
        <w:adjustRightInd w:val="0"/>
        <w:spacing w:after="0" w:line="240" w:lineRule="auto"/>
        <w:ind w:firstLine="851"/>
        <w:jc w:val="both"/>
        <w:rPr>
          <w:rFonts w:ascii="Times New Roman" w:hAnsi="Times New Roman"/>
          <w:b/>
          <w:bCs/>
          <w:sz w:val="24"/>
          <w:szCs w:val="24"/>
        </w:rPr>
      </w:pPr>
    </w:p>
    <w:p w14:paraId="1302AC88" w14:textId="77777777" w:rsidR="00035106" w:rsidRDefault="00035106" w:rsidP="00035106">
      <w:pPr>
        <w:autoSpaceDE w:val="0"/>
        <w:autoSpaceDN w:val="0"/>
        <w:adjustRightInd w:val="0"/>
        <w:spacing w:after="0" w:line="240" w:lineRule="auto"/>
        <w:ind w:firstLine="851"/>
        <w:jc w:val="both"/>
        <w:rPr>
          <w:rFonts w:ascii="Times New Roman" w:hAnsi="Times New Roman"/>
          <w:b/>
          <w:bCs/>
          <w:sz w:val="24"/>
          <w:szCs w:val="24"/>
        </w:rPr>
      </w:pPr>
      <w:r w:rsidRPr="002E1F2A">
        <w:rPr>
          <w:rFonts w:ascii="Times New Roman" w:hAnsi="Times New Roman"/>
          <w:b/>
          <w:bCs/>
          <w:sz w:val="24"/>
          <w:szCs w:val="24"/>
        </w:rPr>
        <w:t xml:space="preserve">1.2. </w:t>
      </w:r>
      <w:r>
        <w:rPr>
          <w:rFonts w:ascii="Times New Roman" w:hAnsi="Times New Roman"/>
          <w:b/>
          <w:bCs/>
          <w:sz w:val="24"/>
          <w:szCs w:val="24"/>
        </w:rPr>
        <w:t>PGF2</w:t>
      </w:r>
      <w:r w:rsidRPr="002E1F2A">
        <w:rPr>
          <w:rFonts w:ascii="Times New Roman" w:hAnsi="Times New Roman"/>
          <w:b/>
          <w:bCs/>
          <w:sz w:val="24"/>
          <w:szCs w:val="24"/>
        </w:rPr>
        <w:t xml:space="preserve"> priemonės aplinka</w:t>
      </w:r>
    </w:p>
    <w:p w14:paraId="68A1A26A" w14:textId="77777777" w:rsidR="00035106" w:rsidRPr="00E13B4F" w:rsidRDefault="00035106" w:rsidP="00035106">
      <w:pPr>
        <w:autoSpaceDE w:val="0"/>
        <w:autoSpaceDN w:val="0"/>
        <w:adjustRightInd w:val="0"/>
        <w:spacing w:after="0" w:line="240" w:lineRule="auto"/>
        <w:ind w:firstLine="851"/>
        <w:jc w:val="both"/>
        <w:rPr>
          <w:rFonts w:ascii="Times New Roman" w:hAnsi="Times New Roman"/>
          <w:bCs/>
          <w:sz w:val="24"/>
          <w:szCs w:val="24"/>
        </w:rPr>
      </w:pPr>
      <w:r w:rsidRPr="00E13B4F">
        <w:rPr>
          <w:rFonts w:ascii="Times New Roman" w:hAnsi="Times New Roman"/>
          <w:bCs/>
          <w:sz w:val="24"/>
          <w:szCs w:val="24"/>
        </w:rPr>
        <w:t>2009 m. balandžio 7 d. tarp Lietuvos Respublikos finansų ministerijos (toliau – FM),</w:t>
      </w:r>
      <w:r w:rsidRPr="00E13B4F">
        <w:rPr>
          <w:rFonts w:ascii="Times New Roman" w:hAnsi="Times New Roman"/>
          <w:b/>
          <w:bCs/>
          <w:sz w:val="24"/>
          <w:szCs w:val="24"/>
        </w:rPr>
        <w:t xml:space="preserve"> </w:t>
      </w:r>
      <w:r w:rsidRPr="00E13B4F">
        <w:rPr>
          <w:rFonts w:ascii="Times New Roman" w:hAnsi="Times New Roman"/>
          <w:bCs/>
          <w:sz w:val="24"/>
          <w:szCs w:val="24"/>
        </w:rPr>
        <w:t>Lietuvos Respublikos ūkio ministerijos ir „Invegos“ buvo pasirašyta Finansavimo sutartis, kuria buvo įsteigtas kontroliuojantysis fondas „INVEGOS fondas“ (toliau – INVEGOS fondas). Pagal šią sutartį INVEGOS fondo valdytoja paskirta „Invega“.</w:t>
      </w:r>
    </w:p>
    <w:p w14:paraId="1BE0A184" w14:textId="77777777" w:rsidR="00035106" w:rsidRPr="00E13B4F" w:rsidRDefault="00035106" w:rsidP="00035106">
      <w:pPr>
        <w:autoSpaceDE w:val="0"/>
        <w:autoSpaceDN w:val="0"/>
        <w:adjustRightInd w:val="0"/>
        <w:spacing w:after="0" w:line="240" w:lineRule="auto"/>
        <w:ind w:firstLine="851"/>
        <w:jc w:val="both"/>
        <w:rPr>
          <w:rFonts w:ascii="Times New Roman" w:hAnsi="Times New Roman"/>
          <w:sz w:val="24"/>
          <w:szCs w:val="24"/>
        </w:rPr>
      </w:pPr>
      <w:r w:rsidRPr="00E13B4F">
        <w:rPr>
          <w:rFonts w:ascii="Times New Roman" w:hAnsi="Times New Roman"/>
          <w:sz w:val="24"/>
          <w:szCs w:val="24"/>
        </w:rPr>
        <w:t xml:space="preserve">Pagrindiniai </w:t>
      </w:r>
      <w:r>
        <w:rPr>
          <w:rFonts w:ascii="Times New Roman" w:hAnsi="Times New Roman"/>
          <w:sz w:val="24"/>
          <w:szCs w:val="24"/>
        </w:rPr>
        <w:t>PGF2</w:t>
      </w:r>
      <w:r w:rsidRPr="00E13B4F">
        <w:rPr>
          <w:rFonts w:ascii="Times New Roman" w:hAnsi="Times New Roman"/>
          <w:sz w:val="24"/>
          <w:szCs w:val="24"/>
        </w:rPr>
        <w:t xml:space="preserve"> priemonės tikslai:</w:t>
      </w:r>
    </w:p>
    <w:p w14:paraId="13A0F2BD" w14:textId="77777777" w:rsidR="00035106" w:rsidRPr="00E13B4F" w:rsidRDefault="00035106" w:rsidP="00035106">
      <w:pPr>
        <w:numPr>
          <w:ilvl w:val="0"/>
          <w:numId w:val="16"/>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sudaryti palankesnes sąlygas labai mažoms, mažoms ir vidutinėms įmonėms (toliau</w:t>
      </w:r>
      <w:r>
        <w:rPr>
          <w:rFonts w:ascii="Times New Roman" w:hAnsi="Times New Roman"/>
          <w:sz w:val="24"/>
          <w:szCs w:val="24"/>
        </w:rPr>
        <w:t> </w:t>
      </w:r>
      <w:r w:rsidRPr="00E13B4F">
        <w:rPr>
          <w:rFonts w:ascii="Times New Roman" w:hAnsi="Times New Roman"/>
          <w:sz w:val="24"/>
          <w:szCs w:val="24"/>
        </w:rPr>
        <w:t>– MVĮ) gauti finansavimą faktoringo forma jų prekybiniams sandoriams įgyvendinti. Priemonės pagalba mažinama finansavimo rizika ir dėl šios priežasties palengvinamas faktoringo sandorių prieinamumas verslui;</w:t>
      </w:r>
    </w:p>
    <w:p w14:paraId="208CEF77" w14:textId="77777777" w:rsidR="00035106" w:rsidRPr="00E13B4F" w:rsidRDefault="00035106" w:rsidP="00035106">
      <w:pPr>
        <w:numPr>
          <w:ilvl w:val="0"/>
          <w:numId w:val="16"/>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sudaryti palankesnes sąlygas MVĮ sureguliuoti apyvartinių lėšų trūkumą pardavimams finansuoti;</w:t>
      </w:r>
    </w:p>
    <w:p w14:paraId="59CB618D" w14:textId="77777777" w:rsidR="00035106" w:rsidRPr="00E13B4F" w:rsidRDefault="00035106" w:rsidP="00035106">
      <w:pPr>
        <w:numPr>
          <w:ilvl w:val="0"/>
          <w:numId w:val="16"/>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sudaryti palankesnes sąlygas MVĮ</w:t>
      </w:r>
      <w:r w:rsidRPr="00E13B4F" w:rsidDel="00FF3D9C">
        <w:rPr>
          <w:rFonts w:ascii="Times New Roman" w:hAnsi="Times New Roman"/>
          <w:sz w:val="24"/>
          <w:szCs w:val="24"/>
        </w:rPr>
        <w:t xml:space="preserve"> </w:t>
      </w:r>
      <w:r w:rsidRPr="00E13B4F">
        <w:rPr>
          <w:rFonts w:ascii="Times New Roman" w:hAnsi="Times New Roman"/>
          <w:sz w:val="24"/>
          <w:szCs w:val="24"/>
        </w:rPr>
        <w:t>finansuoti didesnes apyvartas ir taip plėtoti jų veiklą.</w:t>
      </w:r>
    </w:p>
    <w:p w14:paraId="6A6A3656" w14:textId="28D71BDF" w:rsidR="00035106" w:rsidRDefault="00035106" w:rsidP="00035106">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PGF2 priemonės valdytojams PGF2</w:t>
      </w:r>
      <w:r w:rsidRPr="00D7217E">
        <w:rPr>
          <w:rFonts w:ascii="Times New Roman" w:eastAsia="Times New Roman" w:hAnsi="Times New Roman"/>
          <w:sz w:val="24"/>
          <w:szCs w:val="24"/>
          <w:lang w:eastAsia="lt-LT"/>
        </w:rPr>
        <w:t xml:space="preserve"> p</w:t>
      </w:r>
      <w:r w:rsidRPr="00D7217E">
        <w:rPr>
          <w:rFonts w:ascii="Times New Roman" w:hAnsi="Times New Roman"/>
          <w:sz w:val="24"/>
          <w:szCs w:val="24"/>
        </w:rPr>
        <w:t>riemon</w:t>
      </w:r>
      <w:r>
        <w:rPr>
          <w:rFonts w:ascii="Times New Roman" w:hAnsi="Times New Roman"/>
          <w:sz w:val="24"/>
          <w:szCs w:val="24"/>
        </w:rPr>
        <w:t xml:space="preserve">ės portfeliui formuoti </w:t>
      </w:r>
      <w:r w:rsidRPr="00D7217E">
        <w:rPr>
          <w:rFonts w:ascii="Times New Roman" w:hAnsi="Times New Roman"/>
          <w:sz w:val="24"/>
          <w:szCs w:val="24"/>
        </w:rPr>
        <w:t>numat</w:t>
      </w:r>
      <w:r>
        <w:rPr>
          <w:rFonts w:ascii="Times New Roman" w:hAnsi="Times New Roman"/>
          <w:sz w:val="24"/>
          <w:szCs w:val="24"/>
        </w:rPr>
        <w:t>yta</w:t>
      </w:r>
      <w:r w:rsidRPr="00D7217E">
        <w:rPr>
          <w:rFonts w:ascii="Times New Roman" w:hAnsi="Times New Roman"/>
          <w:sz w:val="24"/>
          <w:szCs w:val="24"/>
        </w:rPr>
        <w:t xml:space="preserve"> skirti </w:t>
      </w:r>
      <w:r>
        <w:rPr>
          <w:rFonts w:ascii="Times New Roman" w:hAnsi="Times New Roman"/>
          <w:sz w:val="24"/>
          <w:szCs w:val="24"/>
        </w:rPr>
        <w:t xml:space="preserve">iki </w:t>
      </w:r>
      <w:r w:rsidRPr="003F6337">
        <w:rPr>
          <w:rFonts w:ascii="Times New Roman" w:hAnsi="Times New Roman"/>
          <w:sz w:val="24"/>
        </w:rPr>
        <w:t>1</w:t>
      </w:r>
      <w:r>
        <w:rPr>
          <w:rFonts w:ascii="Times New Roman" w:hAnsi="Times New Roman"/>
          <w:sz w:val="24"/>
        </w:rPr>
        <w:t xml:space="preserve">0 </w:t>
      </w:r>
      <w:r w:rsidRPr="00D7217E">
        <w:rPr>
          <w:rFonts w:ascii="Times New Roman" w:hAnsi="Times New Roman"/>
          <w:sz w:val="24"/>
          <w:szCs w:val="24"/>
        </w:rPr>
        <w:t>mln.</w:t>
      </w:r>
      <w:r>
        <w:rPr>
          <w:rFonts w:ascii="Times New Roman" w:hAnsi="Times New Roman"/>
          <w:sz w:val="24"/>
          <w:szCs w:val="24"/>
        </w:rPr>
        <w:t xml:space="preserve"> Eur INVEGOS fondo grįžusių ir (ar) grįšiančių lėšų.</w:t>
      </w:r>
    </w:p>
    <w:p w14:paraId="07B37276" w14:textId="77777777" w:rsidR="00035106" w:rsidRPr="00D7217E" w:rsidRDefault="00035106" w:rsidP="00035106">
      <w:pPr>
        <w:autoSpaceDE w:val="0"/>
        <w:autoSpaceDN w:val="0"/>
        <w:adjustRightInd w:val="0"/>
        <w:spacing w:after="0" w:line="240" w:lineRule="auto"/>
        <w:ind w:firstLine="851"/>
        <w:jc w:val="both"/>
        <w:rPr>
          <w:rFonts w:ascii="Times New Roman" w:hAnsi="Times New Roman"/>
          <w:sz w:val="24"/>
          <w:szCs w:val="24"/>
        </w:rPr>
      </w:pPr>
    </w:p>
    <w:p w14:paraId="0A3ADDF4" w14:textId="77777777" w:rsidR="00035106" w:rsidRDefault="00035106" w:rsidP="00035106">
      <w:pPr>
        <w:numPr>
          <w:ilvl w:val="1"/>
          <w:numId w:val="1"/>
        </w:numPr>
        <w:autoSpaceDE w:val="0"/>
        <w:autoSpaceDN w:val="0"/>
        <w:adjustRightInd w:val="0"/>
        <w:spacing w:after="0" w:line="240" w:lineRule="auto"/>
        <w:jc w:val="both"/>
        <w:rPr>
          <w:rFonts w:ascii="Times New Roman" w:hAnsi="Times New Roman"/>
          <w:b/>
          <w:bCs/>
          <w:sz w:val="24"/>
          <w:szCs w:val="24"/>
        </w:rPr>
      </w:pPr>
      <w:r w:rsidRPr="00D7217E">
        <w:rPr>
          <w:rFonts w:ascii="Times New Roman" w:hAnsi="Times New Roman"/>
          <w:b/>
          <w:bCs/>
          <w:sz w:val="24"/>
          <w:szCs w:val="24"/>
        </w:rPr>
        <w:t>Reglamentuojantys teisės aktai</w:t>
      </w:r>
      <w:r>
        <w:rPr>
          <w:rFonts w:ascii="Times New Roman" w:hAnsi="Times New Roman"/>
          <w:b/>
          <w:bCs/>
          <w:sz w:val="24"/>
          <w:szCs w:val="24"/>
        </w:rPr>
        <w:t xml:space="preserve"> ir dokumentai</w:t>
      </w:r>
      <w:r w:rsidRPr="00D7217E">
        <w:rPr>
          <w:rFonts w:ascii="Times New Roman" w:hAnsi="Times New Roman"/>
          <w:b/>
          <w:bCs/>
          <w:sz w:val="24"/>
          <w:szCs w:val="24"/>
        </w:rPr>
        <w:t>:</w:t>
      </w:r>
    </w:p>
    <w:p w14:paraId="0F619F41" w14:textId="77777777" w:rsidR="00035106" w:rsidRPr="00D7217E" w:rsidRDefault="00035106" w:rsidP="00035106">
      <w:pPr>
        <w:autoSpaceDE w:val="0"/>
        <w:autoSpaceDN w:val="0"/>
        <w:adjustRightInd w:val="0"/>
        <w:spacing w:after="0" w:line="240" w:lineRule="auto"/>
        <w:ind w:left="1271"/>
        <w:jc w:val="both"/>
        <w:rPr>
          <w:rFonts w:ascii="Times New Roman" w:hAnsi="Times New Roman"/>
          <w:b/>
          <w:bCs/>
          <w:sz w:val="24"/>
          <w:szCs w:val="24"/>
        </w:rPr>
      </w:pPr>
    </w:p>
    <w:p w14:paraId="2F272A46" w14:textId="77777777" w:rsidR="00035106" w:rsidRPr="003F6337" w:rsidRDefault="00035106" w:rsidP="00035106">
      <w:pPr>
        <w:autoSpaceDE w:val="0"/>
        <w:autoSpaceDN w:val="0"/>
        <w:adjustRightInd w:val="0"/>
        <w:spacing w:after="0" w:line="240" w:lineRule="auto"/>
        <w:ind w:firstLine="851"/>
        <w:jc w:val="both"/>
        <w:rPr>
          <w:rFonts w:ascii="Times New Roman" w:hAnsi="Times New Roman"/>
          <w:b/>
          <w:sz w:val="24"/>
        </w:rPr>
      </w:pPr>
      <w:r w:rsidRPr="00D7217E">
        <w:rPr>
          <w:rFonts w:ascii="Times New Roman" w:hAnsi="Times New Roman"/>
          <w:b/>
          <w:sz w:val="24"/>
          <w:szCs w:val="24"/>
        </w:rPr>
        <w:t>E</w:t>
      </w:r>
      <w:r>
        <w:rPr>
          <w:rFonts w:ascii="Times New Roman" w:hAnsi="Times New Roman"/>
          <w:b/>
          <w:sz w:val="24"/>
          <w:szCs w:val="24"/>
        </w:rPr>
        <w:t>uropos Sąjungos (toliau – E</w:t>
      </w:r>
      <w:r w:rsidRPr="00D7217E">
        <w:rPr>
          <w:rFonts w:ascii="Times New Roman" w:hAnsi="Times New Roman"/>
          <w:b/>
          <w:sz w:val="24"/>
          <w:szCs w:val="24"/>
        </w:rPr>
        <w:t>S</w:t>
      </w:r>
      <w:r>
        <w:rPr>
          <w:rFonts w:ascii="Times New Roman" w:hAnsi="Times New Roman"/>
          <w:b/>
          <w:sz w:val="24"/>
          <w:szCs w:val="24"/>
        </w:rPr>
        <w:t>)</w:t>
      </w:r>
      <w:r w:rsidRPr="00D7217E">
        <w:rPr>
          <w:rFonts w:ascii="Times New Roman" w:hAnsi="Times New Roman"/>
          <w:b/>
          <w:sz w:val="24"/>
          <w:szCs w:val="24"/>
        </w:rPr>
        <w:t xml:space="preserve"> teisės aktai</w:t>
      </w:r>
      <w:r>
        <w:rPr>
          <w:rFonts w:ascii="Times New Roman" w:hAnsi="Times New Roman"/>
          <w:b/>
          <w:sz w:val="24"/>
          <w:szCs w:val="24"/>
        </w:rPr>
        <w:t xml:space="preserve"> ir gairės</w:t>
      </w:r>
      <w:r w:rsidRPr="00D7217E">
        <w:rPr>
          <w:rFonts w:ascii="Times New Roman" w:hAnsi="Times New Roman"/>
          <w:b/>
          <w:sz w:val="24"/>
          <w:szCs w:val="24"/>
        </w:rPr>
        <w:t>:</w:t>
      </w:r>
    </w:p>
    <w:p w14:paraId="0C8D98F9" w14:textId="77777777" w:rsidR="00035106" w:rsidRPr="00E13B4F" w:rsidRDefault="00035106" w:rsidP="00035106">
      <w:pPr>
        <w:numPr>
          <w:ilvl w:val="0"/>
          <w:numId w:val="15"/>
        </w:numPr>
        <w:autoSpaceDE w:val="0"/>
        <w:autoSpaceDN w:val="0"/>
        <w:adjustRightInd w:val="0"/>
        <w:spacing w:after="0" w:line="240" w:lineRule="auto"/>
        <w:ind w:left="0" w:firstLine="851"/>
        <w:jc w:val="both"/>
        <w:rPr>
          <w:rFonts w:ascii="Times New Roman" w:eastAsia="MS Mincho" w:hAnsi="Times New Roman"/>
          <w:b/>
          <w:bCs/>
          <w:sz w:val="24"/>
          <w:szCs w:val="24"/>
          <w:lang w:eastAsia="ja-JP"/>
        </w:rPr>
      </w:pPr>
      <w:r w:rsidRPr="00E13B4F">
        <w:rPr>
          <w:rFonts w:ascii="Times New Roman" w:eastAsia="Times New Roman" w:hAnsi="Times New Roman"/>
          <w:sz w:val="24"/>
          <w:szCs w:val="24"/>
        </w:rPr>
        <w:t xml:space="preserve">2013 m. gruodžio 18 d. Komisijos Reglamentas (ES) Nr. 1407/2013 dėl Sutarties dėl Europos Sąjungos veikimo 107 ir 108 straipsnių taikymo </w:t>
      </w:r>
      <w:r w:rsidRPr="00E13B4F">
        <w:rPr>
          <w:rFonts w:ascii="Times New Roman" w:eastAsia="Times New Roman" w:hAnsi="Times New Roman"/>
          <w:i/>
          <w:sz w:val="24"/>
          <w:szCs w:val="24"/>
        </w:rPr>
        <w:t>de minimis</w:t>
      </w:r>
      <w:r w:rsidRPr="00E13B4F">
        <w:rPr>
          <w:rFonts w:ascii="Times New Roman" w:eastAsia="Times New Roman" w:hAnsi="Times New Roman"/>
          <w:sz w:val="24"/>
          <w:szCs w:val="24"/>
        </w:rPr>
        <w:t xml:space="preserve"> pagalbai (OJ 2013 L 352, p. 1) (toliau – Reglamentas (ES) Nr. 1407/2013);</w:t>
      </w:r>
    </w:p>
    <w:p w14:paraId="2F323E42" w14:textId="77777777" w:rsidR="00035106" w:rsidRPr="00E13B4F" w:rsidRDefault="00035106" w:rsidP="00035106">
      <w:pPr>
        <w:numPr>
          <w:ilvl w:val="0"/>
          <w:numId w:val="15"/>
        </w:numPr>
        <w:autoSpaceDE w:val="0"/>
        <w:autoSpaceDN w:val="0"/>
        <w:adjustRightInd w:val="0"/>
        <w:spacing w:after="0" w:line="240" w:lineRule="auto"/>
        <w:ind w:left="0" w:firstLine="851"/>
        <w:jc w:val="both"/>
        <w:rPr>
          <w:rFonts w:ascii="Times New Roman" w:eastAsia="MS Mincho" w:hAnsi="Times New Roman"/>
          <w:b/>
          <w:bCs/>
          <w:sz w:val="24"/>
          <w:szCs w:val="24"/>
          <w:lang w:eastAsia="ja-JP"/>
        </w:rPr>
      </w:pPr>
      <w:r w:rsidRPr="00E13B4F">
        <w:rPr>
          <w:rFonts w:ascii="Times New Roman" w:hAnsi="Times New Roman"/>
          <w:sz w:val="24"/>
          <w:szCs w:val="24"/>
        </w:rPr>
        <w:t>kiti ES taikytini teisės aktai.</w:t>
      </w:r>
    </w:p>
    <w:p w14:paraId="358B2D7D" w14:textId="77777777" w:rsidR="00035106" w:rsidRPr="003F6337" w:rsidRDefault="00035106" w:rsidP="00035106">
      <w:pPr>
        <w:autoSpaceDE w:val="0"/>
        <w:autoSpaceDN w:val="0"/>
        <w:adjustRightInd w:val="0"/>
        <w:spacing w:after="0" w:line="240" w:lineRule="auto"/>
        <w:ind w:firstLine="851"/>
        <w:jc w:val="both"/>
        <w:rPr>
          <w:rFonts w:ascii="Times New Roman" w:hAnsi="Times New Roman"/>
          <w:b/>
          <w:sz w:val="24"/>
        </w:rPr>
      </w:pPr>
    </w:p>
    <w:p w14:paraId="375CE123" w14:textId="77777777" w:rsidR="00035106" w:rsidRPr="007A6B46" w:rsidRDefault="00035106" w:rsidP="00035106">
      <w:pPr>
        <w:autoSpaceDE w:val="0"/>
        <w:autoSpaceDN w:val="0"/>
        <w:adjustRightInd w:val="0"/>
        <w:spacing w:after="0" w:line="240" w:lineRule="auto"/>
        <w:ind w:firstLine="851"/>
        <w:jc w:val="both"/>
        <w:rPr>
          <w:rFonts w:ascii="Times New Roman" w:hAnsi="Times New Roman"/>
          <w:b/>
          <w:sz w:val="24"/>
          <w:szCs w:val="24"/>
        </w:rPr>
      </w:pPr>
      <w:r w:rsidRPr="002E1F2A">
        <w:rPr>
          <w:rFonts w:ascii="Times New Roman" w:hAnsi="Times New Roman"/>
          <w:b/>
          <w:sz w:val="24"/>
          <w:szCs w:val="24"/>
        </w:rPr>
        <w:t>Nacionaliniai teisės aktai ir dokumentai:</w:t>
      </w:r>
    </w:p>
    <w:p w14:paraId="0135D58F" w14:textId="77777777" w:rsidR="00035106" w:rsidRPr="00E13B4F"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Lietuvos Respublikos smulkiojo ir vidutinio verslo plėtros įstatymas (toliau – SVV</w:t>
      </w:r>
      <w:r>
        <w:rPr>
          <w:rFonts w:ascii="Times New Roman" w:hAnsi="Times New Roman"/>
          <w:sz w:val="24"/>
          <w:szCs w:val="24"/>
        </w:rPr>
        <w:t> </w:t>
      </w:r>
      <w:r w:rsidRPr="00E13B4F">
        <w:rPr>
          <w:rFonts w:ascii="Times New Roman" w:hAnsi="Times New Roman"/>
          <w:sz w:val="24"/>
          <w:szCs w:val="24"/>
        </w:rPr>
        <w:t>įstatymas);</w:t>
      </w:r>
    </w:p>
    <w:p w14:paraId="094E7A43" w14:textId="77777777" w:rsidR="00035106" w:rsidRDefault="00035106" w:rsidP="00035106">
      <w:pPr>
        <w:numPr>
          <w:ilvl w:val="0"/>
          <w:numId w:val="15"/>
        </w:numPr>
        <w:tabs>
          <w:tab w:val="left" w:pos="851"/>
        </w:tabs>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Lietuvos Respublikos valstybės skolos įstatymas;</w:t>
      </w:r>
    </w:p>
    <w:p w14:paraId="22B50F5F" w14:textId="77777777" w:rsidR="00035106" w:rsidRDefault="00035106" w:rsidP="00035106">
      <w:pPr>
        <w:numPr>
          <w:ilvl w:val="0"/>
          <w:numId w:val="15"/>
        </w:numPr>
        <w:tabs>
          <w:tab w:val="left" w:pos="851"/>
        </w:tabs>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Lietuvos Respublikos</w:t>
      </w:r>
      <w:r>
        <w:rPr>
          <w:rFonts w:ascii="Times New Roman" w:hAnsi="Times New Roman"/>
          <w:sz w:val="24"/>
          <w:szCs w:val="24"/>
        </w:rPr>
        <w:t xml:space="preserve"> nacionalinių plėtros įstaigų įstatymas;</w:t>
      </w:r>
    </w:p>
    <w:p w14:paraId="171B62E1" w14:textId="77777777" w:rsidR="00035106" w:rsidRPr="00E13B4F" w:rsidRDefault="00035106" w:rsidP="00035106">
      <w:pPr>
        <w:numPr>
          <w:ilvl w:val="0"/>
          <w:numId w:val="15"/>
        </w:numPr>
        <w:tabs>
          <w:tab w:val="left" w:pos="851"/>
        </w:tabs>
        <w:autoSpaceDE w:val="0"/>
        <w:autoSpaceDN w:val="0"/>
        <w:adjustRightInd w:val="0"/>
        <w:spacing w:after="0" w:line="240" w:lineRule="auto"/>
        <w:ind w:left="0" w:firstLine="851"/>
        <w:jc w:val="both"/>
        <w:rPr>
          <w:rFonts w:ascii="Times New Roman" w:hAnsi="Times New Roman"/>
          <w:sz w:val="24"/>
          <w:szCs w:val="24"/>
        </w:rPr>
      </w:pPr>
      <w:r>
        <w:rPr>
          <w:rFonts w:ascii="Times New Roman" w:hAnsi="Times New Roman"/>
          <w:sz w:val="24"/>
          <w:szCs w:val="24"/>
        </w:rPr>
        <w:t>Lietuvos Respublikos civilinis kodeksas;</w:t>
      </w:r>
    </w:p>
    <w:p w14:paraId="10AD05C7" w14:textId="77777777" w:rsidR="00035106" w:rsidRPr="00E13B4F"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Lietuvos Respublikos Vyriausybės 2013 m. rugpjūčio 28 d. nutarimas Nr. 791 „Dėl įgyvendinant finansų inžinerijos priemonės grįžusių ir grįšiančių lėšų panaudojimo tvarkos aprašo patvirtinimo“;</w:t>
      </w:r>
    </w:p>
    <w:p w14:paraId="58C36FAE" w14:textId="77777777" w:rsidR="00035106" w:rsidRPr="000D2819"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0D2819">
        <w:rPr>
          <w:rFonts w:ascii="Times New Roman" w:hAnsi="Times New Roman"/>
          <w:sz w:val="24"/>
          <w:szCs w:val="24"/>
        </w:rPr>
        <w:lastRenderedPageBreak/>
        <w:t>Lietuvos Respublikos Vyriausybės 2001 m. liepos 11 d. nutarim</w:t>
      </w:r>
      <w:r>
        <w:rPr>
          <w:rFonts w:ascii="Times New Roman" w:hAnsi="Times New Roman"/>
          <w:sz w:val="24"/>
          <w:szCs w:val="24"/>
        </w:rPr>
        <w:t>as</w:t>
      </w:r>
      <w:r w:rsidRPr="000D2819">
        <w:rPr>
          <w:rFonts w:ascii="Times New Roman" w:hAnsi="Times New Roman"/>
          <w:sz w:val="24"/>
          <w:szCs w:val="24"/>
        </w:rPr>
        <w:t xml:space="preserve"> Nr. 887 „Dėl </w:t>
      </w:r>
      <w:r>
        <w:rPr>
          <w:rFonts w:ascii="Times New Roman" w:hAnsi="Times New Roman"/>
          <w:sz w:val="24"/>
          <w:szCs w:val="24"/>
        </w:rPr>
        <w:t>uždarosios akcinės bendrovės „Investicijų ir verslo garantijos“ veiklos</w:t>
      </w:r>
      <w:r w:rsidRPr="000D2819">
        <w:rPr>
          <w:rFonts w:ascii="Times New Roman" w:hAnsi="Times New Roman"/>
          <w:sz w:val="24"/>
          <w:szCs w:val="24"/>
        </w:rPr>
        <w:t>;</w:t>
      </w:r>
    </w:p>
    <w:p w14:paraId="5CA05A3C" w14:textId="5347EE60" w:rsidR="00035106" w:rsidRPr="000D2819"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bookmarkStart w:id="8" w:name="_Hlk37430660"/>
      <w:r w:rsidRPr="000D2819">
        <w:rPr>
          <w:rFonts w:ascii="Times New Roman" w:hAnsi="Times New Roman"/>
          <w:sz w:val="24"/>
          <w:szCs w:val="24"/>
        </w:rPr>
        <w:t xml:space="preserve">Lietuvos Respublikos </w:t>
      </w:r>
      <w:r>
        <w:rPr>
          <w:rFonts w:ascii="Times New Roman" w:hAnsi="Times New Roman"/>
          <w:sz w:val="24"/>
          <w:szCs w:val="24"/>
        </w:rPr>
        <w:t>ekonomikos ir inovacijų</w:t>
      </w:r>
      <w:r w:rsidRPr="000D2819">
        <w:rPr>
          <w:rFonts w:ascii="Times New Roman" w:hAnsi="Times New Roman"/>
          <w:sz w:val="24"/>
          <w:szCs w:val="24"/>
        </w:rPr>
        <w:t xml:space="preserve"> ministro </w:t>
      </w:r>
      <w:r w:rsidR="006C186B" w:rsidRPr="006C186B">
        <w:rPr>
          <w:rFonts w:ascii="Times New Roman" w:hAnsi="Times New Roman"/>
          <w:sz w:val="24"/>
          <w:szCs w:val="24"/>
        </w:rPr>
        <w:t>2020</w:t>
      </w:r>
      <w:r w:rsidR="006C186B">
        <w:rPr>
          <w:rFonts w:ascii="Times New Roman" w:hAnsi="Times New Roman"/>
          <w:sz w:val="24"/>
          <w:szCs w:val="24"/>
        </w:rPr>
        <w:t> </w:t>
      </w:r>
      <w:r w:rsidR="006C186B" w:rsidRPr="006C186B">
        <w:rPr>
          <w:rFonts w:ascii="Times New Roman" w:hAnsi="Times New Roman"/>
          <w:sz w:val="24"/>
          <w:szCs w:val="24"/>
        </w:rPr>
        <w:t>m. balandžio</w:t>
      </w:r>
      <w:r w:rsidR="006C186B">
        <w:rPr>
          <w:rFonts w:ascii="Times New Roman" w:hAnsi="Times New Roman"/>
          <w:sz w:val="24"/>
          <w:szCs w:val="24"/>
        </w:rPr>
        <w:t> </w:t>
      </w:r>
      <w:r w:rsidR="006C186B" w:rsidRPr="006C186B">
        <w:rPr>
          <w:rFonts w:ascii="Times New Roman" w:hAnsi="Times New Roman"/>
          <w:sz w:val="24"/>
          <w:szCs w:val="24"/>
        </w:rPr>
        <w:t>10</w:t>
      </w:r>
      <w:r w:rsidR="006C186B">
        <w:rPr>
          <w:rFonts w:ascii="Times New Roman" w:hAnsi="Times New Roman"/>
          <w:sz w:val="24"/>
          <w:szCs w:val="24"/>
        </w:rPr>
        <w:t> </w:t>
      </w:r>
      <w:r w:rsidR="006C186B" w:rsidRPr="006C186B">
        <w:rPr>
          <w:rFonts w:ascii="Times New Roman" w:hAnsi="Times New Roman"/>
          <w:sz w:val="24"/>
          <w:szCs w:val="24"/>
        </w:rPr>
        <w:t xml:space="preserve">d. </w:t>
      </w:r>
      <w:r>
        <w:rPr>
          <w:rFonts w:ascii="Times New Roman" w:hAnsi="Times New Roman"/>
          <w:sz w:val="24"/>
          <w:szCs w:val="24"/>
        </w:rPr>
        <w:t>įsakym</w:t>
      </w:r>
      <w:r w:rsidR="006C186B">
        <w:rPr>
          <w:rFonts w:ascii="Times New Roman" w:hAnsi="Times New Roman"/>
          <w:sz w:val="24"/>
          <w:szCs w:val="24"/>
        </w:rPr>
        <w:t>as</w:t>
      </w:r>
      <w:r w:rsidRPr="00233282">
        <w:rPr>
          <w:rFonts w:ascii="Times New Roman" w:hAnsi="Times New Roman"/>
          <w:sz w:val="24"/>
          <w:szCs w:val="24"/>
        </w:rPr>
        <w:t xml:space="preserve"> Nr.</w:t>
      </w:r>
      <w:r w:rsidRPr="006C40B9">
        <w:rPr>
          <w:rFonts w:ascii="Times New Roman" w:hAnsi="Times New Roman"/>
          <w:sz w:val="24"/>
          <w:szCs w:val="24"/>
        </w:rPr>
        <w:t xml:space="preserve"> </w:t>
      </w:r>
      <w:r w:rsidR="006C186B" w:rsidRPr="006C186B">
        <w:rPr>
          <w:rFonts w:ascii="Times New Roman" w:hAnsi="Times New Roman"/>
          <w:sz w:val="24"/>
          <w:szCs w:val="24"/>
        </w:rPr>
        <w:t xml:space="preserve">4-223 </w:t>
      </w:r>
      <w:r w:rsidRPr="00233282">
        <w:rPr>
          <w:rFonts w:ascii="Times New Roman" w:hAnsi="Times New Roman"/>
          <w:sz w:val="24"/>
          <w:szCs w:val="24"/>
        </w:rPr>
        <w:t xml:space="preserve"> „Dėl finansų inžinerijos priemonės „P</w:t>
      </w:r>
      <w:r w:rsidRPr="003F6337">
        <w:rPr>
          <w:rFonts w:ascii="Times New Roman" w:hAnsi="Times New Roman"/>
          <w:sz w:val="24"/>
        </w:rPr>
        <w:t xml:space="preserve">ortfelinės garantijos </w:t>
      </w:r>
      <w:r w:rsidRPr="00233282">
        <w:rPr>
          <w:rFonts w:ascii="Times New Roman" w:hAnsi="Times New Roman"/>
          <w:sz w:val="24"/>
          <w:szCs w:val="24"/>
        </w:rPr>
        <w:t>faktoringo sandoriams</w:t>
      </w:r>
      <w:r>
        <w:rPr>
          <w:rFonts w:ascii="Times New Roman" w:hAnsi="Times New Roman"/>
          <w:sz w:val="24"/>
          <w:szCs w:val="24"/>
        </w:rPr>
        <w:t> </w:t>
      </w:r>
      <w:r w:rsidRPr="003F6337">
        <w:rPr>
          <w:rFonts w:ascii="Times New Roman" w:hAnsi="Times New Roman"/>
          <w:sz w:val="24"/>
          <w:szCs w:val="24"/>
        </w:rPr>
        <w:t>2</w:t>
      </w:r>
      <w:r w:rsidRPr="00233282">
        <w:rPr>
          <w:rFonts w:ascii="Times New Roman" w:hAnsi="Times New Roman"/>
          <w:sz w:val="24"/>
          <w:szCs w:val="24"/>
        </w:rPr>
        <w:t>“ schemos patvirtinimo“</w:t>
      </w:r>
      <w:bookmarkEnd w:id="8"/>
      <w:r w:rsidR="00251916">
        <w:rPr>
          <w:rFonts w:ascii="Times New Roman" w:hAnsi="Times New Roman"/>
          <w:sz w:val="24"/>
          <w:szCs w:val="24"/>
        </w:rPr>
        <w:t xml:space="preserve"> </w:t>
      </w:r>
      <w:r w:rsidRPr="000D2819">
        <w:rPr>
          <w:rFonts w:ascii="Times New Roman" w:hAnsi="Times New Roman"/>
          <w:sz w:val="24"/>
          <w:szCs w:val="24"/>
        </w:rPr>
        <w:t xml:space="preserve">(toliau – </w:t>
      </w:r>
      <w:r>
        <w:rPr>
          <w:rFonts w:ascii="Times New Roman" w:hAnsi="Times New Roman"/>
          <w:sz w:val="24"/>
          <w:szCs w:val="24"/>
        </w:rPr>
        <w:t>PGF2</w:t>
      </w:r>
      <w:r w:rsidRPr="000D2819">
        <w:rPr>
          <w:rFonts w:ascii="Times New Roman" w:hAnsi="Times New Roman"/>
          <w:sz w:val="24"/>
          <w:szCs w:val="24"/>
        </w:rPr>
        <w:t xml:space="preserve"> priemonės schema);</w:t>
      </w:r>
    </w:p>
    <w:p w14:paraId="0EB2A73C" w14:textId="77777777" w:rsidR="00035106" w:rsidRPr="000D2819"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0D2819">
        <w:rPr>
          <w:rFonts w:ascii="Times New Roman" w:hAnsi="Times New Roman"/>
          <w:sz w:val="24"/>
          <w:szCs w:val="24"/>
        </w:rPr>
        <w:t xml:space="preserve">Statistikos departamento prie Lietuvos Respublikos Vyriausybės generalinio direktoriaus </w:t>
      </w:r>
      <w:hyperlink r:id="rId17" w:tgtFrame="_blank" w:history="1">
        <w:r w:rsidRPr="003F6337">
          <w:rPr>
            <w:rFonts w:ascii="Times New Roman" w:hAnsi="Times New Roman"/>
            <w:sz w:val="24"/>
          </w:rPr>
          <w:t>2007 m. spalio 31 d. įsakymu Nr. DĮ 226</w:t>
        </w:r>
      </w:hyperlink>
      <w:r w:rsidRPr="000D2819">
        <w:rPr>
          <w:rFonts w:ascii="Times New Roman" w:hAnsi="Times New Roman"/>
          <w:sz w:val="24"/>
          <w:szCs w:val="24"/>
        </w:rPr>
        <w:t xml:space="preserve"> „Dėl ekonominės veiklos rūšių klasifikatoriaus patvirtinimo“ patvirtintas </w:t>
      </w:r>
      <w:r w:rsidRPr="003F6337">
        <w:rPr>
          <w:rFonts w:ascii="Times New Roman" w:hAnsi="Times New Roman"/>
          <w:sz w:val="24"/>
        </w:rPr>
        <w:t>Ekonominės veiklos rūšių klasifikatorius (EVRK 2 red.) (toliau – EVRK)</w:t>
      </w:r>
      <w:r w:rsidRPr="000D2819">
        <w:rPr>
          <w:rFonts w:ascii="Times New Roman" w:hAnsi="Times New Roman"/>
          <w:sz w:val="24"/>
          <w:szCs w:val="24"/>
        </w:rPr>
        <w:t>;</w:t>
      </w:r>
    </w:p>
    <w:p w14:paraId="76C670CD" w14:textId="77777777" w:rsidR="00035106" w:rsidRPr="00E13B4F"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 xml:space="preserve">kiti </w:t>
      </w:r>
      <w:r>
        <w:rPr>
          <w:rFonts w:ascii="Times New Roman" w:hAnsi="Times New Roman"/>
          <w:sz w:val="24"/>
          <w:szCs w:val="24"/>
        </w:rPr>
        <w:t>PGF2 priemonei</w:t>
      </w:r>
      <w:r w:rsidRPr="00E13B4F">
        <w:rPr>
          <w:rFonts w:ascii="Times New Roman" w:hAnsi="Times New Roman"/>
          <w:sz w:val="24"/>
          <w:szCs w:val="24"/>
        </w:rPr>
        <w:t xml:space="preserve"> taikytini teisės aktai, taisyklės, rekomendacijos, gairės ir jų pakeitimai.</w:t>
      </w:r>
    </w:p>
    <w:p w14:paraId="35E257AB" w14:textId="77777777" w:rsidR="00035106" w:rsidRPr="003F6337" w:rsidRDefault="00035106" w:rsidP="00035106">
      <w:pPr>
        <w:autoSpaceDE w:val="0"/>
        <w:autoSpaceDN w:val="0"/>
        <w:adjustRightInd w:val="0"/>
        <w:spacing w:after="0" w:line="240" w:lineRule="auto"/>
        <w:ind w:left="1070"/>
        <w:jc w:val="both"/>
        <w:rPr>
          <w:rFonts w:ascii="Times New Roman" w:hAnsi="Times New Roman"/>
          <w:sz w:val="24"/>
        </w:rPr>
      </w:pPr>
    </w:p>
    <w:p w14:paraId="474A03E0" w14:textId="77777777" w:rsidR="00035106" w:rsidRPr="00B92D94" w:rsidRDefault="00035106" w:rsidP="00035106">
      <w:pPr>
        <w:keepNext/>
        <w:autoSpaceDE w:val="0"/>
        <w:autoSpaceDN w:val="0"/>
        <w:adjustRightInd w:val="0"/>
        <w:spacing w:after="0" w:line="240" w:lineRule="auto"/>
        <w:jc w:val="center"/>
        <w:rPr>
          <w:rFonts w:ascii="Times New Roman" w:hAnsi="Times New Roman"/>
          <w:b/>
          <w:bCs/>
          <w:sz w:val="24"/>
          <w:szCs w:val="24"/>
        </w:rPr>
      </w:pPr>
      <w:r w:rsidRPr="00B92D94">
        <w:rPr>
          <w:rFonts w:ascii="Times New Roman" w:hAnsi="Times New Roman"/>
          <w:b/>
          <w:bCs/>
          <w:sz w:val="24"/>
          <w:szCs w:val="24"/>
        </w:rPr>
        <w:t xml:space="preserve">2. SUTARTIES </w:t>
      </w:r>
      <w:r>
        <w:rPr>
          <w:rFonts w:ascii="Times New Roman" w:hAnsi="Times New Roman"/>
          <w:b/>
          <w:bCs/>
          <w:sz w:val="24"/>
          <w:szCs w:val="24"/>
        </w:rPr>
        <w:t xml:space="preserve">DĖL PGF2 PRIEMONĖS ĮGYVENDINIMO TIKSLAI IR </w:t>
      </w:r>
      <w:r w:rsidRPr="00B92D94">
        <w:rPr>
          <w:rFonts w:ascii="Times New Roman" w:hAnsi="Times New Roman"/>
          <w:b/>
          <w:bCs/>
          <w:sz w:val="24"/>
          <w:szCs w:val="24"/>
        </w:rPr>
        <w:t>UŽDAVINIAI</w:t>
      </w:r>
    </w:p>
    <w:p w14:paraId="7D839086" w14:textId="77777777" w:rsidR="00035106" w:rsidRPr="007A6B46" w:rsidRDefault="00035106" w:rsidP="00035106">
      <w:pPr>
        <w:keepNext/>
        <w:autoSpaceDE w:val="0"/>
        <w:autoSpaceDN w:val="0"/>
        <w:adjustRightInd w:val="0"/>
        <w:spacing w:after="0" w:line="240" w:lineRule="auto"/>
        <w:ind w:firstLine="851"/>
        <w:jc w:val="both"/>
        <w:rPr>
          <w:rFonts w:ascii="Times New Roman" w:hAnsi="Times New Roman"/>
          <w:b/>
          <w:bCs/>
          <w:sz w:val="24"/>
          <w:szCs w:val="24"/>
        </w:rPr>
      </w:pPr>
    </w:p>
    <w:p w14:paraId="3B4C50F4" w14:textId="77777777" w:rsidR="00035106" w:rsidRDefault="00035106" w:rsidP="00035106">
      <w:pPr>
        <w:keepNext/>
        <w:autoSpaceDE w:val="0"/>
        <w:autoSpaceDN w:val="0"/>
        <w:adjustRightInd w:val="0"/>
        <w:spacing w:after="0" w:line="240" w:lineRule="auto"/>
        <w:ind w:firstLine="851"/>
        <w:jc w:val="both"/>
        <w:rPr>
          <w:rFonts w:ascii="Times New Roman" w:hAnsi="Times New Roman"/>
          <w:b/>
          <w:bCs/>
          <w:sz w:val="24"/>
          <w:szCs w:val="24"/>
        </w:rPr>
      </w:pPr>
      <w:r w:rsidRPr="007A6B46">
        <w:rPr>
          <w:rFonts w:ascii="Times New Roman" w:hAnsi="Times New Roman"/>
          <w:b/>
          <w:bCs/>
          <w:sz w:val="24"/>
          <w:szCs w:val="24"/>
        </w:rPr>
        <w:t>2.1. Tikslai ir uždaviniai</w:t>
      </w:r>
    </w:p>
    <w:p w14:paraId="79CA663F" w14:textId="77777777" w:rsidR="00035106" w:rsidRPr="00E13B4F" w:rsidRDefault="00035106" w:rsidP="00035106">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PGF2</w:t>
      </w:r>
      <w:r w:rsidRPr="00E13B4F">
        <w:rPr>
          <w:rFonts w:ascii="Times New Roman" w:hAnsi="Times New Roman"/>
          <w:sz w:val="24"/>
          <w:szCs w:val="24"/>
        </w:rPr>
        <w:t xml:space="preserve"> priemonės </w:t>
      </w:r>
      <w:r w:rsidRPr="0007005C">
        <w:rPr>
          <w:rFonts w:ascii="Times New Roman" w:hAnsi="Times New Roman"/>
          <w:sz w:val="24"/>
          <w:szCs w:val="24"/>
        </w:rPr>
        <w:t>valdytojai</w:t>
      </w:r>
      <w:r w:rsidRPr="00E13B4F">
        <w:rPr>
          <w:rFonts w:ascii="Times New Roman" w:hAnsi="Times New Roman"/>
          <w:sz w:val="24"/>
          <w:szCs w:val="24"/>
        </w:rPr>
        <w:t xml:space="preserve"> turi įgyvendinti </w:t>
      </w:r>
      <w:r>
        <w:rPr>
          <w:rFonts w:ascii="Times New Roman" w:hAnsi="Times New Roman"/>
          <w:sz w:val="24"/>
          <w:szCs w:val="24"/>
        </w:rPr>
        <w:t>PGF2</w:t>
      </w:r>
      <w:r w:rsidRPr="00E13B4F">
        <w:rPr>
          <w:rFonts w:ascii="Times New Roman" w:hAnsi="Times New Roman"/>
          <w:sz w:val="24"/>
          <w:szCs w:val="24"/>
        </w:rPr>
        <w:t xml:space="preserve"> priemonę taip, kad būtų užtikrintas šių uždavinių tinkamas įgyvendinimas:</w:t>
      </w:r>
    </w:p>
    <w:p w14:paraId="64C17546" w14:textId="77777777" w:rsidR="00035106" w:rsidRPr="00E13B4F"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aktyvus faktoringo sandorių, lengvinančių atsiskaitymus su prekybos partneriais, teikimas;</w:t>
      </w:r>
    </w:p>
    <w:p w14:paraId="6CBCD7F7" w14:textId="77777777" w:rsidR="00035106" w:rsidRDefault="00035106" w:rsidP="00035106">
      <w:pPr>
        <w:numPr>
          <w:ilvl w:val="0"/>
          <w:numId w:val="15"/>
        </w:numPr>
        <w:autoSpaceDE w:val="0"/>
        <w:autoSpaceDN w:val="0"/>
        <w:adjustRightInd w:val="0"/>
        <w:spacing w:after="0" w:line="240" w:lineRule="auto"/>
        <w:ind w:left="0" w:firstLine="851"/>
        <w:jc w:val="both"/>
        <w:rPr>
          <w:rFonts w:ascii="Times New Roman" w:hAnsi="Times New Roman"/>
          <w:sz w:val="24"/>
          <w:szCs w:val="24"/>
        </w:rPr>
      </w:pPr>
      <w:r w:rsidRPr="00E13B4F">
        <w:rPr>
          <w:rFonts w:ascii="Times New Roman" w:hAnsi="Times New Roman"/>
          <w:sz w:val="24"/>
          <w:szCs w:val="24"/>
        </w:rPr>
        <w:t>kuo palankesnės finansavimo</w:t>
      </w:r>
      <w:r>
        <w:rPr>
          <w:rFonts w:ascii="Times New Roman" w:hAnsi="Times New Roman"/>
          <w:sz w:val="24"/>
          <w:szCs w:val="24"/>
        </w:rPr>
        <w:t xml:space="preserve"> sąlygos pradedančiosioms</w:t>
      </w:r>
      <w:r w:rsidRPr="00E13B4F">
        <w:rPr>
          <w:rFonts w:ascii="Times New Roman" w:hAnsi="Times New Roman"/>
          <w:sz w:val="24"/>
          <w:szCs w:val="24"/>
        </w:rPr>
        <w:t xml:space="preserve"> ir (ar) jau vykdan</w:t>
      </w:r>
      <w:r>
        <w:rPr>
          <w:rFonts w:ascii="Times New Roman" w:hAnsi="Times New Roman"/>
          <w:sz w:val="24"/>
          <w:szCs w:val="24"/>
        </w:rPr>
        <w:t>čioms</w:t>
      </w:r>
      <w:r w:rsidRPr="00E13B4F">
        <w:rPr>
          <w:rFonts w:ascii="Times New Roman" w:hAnsi="Times New Roman"/>
          <w:sz w:val="24"/>
          <w:szCs w:val="24"/>
        </w:rPr>
        <w:t xml:space="preserve"> verslą </w:t>
      </w:r>
      <w:r w:rsidRPr="00C519CB">
        <w:rPr>
          <w:rFonts w:ascii="Times New Roman" w:hAnsi="Times New Roman"/>
          <w:sz w:val="24"/>
          <w:szCs w:val="24"/>
        </w:rPr>
        <w:t>MVĮ.</w:t>
      </w:r>
    </w:p>
    <w:p w14:paraId="23B62142" w14:textId="77777777" w:rsidR="00035106" w:rsidRPr="0041074D" w:rsidRDefault="00035106" w:rsidP="00035106">
      <w:pPr>
        <w:tabs>
          <w:tab w:val="left" w:pos="770"/>
          <w:tab w:val="left" w:pos="1134"/>
        </w:tabs>
        <w:spacing w:after="0" w:line="240" w:lineRule="auto"/>
        <w:ind w:left="851"/>
        <w:jc w:val="both"/>
        <w:rPr>
          <w:rFonts w:ascii="Times New Roman" w:hAnsi="Times New Roman"/>
          <w:sz w:val="24"/>
        </w:rPr>
      </w:pPr>
    </w:p>
    <w:p w14:paraId="1D26A4A4" w14:textId="77777777" w:rsidR="00035106" w:rsidRPr="007A6B46" w:rsidRDefault="00035106" w:rsidP="0003510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3</w:t>
      </w:r>
      <w:r w:rsidRPr="002A43DB">
        <w:rPr>
          <w:rFonts w:ascii="Times New Roman" w:hAnsi="Times New Roman"/>
          <w:b/>
          <w:bCs/>
          <w:sz w:val="24"/>
          <w:szCs w:val="24"/>
        </w:rPr>
        <w:t xml:space="preserve">. </w:t>
      </w:r>
      <w:r>
        <w:rPr>
          <w:rFonts w:ascii="Times New Roman" w:hAnsi="Times New Roman"/>
          <w:b/>
          <w:bCs/>
          <w:sz w:val="24"/>
          <w:szCs w:val="24"/>
        </w:rPr>
        <w:t>SUTARTIES</w:t>
      </w:r>
      <w:r w:rsidRPr="007A6B46">
        <w:rPr>
          <w:rFonts w:ascii="Times New Roman" w:hAnsi="Times New Roman"/>
          <w:b/>
          <w:bCs/>
          <w:sz w:val="24"/>
          <w:szCs w:val="24"/>
        </w:rPr>
        <w:t xml:space="preserve"> </w:t>
      </w:r>
      <w:r>
        <w:rPr>
          <w:rFonts w:ascii="Times New Roman" w:hAnsi="Times New Roman"/>
          <w:b/>
          <w:bCs/>
          <w:sz w:val="24"/>
          <w:szCs w:val="24"/>
        </w:rPr>
        <w:t xml:space="preserve">DĖL PGF2 PRIEMONĖS ĮGYVENDINIMO </w:t>
      </w:r>
      <w:r w:rsidRPr="007A6B46">
        <w:rPr>
          <w:rFonts w:ascii="Times New Roman" w:hAnsi="Times New Roman"/>
          <w:b/>
          <w:bCs/>
          <w:sz w:val="24"/>
          <w:szCs w:val="24"/>
        </w:rPr>
        <w:t>OBJEKTAS</w:t>
      </w:r>
    </w:p>
    <w:p w14:paraId="6E86DBE0" w14:textId="77777777" w:rsidR="00035106" w:rsidRPr="007A6B46" w:rsidRDefault="00035106" w:rsidP="00035106">
      <w:pPr>
        <w:autoSpaceDE w:val="0"/>
        <w:autoSpaceDN w:val="0"/>
        <w:adjustRightInd w:val="0"/>
        <w:spacing w:after="0" w:line="240" w:lineRule="auto"/>
        <w:ind w:firstLine="851"/>
        <w:jc w:val="both"/>
        <w:rPr>
          <w:rFonts w:ascii="Times New Roman" w:hAnsi="Times New Roman"/>
          <w:b/>
          <w:bCs/>
          <w:sz w:val="24"/>
          <w:szCs w:val="24"/>
        </w:rPr>
      </w:pPr>
    </w:p>
    <w:p w14:paraId="46AE1856" w14:textId="77777777" w:rsidR="00035106" w:rsidRPr="0041074D" w:rsidRDefault="00035106" w:rsidP="00035106">
      <w:pPr>
        <w:autoSpaceDE w:val="0"/>
        <w:autoSpaceDN w:val="0"/>
        <w:adjustRightInd w:val="0"/>
        <w:spacing w:after="0" w:line="240" w:lineRule="auto"/>
        <w:ind w:firstLine="851"/>
        <w:jc w:val="both"/>
        <w:rPr>
          <w:rFonts w:ascii="Times New Roman" w:hAnsi="Times New Roman"/>
          <w:i/>
          <w:sz w:val="24"/>
        </w:rPr>
      </w:pPr>
      <w:r>
        <w:rPr>
          <w:rFonts w:ascii="Times New Roman" w:hAnsi="Times New Roman"/>
          <w:b/>
          <w:bCs/>
          <w:sz w:val="24"/>
          <w:szCs w:val="24"/>
        </w:rPr>
        <w:t>3</w:t>
      </w:r>
      <w:r w:rsidRPr="007A6B46">
        <w:rPr>
          <w:rFonts w:ascii="Times New Roman" w:hAnsi="Times New Roman"/>
          <w:b/>
          <w:bCs/>
          <w:sz w:val="24"/>
          <w:szCs w:val="24"/>
        </w:rPr>
        <w:t xml:space="preserve">.1. </w:t>
      </w:r>
      <w:r w:rsidRPr="003E19CD">
        <w:rPr>
          <w:rFonts w:ascii="Times New Roman" w:hAnsi="Times New Roman"/>
          <w:b/>
          <w:bCs/>
          <w:sz w:val="24"/>
          <w:szCs w:val="24"/>
        </w:rPr>
        <w:t xml:space="preserve">Detalus </w:t>
      </w:r>
      <w:r>
        <w:rPr>
          <w:rFonts w:ascii="Times New Roman" w:hAnsi="Times New Roman"/>
          <w:b/>
          <w:bCs/>
          <w:sz w:val="24"/>
          <w:szCs w:val="24"/>
        </w:rPr>
        <w:t xml:space="preserve">sudaromos PGF2 priemonės įgyvendinimo sutarties </w:t>
      </w:r>
      <w:r w:rsidRPr="003E19CD">
        <w:rPr>
          <w:rFonts w:ascii="Times New Roman" w:hAnsi="Times New Roman"/>
          <w:b/>
          <w:bCs/>
          <w:sz w:val="24"/>
          <w:szCs w:val="24"/>
        </w:rPr>
        <w:t>objekto a</w:t>
      </w:r>
      <w:r w:rsidRPr="000007F2">
        <w:rPr>
          <w:rFonts w:ascii="Times New Roman" w:hAnsi="Times New Roman"/>
          <w:b/>
          <w:bCs/>
          <w:sz w:val="24"/>
          <w:szCs w:val="24"/>
        </w:rPr>
        <w:t>prašymas</w:t>
      </w:r>
      <w:r w:rsidRPr="0041074D">
        <w:rPr>
          <w:rStyle w:val="FootnoteReference"/>
          <w:rFonts w:ascii="Times New Roman" w:hAnsi="Times New Roman"/>
          <w:b/>
          <w:sz w:val="24"/>
        </w:rPr>
        <w:footnoteReference w:id="3"/>
      </w:r>
    </w:p>
    <w:p w14:paraId="1FE86DBE" w14:textId="77777777" w:rsidR="00035106" w:rsidRPr="002E4CFB" w:rsidRDefault="00035106" w:rsidP="00035106">
      <w:pPr>
        <w:autoSpaceDE w:val="0"/>
        <w:autoSpaceDN w:val="0"/>
        <w:adjustRightInd w:val="0"/>
        <w:spacing w:after="0" w:line="240" w:lineRule="auto"/>
        <w:ind w:firstLine="851"/>
        <w:jc w:val="both"/>
        <w:rPr>
          <w:rFonts w:ascii="Times New Roman" w:hAnsi="Times New Roman"/>
          <w:bCs/>
          <w:sz w:val="24"/>
          <w:szCs w:val="24"/>
        </w:rPr>
      </w:pPr>
      <w:r w:rsidRPr="001E3056">
        <w:rPr>
          <w:rFonts w:ascii="Times New Roman" w:hAnsi="Times New Roman"/>
          <w:bCs/>
          <w:sz w:val="24"/>
          <w:szCs w:val="24"/>
        </w:rPr>
        <w:t>Kiekvieno atrinkto</w:t>
      </w:r>
      <w:r w:rsidRPr="002E4CFB">
        <w:rPr>
          <w:rFonts w:ascii="Times New Roman" w:hAnsi="Times New Roman"/>
          <w:bCs/>
          <w:sz w:val="24"/>
          <w:szCs w:val="24"/>
        </w:rPr>
        <w:t xml:space="preserve"> </w:t>
      </w:r>
      <w:r>
        <w:rPr>
          <w:rFonts w:ascii="Times New Roman" w:hAnsi="Times New Roman"/>
          <w:bCs/>
          <w:sz w:val="24"/>
          <w:szCs w:val="24"/>
        </w:rPr>
        <w:t>PGF2</w:t>
      </w:r>
      <w:r w:rsidRPr="002E4CFB">
        <w:rPr>
          <w:rFonts w:ascii="Times New Roman" w:hAnsi="Times New Roman"/>
          <w:bCs/>
          <w:sz w:val="24"/>
          <w:szCs w:val="24"/>
        </w:rPr>
        <w:t xml:space="preserve"> priemonės valdytojo naujai suformuotam </w:t>
      </w:r>
      <w:r>
        <w:rPr>
          <w:rFonts w:ascii="Times New Roman" w:hAnsi="Times New Roman"/>
          <w:bCs/>
          <w:sz w:val="24"/>
          <w:szCs w:val="24"/>
        </w:rPr>
        <w:t>F</w:t>
      </w:r>
      <w:r w:rsidRPr="002E4CFB">
        <w:rPr>
          <w:rFonts w:ascii="Times New Roman" w:hAnsi="Times New Roman"/>
          <w:bCs/>
          <w:sz w:val="24"/>
          <w:szCs w:val="24"/>
        </w:rPr>
        <w:t xml:space="preserve">aktoringo sandorių, atitinkančių </w:t>
      </w:r>
      <w:r>
        <w:rPr>
          <w:rFonts w:ascii="Times New Roman" w:hAnsi="Times New Roman"/>
          <w:bCs/>
          <w:sz w:val="24"/>
          <w:szCs w:val="24"/>
        </w:rPr>
        <w:t>PGF2</w:t>
      </w:r>
      <w:r w:rsidRPr="002E4CFB">
        <w:rPr>
          <w:rFonts w:ascii="Times New Roman" w:hAnsi="Times New Roman"/>
          <w:bCs/>
          <w:sz w:val="24"/>
          <w:szCs w:val="24"/>
        </w:rPr>
        <w:t xml:space="preserve"> priemonės Tinkamumo sąlygas, Portfeliui suteikiama portfelinė garantija (toliau</w:t>
      </w:r>
      <w:r>
        <w:rPr>
          <w:rFonts w:ascii="Times New Roman" w:hAnsi="Times New Roman"/>
          <w:bCs/>
          <w:sz w:val="24"/>
          <w:szCs w:val="24"/>
        </w:rPr>
        <w:t> </w:t>
      </w:r>
      <w:r w:rsidRPr="002E4CFB">
        <w:rPr>
          <w:rFonts w:ascii="Times New Roman" w:hAnsi="Times New Roman"/>
          <w:bCs/>
          <w:sz w:val="24"/>
          <w:szCs w:val="24"/>
        </w:rPr>
        <w:t xml:space="preserve">– Garantija), kuri mažina finansavimo riziką. Faktoringo sandoriai, kurie traukiami į Portfelį, turi būti finansuojami iš </w:t>
      </w:r>
      <w:r>
        <w:rPr>
          <w:rFonts w:ascii="Times New Roman" w:hAnsi="Times New Roman"/>
          <w:bCs/>
          <w:sz w:val="24"/>
          <w:szCs w:val="24"/>
        </w:rPr>
        <w:t>PGF2</w:t>
      </w:r>
      <w:r w:rsidRPr="002E4CFB">
        <w:rPr>
          <w:rFonts w:ascii="Times New Roman" w:hAnsi="Times New Roman"/>
          <w:bCs/>
          <w:sz w:val="24"/>
          <w:szCs w:val="24"/>
        </w:rPr>
        <w:t xml:space="preserve"> priemonės valdytojo lėšų.</w:t>
      </w:r>
    </w:p>
    <w:p w14:paraId="32C6C4FA" w14:textId="77777777" w:rsidR="00035106" w:rsidRPr="002E4CFB" w:rsidRDefault="00035106" w:rsidP="00035106">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PGF2</w:t>
      </w:r>
      <w:r w:rsidRPr="002E4CFB">
        <w:rPr>
          <w:rFonts w:ascii="Times New Roman" w:hAnsi="Times New Roman"/>
          <w:bCs/>
          <w:sz w:val="24"/>
          <w:szCs w:val="24"/>
        </w:rPr>
        <w:t xml:space="preserve"> priemonės Tinkamumo sąlygas atitinkantys ir į Portfelį įtraukti Faktoringo sandoriai yra garantuojami 80 proc., išmokos atliekamos pagal pirmiausiai atsiradusius Probleminius Faktoringo sandorius. Bendra išmokų suma, „Invegos“ mokama </w:t>
      </w:r>
      <w:r>
        <w:rPr>
          <w:rFonts w:ascii="Times New Roman" w:hAnsi="Times New Roman"/>
          <w:bCs/>
          <w:sz w:val="24"/>
          <w:szCs w:val="24"/>
        </w:rPr>
        <w:t>PGF2</w:t>
      </w:r>
      <w:r w:rsidRPr="002E4CFB">
        <w:rPr>
          <w:rFonts w:ascii="Times New Roman" w:hAnsi="Times New Roman"/>
          <w:bCs/>
          <w:sz w:val="24"/>
          <w:szCs w:val="24"/>
        </w:rPr>
        <w:t xml:space="preserve"> priemonės valdytojui, bus ne didesnė nei apskaičiuota išmokų suma, kuri skaičiuojama kaip sukontraktuotų ir į Portfelį įtrauktų Faktoringo sandorių išmokėtų Faktoringo avansų MVĮ suma, neviršijanti Faktoringo limito, padauginta iš garantijos dydžio (80 proc.) ir iš Viršutinės ribos normos (20 proc.). Įgyvendinant </w:t>
      </w:r>
      <w:r>
        <w:rPr>
          <w:rFonts w:ascii="Times New Roman" w:hAnsi="Times New Roman"/>
          <w:bCs/>
          <w:sz w:val="24"/>
          <w:szCs w:val="24"/>
        </w:rPr>
        <w:t>PGF2</w:t>
      </w:r>
      <w:r w:rsidRPr="002E4CFB">
        <w:rPr>
          <w:rFonts w:ascii="Times New Roman" w:hAnsi="Times New Roman"/>
          <w:bCs/>
          <w:sz w:val="24"/>
          <w:szCs w:val="24"/>
        </w:rPr>
        <w:t xml:space="preserve"> priemonę, garantuojami Nuostoliai (negrąžinta Faktoringo avansų dalis), kuriuos patiria </w:t>
      </w:r>
      <w:r>
        <w:rPr>
          <w:rFonts w:ascii="Times New Roman" w:hAnsi="Times New Roman"/>
          <w:bCs/>
          <w:sz w:val="24"/>
          <w:szCs w:val="24"/>
        </w:rPr>
        <w:t>PGF2 </w:t>
      </w:r>
      <w:r w:rsidRPr="002E4CFB">
        <w:rPr>
          <w:rFonts w:ascii="Times New Roman" w:hAnsi="Times New Roman"/>
          <w:bCs/>
          <w:sz w:val="24"/>
          <w:szCs w:val="24"/>
        </w:rPr>
        <w:t xml:space="preserve">priemonės valdytojas, pagal kiekvieną Probleminį Faktoringo sandorį iki didžiausios nustatytos Sutartimi išmokų sumos. </w:t>
      </w:r>
      <w:r>
        <w:rPr>
          <w:rFonts w:ascii="Times New Roman" w:hAnsi="Times New Roman"/>
          <w:bCs/>
          <w:sz w:val="24"/>
          <w:szCs w:val="24"/>
        </w:rPr>
        <w:t>PGF2</w:t>
      </w:r>
      <w:r w:rsidRPr="002E4CFB">
        <w:rPr>
          <w:rFonts w:ascii="Times New Roman" w:hAnsi="Times New Roman"/>
          <w:bCs/>
          <w:sz w:val="24"/>
          <w:szCs w:val="24"/>
        </w:rPr>
        <w:t xml:space="preserve"> priemonės valdytojas prisiima ne mažesnį nei 20 proc. suformuoto Portfelio nuostolingumą.</w:t>
      </w:r>
    </w:p>
    <w:p w14:paraId="0E7F7215" w14:textId="77777777" w:rsidR="00035106" w:rsidRDefault="00035106" w:rsidP="00035106">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Cs/>
          <w:sz w:val="24"/>
          <w:szCs w:val="24"/>
        </w:rPr>
        <w:t>G</w:t>
      </w:r>
      <w:r w:rsidRPr="002E4CFB">
        <w:rPr>
          <w:rFonts w:ascii="Times New Roman" w:hAnsi="Times New Roman"/>
          <w:bCs/>
          <w:sz w:val="24"/>
          <w:szCs w:val="24"/>
        </w:rPr>
        <w:t xml:space="preserve">arantija įsigalioja automatiškai nuo </w:t>
      </w:r>
      <w:r>
        <w:rPr>
          <w:rFonts w:ascii="Times New Roman" w:hAnsi="Times New Roman"/>
          <w:bCs/>
          <w:sz w:val="24"/>
          <w:szCs w:val="24"/>
        </w:rPr>
        <w:t>PGF2</w:t>
      </w:r>
      <w:r w:rsidRPr="002E4CFB">
        <w:rPr>
          <w:rFonts w:ascii="Times New Roman" w:hAnsi="Times New Roman"/>
          <w:bCs/>
          <w:sz w:val="24"/>
          <w:szCs w:val="24"/>
        </w:rPr>
        <w:t xml:space="preserve"> priemonės valdytojo sutarties su MVĮ pasirašymo momento, su sąlyga, kad pasirašytas </w:t>
      </w:r>
      <w:r>
        <w:rPr>
          <w:rFonts w:ascii="Times New Roman" w:hAnsi="Times New Roman"/>
          <w:bCs/>
          <w:sz w:val="24"/>
          <w:szCs w:val="24"/>
        </w:rPr>
        <w:t>PGF2</w:t>
      </w:r>
      <w:r w:rsidRPr="002E4CFB">
        <w:rPr>
          <w:rFonts w:ascii="Times New Roman" w:hAnsi="Times New Roman"/>
          <w:bCs/>
          <w:sz w:val="24"/>
          <w:szCs w:val="24"/>
        </w:rPr>
        <w:t xml:space="preserve"> priemonės Tinkamumo sąlygas atitinkantis Faktoringo sandoris yra įtrauktas į Portfelį (įtrauktas į ataskaitinio laikotarpio Portfelio ataskaitą) ir sumokėtas garantijos mokestis. Portfelio ataskaita rengiama kartą per ketvirtį. Pateikus ataskaitą, </w:t>
      </w:r>
      <w:r>
        <w:rPr>
          <w:rFonts w:ascii="Times New Roman" w:hAnsi="Times New Roman"/>
          <w:bCs/>
          <w:sz w:val="24"/>
          <w:szCs w:val="24"/>
        </w:rPr>
        <w:t>PGF2</w:t>
      </w:r>
      <w:r w:rsidRPr="002E4CFB">
        <w:rPr>
          <w:rFonts w:ascii="Times New Roman" w:hAnsi="Times New Roman"/>
          <w:bCs/>
          <w:sz w:val="24"/>
          <w:szCs w:val="24"/>
        </w:rPr>
        <w:t xml:space="preserve"> priemonės valdytojas INVEGOS fondui perveda </w:t>
      </w:r>
      <w:r w:rsidRPr="002E4CFB">
        <w:rPr>
          <w:rFonts w:ascii="Times New Roman" w:hAnsi="Times New Roman"/>
          <w:bCs/>
          <w:sz w:val="24"/>
          <w:szCs w:val="24"/>
        </w:rPr>
        <w:lastRenderedPageBreak/>
        <w:t xml:space="preserve">garantijos mokestį už kiekvieną į Portfelį įtraukiamą Faktoringo sandorį, kaip nustatyta žemiau pagrindinių sąvokų ir sąlygų lentelėje. Mokestis priklauso nuo įtraukiamos į Portfelį garantuojamos Faktoringo limito sumos ir </w:t>
      </w:r>
      <w:r w:rsidRPr="002E4CFB">
        <w:rPr>
          <w:rFonts w:ascii="Times New Roman" w:hAnsi="Times New Roman"/>
          <w:sz w:val="24"/>
          <w:szCs w:val="24"/>
        </w:rPr>
        <w:t>Maksimalaus mokėjimo atidėjimo pirkėjams termino</w:t>
      </w:r>
      <w:r w:rsidRPr="002E4CFB">
        <w:rPr>
          <w:rFonts w:ascii="Times New Roman" w:hAnsi="Times New Roman"/>
          <w:bCs/>
          <w:sz w:val="24"/>
          <w:szCs w:val="24"/>
        </w:rPr>
        <w:t>.</w:t>
      </w:r>
    </w:p>
    <w:p w14:paraId="4A483924" w14:textId="77777777" w:rsidR="00035106" w:rsidRPr="0041074D" w:rsidRDefault="00035106" w:rsidP="00035106">
      <w:pPr>
        <w:autoSpaceDE w:val="0"/>
        <w:autoSpaceDN w:val="0"/>
        <w:adjustRightInd w:val="0"/>
        <w:spacing w:after="0" w:line="240" w:lineRule="auto"/>
        <w:ind w:firstLine="851"/>
        <w:jc w:val="both"/>
        <w:rPr>
          <w:rFonts w:ascii="Times New Roman" w:hAnsi="Times New Roman"/>
          <w:b/>
          <w:sz w:val="24"/>
        </w:rPr>
      </w:pPr>
    </w:p>
    <w:p w14:paraId="4FC4E5AE" w14:textId="77777777" w:rsidR="00035106" w:rsidRPr="00063843" w:rsidRDefault="00035106" w:rsidP="00035106">
      <w:pPr>
        <w:jc w:val="center"/>
        <w:rPr>
          <w:rFonts w:ascii="Times New Roman" w:hAnsi="Times New Roman"/>
          <w:b/>
          <w:bCs/>
          <w:sz w:val="24"/>
          <w:szCs w:val="24"/>
        </w:rPr>
      </w:pPr>
      <w:r w:rsidRPr="00063843">
        <w:rPr>
          <w:rFonts w:ascii="Times New Roman" w:hAnsi="Times New Roman"/>
          <w:b/>
          <w:bCs/>
          <w:sz w:val="24"/>
          <w:szCs w:val="24"/>
        </w:rPr>
        <w:t xml:space="preserve">4. </w:t>
      </w:r>
      <w:r>
        <w:rPr>
          <w:rFonts w:ascii="Times New Roman" w:hAnsi="Times New Roman"/>
          <w:b/>
          <w:bCs/>
          <w:sz w:val="24"/>
          <w:szCs w:val="24"/>
        </w:rPr>
        <w:t>PGF2</w:t>
      </w:r>
      <w:r w:rsidRPr="00063843">
        <w:rPr>
          <w:rFonts w:ascii="Times New Roman" w:hAnsi="Times New Roman"/>
          <w:b/>
          <w:bCs/>
          <w:sz w:val="24"/>
          <w:szCs w:val="24"/>
        </w:rPr>
        <w:t xml:space="preserve"> PRIEMONĖS SCHEMA</w:t>
      </w:r>
    </w:p>
    <w:p w14:paraId="4FAC289D" w14:textId="77777777" w:rsidR="00035106" w:rsidRDefault="00035106" w:rsidP="00035106">
      <w:pPr>
        <w:autoSpaceDE w:val="0"/>
        <w:autoSpaceDN w:val="0"/>
        <w:adjustRightInd w:val="0"/>
        <w:spacing w:after="0" w:line="240" w:lineRule="auto"/>
        <w:ind w:firstLine="851"/>
        <w:jc w:val="both"/>
        <w:rPr>
          <w:rFonts w:ascii="Times New Roman" w:hAnsi="Times New Roman"/>
          <w:bCs/>
          <w:sz w:val="24"/>
          <w:szCs w:val="24"/>
        </w:rPr>
      </w:pPr>
    </w:p>
    <w:p w14:paraId="1A9EF82A" w14:textId="77777777" w:rsidR="00035106" w:rsidRPr="00105055" w:rsidRDefault="00035106" w:rsidP="00035106">
      <w:pPr>
        <w:autoSpaceDE w:val="0"/>
        <w:autoSpaceDN w:val="0"/>
        <w:adjustRightInd w:val="0"/>
        <w:spacing w:after="0" w:line="240" w:lineRule="auto"/>
        <w:ind w:firstLine="851"/>
        <w:jc w:val="both"/>
        <w:rPr>
          <w:rFonts w:ascii="Times New Roman" w:hAnsi="Times New Roman"/>
          <w:b/>
          <w:bCs/>
          <w:sz w:val="24"/>
          <w:szCs w:val="24"/>
        </w:rPr>
      </w:pPr>
      <w:r w:rsidRPr="00105055">
        <w:rPr>
          <w:rFonts w:ascii="Times New Roman" w:hAnsi="Times New Roman"/>
          <w:b/>
          <w:bCs/>
          <w:sz w:val="24"/>
          <w:szCs w:val="24"/>
        </w:rPr>
        <w:t>Pavyzdys</w:t>
      </w:r>
    </w:p>
    <w:p w14:paraId="5FA310AA" w14:textId="77777777" w:rsidR="00035106" w:rsidRDefault="00035106" w:rsidP="00035106">
      <w:pPr>
        <w:autoSpaceDE w:val="0"/>
        <w:autoSpaceDN w:val="0"/>
        <w:adjustRightInd w:val="0"/>
        <w:spacing w:after="0" w:line="240" w:lineRule="auto"/>
        <w:ind w:firstLine="851"/>
        <w:jc w:val="both"/>
        <w:rPr>
          <w:rFonts w:ascii="Times New Roman" w:hAnsi="Times New Roman"/>
          <w:bCs/>
          <w:sz w:val="24"/>
          <w:szCs w:val="24"/>
        </w:rPr>
      </w:pPr>
    </w:p>
    <w:p w14:paraId="0DC32673" w14:textId="77777777" w:rsidR="00035106" w:rsidRPr="00105055" w:rsidRDefault="00035106" w:rsidP="00035106">
      <w:pPr>
        <w:spacing w:after="0" w:line="240" w:lineRule="auto"/>
        <w:ind w:firstLine="851"/>
        <w:textAlignment w:val="baseline"/>
        <w:rPr>
          <w:rFonts w:ascii="Times New Roman" w:hAnsi="Times New Roman"/>
          <w:b/>
          <w:bCs/>
          <w:sz w:val="24"/>
          <w:szCs w:val="24"/>
        </w:rPr>
      </w:pPr>
      <w:r>
        <w:rPr>
          <w:rFonts w:ascii="Times New Roman" w:hAnsi="Times New Roman"/>
          <w:b/>
          <w:bCs/>
          <w:sz w:val="24"/>
          <w:szCs w:val="24"/>
        </w:rPr>
        <w:t>Vieno PGF</w:t>
      </w:r>
      <w:r>
        <w:rPr>
          <w:rFonts w:ascii="Times New Roman" w:hAnsi="Times New Roman"/>
          <w:b/>
          <w:bCs/>
          <w:sz w:val="24"/>
          <w:szCs w:val="24"/>
          <w:lang w:val="en-US"/>
        </w:rPr>
        <w:t>2 priemonės valdytojo</w:t>
      </w:r>
      <w:r>
        <w:rPr>
          <w:rFonts w:ascii="Times New Roman" w:hAnsi="Times New Roman"/>
          <w:b/>
          <w:bCs/>
          <w:sz w:val="24"/>
          <w:szCs w:val="24"/>
        </w:rPr>
        <w:t xml:space="preserve"> </w:t>
      </w:r>
      <w:r w:rsidRPr="00105055">
        <w:rPr>
          <w:rFonts w:ascii="Times New Roman" w:hAnsi="Times New Roman"/>
          <w:b/>
          <w:bCs/>
          <w:sz w:val="24"/>
          <w:szCs w:val="24"/>
        </w:rPr>
        <w:t>Faktoringo sandorių Portfelis (</w:t>
      </w:r>
      <w:r>
        <w:rPr>
          <w:rFonts w:ascii="Times New Roman" w:hAnsi="Times New Roman"/>
          <w:b/>
          <w:bCs/>
          <w:sz w:val="24"/>
          <w:szCs w:val="24"/>
        </w:rPr>
        <w:t>10</w:t>
      </w:r>
      <w:r w:rsidRPr="00105055">
        <w:rPr>
          <w:rFonts w:ascii="Times New Roman" w:hAnsi="Times New Roman"/>
          <w:b/>
          <w:bCs/>
          <w:sz w:val="24"/>
          <w:szCs w:val="24"/>
        </w:rPr>
        <w:t xml:space="preserve"> mln. Eur)</w:t>
      </w:r>
    </w:p>
    <w:p w14:paraId="12A6B158" w14:textId="77777777" w:rsidR="00035106" w:rsidRPr="00105055" w:rsidRDefault="00035106" w:rsidP="00035106">
      <w:pPr>
        <w:autoSpaceDE w:val="0"/>
        <w:autoSpaceDN w:val="0"/>
        <w:adjustRightInd w:val="0"/>
        <w:spacing w:after="0" w:line="240" w:lineRule="auto"/>
        <w:ind w:firstLine="851"/>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584"/>
      </w:tblGrid>
      <w:tr w:rsidR="00035106" w:rsidRPr="00BF4F96" w14:paraId="1931EA9A" w14:textId="77777777" w:rsidTr="009873E8">
        <w:trPr>
          <w:trHeight w:val="3639"/>
        </w:trPr>
        <w:tc>
          <w:tcPr>
            <w:tcW w:w="3227" w:type="dxa"/>
            <w:vMerge w:val="restart"/>
            <w:shd w:val="clear" w:color="auto" w:fill="auto"/>
            <w:vAlign w:val="center"/>
          </w:tcPr>
          <w:p w14:paraId="1FEE2CDA" w14:textId="77777777" w:rsidR="00035106" w:rsidRDefault="00035106" w:rsidP="009873E8">
            <w:pPr>
              <w:pStyle w:val="NormalWeb"/>
              <w:spacing w:before="0" w:beforeAutospacing="0" w:after="0" w:afterAutospacing="0"/>
              <w:jc w:val="center"/>
              <w:textAlignment w:val="baseline"/>
            </w:pPr>
            <w:r w:rsidRPr="00BF4F96">
              <w:rPr>
                <w:rFonts w:eastAsia="MS PGothic"/>
                <w:b/>
                <w:bCs/>
                <w:color w:val="000000"/>
                <w:kern w:val="24"/>
              </w:rPr>
              <w:t>Negarantuota</w:t>
            </w:r>
          </w:p>
          <w:p w14:paraId="0F3B5D4C" w14:textId="77777777" w:rsidR="00035106" w:rsidRDefault="00035106" w:rsidP="009873E8">
            <w:pPr>
              <w:pStyle w:val="NormalWeb"/>
              <w:spacing w:before="0" w:beforeAutospacing="0" w:after="0" w:afterAutospacing="0"/>
              <w:jc w:val="center"/>
              <w:textAlignment w:val="baseline"/>
            </w:pPr>
            <w:r w:rsidRPr="00BF4F96">
              <w:rPr>
                <w:rFonts w:eastAsia="MS PGothic"/>
                <w:b/>
                <w:bCs/>
                <w:color w:val="000000"/>
                <w:kern w:val="24"/>
              </w:rPr>
              <w:t>dalis</w:t>
            </w:r>
          </w:p>
          <w:p w14:paraId="7376E5A1" w14:textId="77777777" w:rsidR="00035106" w:rsidRDefault="00035106" w:rsidP="009873E8">
            <w:pPr>
              <w:pStyle w:val="NormalWeb"/>
              <w:spacing w:before="0" w:beforeAutospacing="0" w:after="0" w:afterAutospacing="0"/>
              <w:jc w:val="center"/>
              <w:textAlignment w:val="baseline"/>
            </w:pPr>
            <w:r w:rsidRPr="00BF4F96">
              <w:rPr>
                <w:rFonts w:eastAsia="MS PGothic"/>
                <w:b/>
                <w:bCs/>
                <w:color w:val="000000"/>
                <w:kern w:val="24"/>
              </w:rPr>
              <w:t>(</w:t>
            </w:r>
            <w:r>
              <w:rPr>
                <w:rFonts w:eastAsia="MS PGothic"/>
                <w:b/>
                <w:bCs/>
                <w:color w:val="000000"/>
                <w:kern w:val="24"/>
              </w:rPr>
              <w:t>2</w:t>
            </w:r>
            <w:r w:rsidRPr="00BF4F96">
              <w:rPr>
                <w:rFonts w:eastAsia="MS PGothic"/>
                <w:b/>
                <w:bCs/>
                <w:color w:val="000000"/>
                <w:kern w:val="24"/>
              </w:rPr>
              <w:t xml:space="preserve"> mln. Eur)</w:t>
            </w:r>
            <w:r w:rsidRPr="00BF4F96">
              <w:rPr>
                <w:rFonts w:eastAsia="MS PGothic"/>
                <w:b/>
                <w:bCs/>
                <w:color w:val="FFFFFF"/>
                <w:kern w:val="24"/>
              </w:rPr>
              <w:t>)</w:t>
            </w:r>
          </w:p>
          <w:p w14:paraId="33543418" w14:textId="77777777" w:rsidR="00035106" w:rsidRPr="00BF4F96" w:rsidRDefault="00035106" w:rsidP="009873E8">
            <w:pPr>
              <w:autoSpaceDE w:val="0"/>
              <w:autoSpaceDN w:val="0"/>
              <w:adjustRightInd w:val="0"/>
              <w:spacing w:after="0" w:line="240" w:lineRule="auto"/>
              <w:jc w:val="center"/>
              <w:rPr>
                <w:rFonts w:ascii="Times New Roman" w:hAnsi="Times New Roman"/>
                <w:bCs/>
                <w:sz w:val="24"/>
                <w:szCs w:val="24"/>
              </w:rPr>
            </w:pPr>
          </w:p>
        </w:tc>
        <w:tc>
          <w:tcPr>
            <w:tcW w:w="5670" w:type="dxa"/>
            <w:shd w:val="clear" w:color="auto" w:fill="auto"/>
            <w:vAlign w:val="center"/>
          </w:tcPr>
          <w:p w14:paraId="405F580F" w14:textId="77777777" w:rsidR="00035106" w:rsidRPr="00BF4F96" w:rsidRDefault="00035106" w:rsidP="009873E8">
            <w:pPr>
              <w:spacing w:after="0" w:line="240" w:lineRule="auto"/>
              <w:jc w:val="center"/>
              <w:textAlignment w:val="baseline"/>
              <w:rPr>
                <w:rFonts w:ascii="Times New Roman" w:eastAsia="MS PGothic" w:hAnsi="Times New Roman"/>
                <w:b/>
                <w:bCs/>
                <w:color w:val="000000"/>
                <w:kern w:val="24"/>
                <w:sz w:val="24"/>
                <w:szCs w:val="24"/>
                <w:lang w:eastAsia="lt-LT"/>
              </w:rPr>
            </w:pPr>
          </w:p>
          <w:p w14:paraId="24C1FB09" w14:textId="77777777" w:rsidR="00035106" w:rsidRPr="00BF4F96" w:rsidRDefault="00035106" w:rsidP="009873E8">
            <w:pPr>
              <w:spacing w:after="0" w:line="240" w:lineRule="auto"/>
              <w:jc w:val="center"/>
              <w:textAlignment w:val="baseline"/>
              <w:rPr>
                <w:rFonts w:ascii="Times New Roman" w:eastAsia="MS PGothic" w:hAnsi="Times New Roman"/>
                <w:b/>
                <w:bCs/>
                <w:color w:val="000000"/>
                <w:kern w:val="24"/>
                <w:sz w:val="24"/>
                <w:szCs w:val="24"/>
                <w:lang w:eastAsia="lt-LT"/>
              </w:rPr>
            </w:pPr>
          </w:p>
          <w:p w14:paraId="40C85BF7" w14:textId="77777777" w:rsidR="00035106" w:rsidRPr="00BF4F96" w:rsidRDefault="00035106" w:rsidP="009873E8">
            <w:pPr>
              <w:spacing w:after="0" w:line="240" w:lineRule="auto"/>
              <w:jc w:val="center"/>
              <w:textAlignment w:val="baseline"/>
              <w:rPr>
                <w:rFonts w:ascii="Times New Roman" w:eastAsia="MS PGothic" w:hAnsi="Times New Roman"/>
                <w:b/>
                <w:bCs/>
                <w:color w:val="000000"/>
                <w:kern w:val="24"/>
                <w:sz w:val="24"/>
                <w:szCs w:val="24"/>
                <w:lang w:eastAsia="lt-LT"/>
              </w:rPr>
            </w:pPr>
          </w:p>
          <w:p w14:paraId="617CE872" w14:textId="77777777" w:rsidR="00035106" w:rsidRPr="00105055" w:rsidRDefault="00035106" w:rsidP="009873E8">
            <w:pPr>
              <w:spacing w:after="0" w:line="240" w:lineRule="auto"/>
              <w:jc w:val="center"/>
              <w:textAlignment w:val="baseline"/>
              <w:rPr>
                <w:rFonts w:ascii="Times New Roman" w:eastAsia="Times New Roman" w:hAnsi="Times New Roman"/>
                <w:sz w:val="24"/>
                <w:szCs w:val="24"/>
                <w:lang w:eastAsia="lt-LT"/>
              </w:rPr>
            </w:pPr>
            <w:r>
              <w:rPr>
                <w:noProof/>
                <w:lang w:eastAsia="lt-LT"/>
              </w:rPr>
              <mc:AlternateContent>
                <mc:Choice Requires="wps">
                  <w:drawing>
                    <wp:anchor distT="0" distB="0" distL="114300" distR="114300" simplePos="0" relativeHeight="251659264" behindDoc="0" locked="0" layoutInCell="1" allowOverlap="1" wp14:anchorId="525A4E4D" wp14:editId="6D7AB2D7">
                      <wp:simplePos x="0" y="0"/>
                      <wp:positionH relativeFrom="column">
                        <wp:posOffset>3054350</wp:posOffset>
                      </wp:positionH>
                      <wp:positionV relativeFrom="paragraph">
                        <wp:posOffset>98425</wp:posOffset>
                      </wp:positionV>
                      <wp:extent cx="1247775" cy="1019175"/>
                      <wp:effectExtent l="914400" t="0" r="9525" b="6762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1019175"/>
                              </a:xfrm>
                              <a:prstGeom prst="borderCallout2">
                                <a:avLst>
                                  <a:gd name="adj1" fmla="val 6060"/>
                                  <a:gd name="adj2" fmla="val -7546"/>
                                  <a:gd name="adj3" fmla="val 6060"/>
                                  <a:gd name="adj4" fmla="val -15847"/>
                                  <a:gd name="adj5" fmla="val 164316"/>
                                  <a:gd name="adj6" fmla="val -72410"/>
                                </a:avLst>
                              </a:prstGeom>
                              <a:solidFill>
                                <a:srgbClr val="FFFF00"/>
                              </a:solidFill>
                              <a:ln w="9525">
                                <a:solidFill>
                                  <a:srgbClr val="000000"/>
                                </a:solidFill>
                                <a:miter lim="800000"/>
                                <a:headEnd/>
                                <a:tailEnd/>
                              </a:ln>
                            </wps:spPr>
                            <wps:txbx>
                              <w:txbxContent>
                                <w:p w14:paraId="1B39704A" w14:textId="77777777" w:rsidR="00355A35" w:rsidRPr="00D23B9E" w:rsidRDefault="00355A35" w:rsidP="00035106">
                                  <w:pPr>
                                    <w:jc w:val="center"/>
                                    <w:rPr>
                                      <w:rFonts w:ascii="Times New Roman" w:hAnsi="Times New Roman"/>
                                      <w:b/>
                                    </w:rPr>
                                  </w:pPr>
                                  <w:r w:rsidRPr="00D23B9E">
                                    <w:rPr>
                                      <w:rFonts w:ascii="Times New Roman" w:hAnsi="Times New Roman"/>
                                      <w:b/>
                                    </w:rPr>
                                    <w:t xml:space="preserve">Finansavimas iš fondo </w:t>
                                  </w:r>
                                  <w:r>
                                    <w:rPr>
                                      <w:rFonts w:ascii="Times New Roman" w:hAnsi="Times New Roman"/>
                                      <w:b/>
                                    </w:rPr>
                                    <w:t>1,6</w:t>
                                  </w:r>
                                  <w:r w:rsidRPr="00D23B9E">
                                    <w:rPr>
                                      <w:rFonts w:ascii="Times New Roman" w:hAnsi="Times New Roman"/>
                                      <w:b/>
                                    </w:rPr>
                                    <w:t xml:space="preserve"> mln. Eur, jei taikomas garantijos dydis yra 80</w:t>
                                  </w:r>
                                  <w:r w:rsidRPr="00D23B9E">
                                    <w:rPr>
                                      <w:rFonts w:ascii="Times New Roman" w:hAnsi="Times New Roman"/>
                                      <w:b/>
                                      <w:lang w:val="fr-FR"/>
                                    </w:rPr>
                                    <w:t>%</w:t>
                                  </w:r>
                                </w:p>
                                <w:p w14:paraId="059586E0" w14:textId="77777777" w:rsidR="00355A35" w:rsidRPr="00D23B9E" w:rsidRDefault="00355A35" w:rsidP="00035106">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A4E4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0" o:spid="_x0000_s1026" type="#_x0000_t48" style="position:absolute;left:0;text-align:left;margin-left:240.5pt;margin-top:7.75pt;width:98.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" adj="-15641,35492,-3423,1309,-1630,1309" fillcolor="yellow">
                      <v:textbox>
                        <w:txbxContent>
                          <w:p w14:paraId="1B39704A" w14:textId="77777777" w:rsidR="00355A35" w:rsidRPr="00D23B9E" w:rsidRDefault="00355A35" w:rsidP="00035106">
                            <w:pPr>
                              <w:jc w:val="center"/>
                              <w:rPr>
                                <w:rFonts w:ascii="Times New Roman" w:hAnsi="Times New Roman"/>
                                <w:b/>
                              </w:rPr>
                            </w:pPr>
                            <w:r w:rsidRPr="00D23B9E">
                              <w:rPr>
                                <w:rFonts w:ascii="Times New Roman" w:hAnsi="Times New Roman"/>
                                <w:b/>
                              </w:rPr>
                              <w:t xml:space="preserve">Finansavimas iš fondo </w:t>
                            </w:r>
                            <w:r>
                              <w:rPr>
                                <w:rFonts w:ascii="Times New Roman" w:hAnsi="Times New Roman"/>
                                <w:b/>
                              </w:rPr>
                              <w:t>1,6</w:t>
                            </w:r>
                            <w:r w:rsidRPr="00D23B9E">
                              <w:rPr>
                                <w:rFonts w:ascii="Times New Roman" w:hAnsi="Times New Roman"/>
                                <w:b/>
                              </w:rPr>
                              <w:t xml:space="preserve"> mln. Eur, jei taikomas garantijos dydis yra 80</w:t>
                            </w:r>
                            <w:r w:rsidRPr="00D23B9E">
                              <w:rPr>
                                <w:rFonts w:ascii="Times New Roman" w:hAnsi="Times New Roman"/>
                                <w:b/>
                                <w:lang w:val="fr-FR"/>
                              </w:rPr>
                              <w:t>%</w:t>
                            </w:r>
                          </w:p>
                          <w:p w14:paraId="059586E0" w14:textId="77777777" w:rsidR="00355A35" w:rsidRPr="00D23B9E" w:rsidRDefault="00355A35" w:rsidP="00035106">
                            <w:pPr>
                              <w:rPr>
                                <w:rFonts w:ascii="Times New Roman" w:hAnsi="Times New Roman"/>
                              </w:rPr>
                            </w:pPr>
                          </w:p>
                        </w:txbxContent>
                      </v:textbox>
                      <o:callout v:ext="edit" minusy="t"/>
                    </v:shape>
                  </w:pict>
                </mc:Fallback>
              </mc:AlternateContent>
            </w:r>
            <w:r w:rsidRPr="00105055">
              <w:rPr>
                <w:rFonts w:ascii="Times New Roman" w:eastAsia="MS PGothic" w:hAnsi="Times New Roman"/>
                <w:b/>
                <w:bCs/>
                <w:color w:val="000000"/>
                <w:kern w:val="24"/>
                <w:sz w:val="24"/>
                <w:szCs w:val="24"/>
                <w:lang w:eastAsia="lt-LT"/>
              </w:rPr>
              <w:t>Garantuota</w:t>
            </w:r>
          </w:p>
          <w:p w14:paraId="0FEE55D4" w14:textId="77777777" w:rsidR="00035106" w:rsidRPr="00105055" w:rsidRDefault="00035106" w:rsidP="009873E8">
            <w:pPr>
              <w:spacing w:after="0" w:line="240" w:lineRule="auto"/>
              <w:jc w:val="center"/>
              <w:textAlignment w:val="baseline"/>
              <w:rPr>
                <w:rFonts w:ascii="Times New Roman" w:eastAsia="Times New Roman" w:hAnsi="Times New Roman"/>
                <w:sz w:val="24"/>
                <w:szCs w:val="24"/>
                <w:lang w:eastAsia="lt-LT"/>
              </w:rPr>
            </w:pPr>
            <w:r w:rsidRPr="00105055">
              <w:rPr>
                <w:rFonts w:ascii="Times New Roman" w:eastAsia="MS PGothic" w:hAnsi="Times New Roman"/>
                <w:b/>
                <w:bCs/>
                <w:color w:val="000000"/>
                <w:kern w:val="24"/>
                <w:sz w:val="24"/>
                <w:szCs w:val="24"/>
                <w:lang w:eastAsia="lt-LT"/>
              </w:rPr>
              <w:t>dalis</w:t>
            </w:r>
          </w:p>
          <w:p w14:paraId="455F5585" w14:textId="77777777" w:rsidR="00035106" w:rsidRPr="00105055" w:rsidRDefault="00035106" w:rsidP="009873E8">
            <w:pPr>
              <w:spacing w:after="0" w:line="240" w:lineRule="auto"/>
              <w:jc w:val="center"/>
              <w:textAlignment w:val="baseline"/>
              <w:rPr>
                <w:rFonts w:ascii="Times New Roman" w:eastAsia="Times New Roman" w:hAnsi="Times New Roman"/>
                <w:sz w:val="24"/>
                <w:szCs w:val="24"/>
                <w:lang w:eastAsia="lt-LT"/>
              </w:rPr>
            </w:pPr>
            <w:r w:rsidRPr="00105055">
              <w:rPr>
                <w:rFonts w:ascii="Times New Roman" w:eastAsia="MS PGothic" w:hAnsi="Times New Roman"/>
                <w:b/>
                <w:bCs/>
                <w:color w:val="000000"/>
                <w:kern w:val="24"/>
                <w:sz w:val="24"/>
                <w:szCs w:val="24"/>
                <w:lang w:eastAsia="lt-LT"/>
              </w:rPr>
              <w:t>(</w:t>
            </w:r>
            <w:r>
              <w:rPr>
                <w:rFonts w:ascii="Times New Roman" w:eastAsia="MS PGothic" w:hAnsi="Times New Roman"/>
                <w:b/>
                <w:bCs/>
                <w:color w:val="000000"/>
                <w:kern w:val="24"/>
                <w:sz w:val="24"/>
                <w:szCs w:val="24"/>
                <w:lang w:eastAsia="lt-LT"/>
              </w:rPr>
              <w:t>8</w:t>
            </w:r>
            <w:r w:rsidRPr="00105055">
              <w:rPr>
                <w:rFonts w:ascii="Times New Roman" w:eastAsia="MS PGothic" w:hAnsi="Times New Roman"/>
                <w:b/>
                <w:bCs/>
                <w:color w:val="000000"/>
                <w:kern w:val="24"/>
                <w:sz w:val="24"/>
                <w:szCs w:val="24"/>
                <w:lang w:eastAsia="lt-LT"/>
              </w:rPr>
              <w:t xml:space="preserve"> mln. Eur)</w:t>
            </w:r>
          </w:p>
          <w:p w14:paraId="7560AF4C" w14:textId="77777777" w:rsidR="00035106" w:rsidRPr="00BF4F96" w:rsidRDefault="00035106" w:rsidP="009873E8">
            <w:pPr>
              <w:autoSpaceDE w:val="0"/>
              <w:autoSpaceDN w:val="0"/>
              <w:adjustRightInd w:val="0"/>
              <w:spacing w:after="0" w:line="240" w:lineRule="auto"/>
              <w:jc w:val="center"/>
              <w:rPr>
                <w:rFonts w:ascii="Times New Roman" w:hAnsi="Times New Roman"/>
                <w:bCs/>
                <w:sz w:val="24"/>
                <w:szCs w:val="24"/>
              </w:rPr>
            </w:pPr>
          </w:p>
        </w:tc>
      </w:tr>
      <w:tr w:rsidR="00035106" w:rsidRPr="00BF4F96" w14:paraId="70D27C9C" w14:textId="77777777" w:rsidTr="009873E8">
        <w:trPr>
          <w:trHeight w:val="1409"/>
        </w:trPr>
        <w:tc>
          <w:tcPr>
            <w:tcW w:w="3227" w:type="dxa"/>
            <w:vMerge/>
            <w:shd w:val="clear" w:color="auto" w:fill="auto"/>
          </w:tcPr>
          <w:p w14:paraId="2B01D051" w14:textId="77777777" w:rsidR="00035106" w:rsidRPr="00BF4F96" w:rsidRDefault="00035106" w:rsidP="009873E8">
            <w:pPr>
              <w:autoSpaceDE w:val="0"/>
              <w:autoSpaceDN w:val="0"/>
              <w:adjustRightInd w:val="0"/>
              <w:spacing w:after="0" w:line="240" w:lineRule="auto"/>
              <w:jc w:val="both"/>
              <w:rPr>
                <w:rFonts w:ascii="Times New Roman" w:hAnsi="Times New Roman"/>
                <w:bCs/>
                <w:sz w:val="24"/>
                <w:szCs w:val="24"/>
              </w:rPr>
            </w:pPr>
          </w:p>
        </w:tc>
        <w:tc>
          <w:tcPr>
            <w:tcW w:w="5670" w:type="dxa"/>
            <w:shd w:val="clear" w:color="auto" w:fill="8DB3E2"/>
            <w:vAlign w:val="center"/>
          </w:tcPr>
          <w:p w14:paraId="7FA17A01" w14:textId="77777777" w:rsidR="00035106" w:rsidRPr="00BF4F96" w:rsidRDefault="00035106" w:rsidP="009873E8">
            <w:pPr>
              <w:spacing w:after="0" w:line="240" w:lineRule="auto"/>
              <w:jc w:val="center"/>
              <w:textAlignment w:val="baseline"/>
              <w:rPr>
                <w:rFonts w:ascii="Times New Roman" w:eastAsia="Times New Roman" w:hAnsi="Times New Roman"/>
                <w:sz w:val="24"/>
                <w:szCs w:val="24"/>
                <w:lang w:eastAsia="lt-LT"/>
              </w:rPr>
            </w:pPr>
            <w:r w:rsidRPr="00105055">
              <w:rPr>
                <w:rFonts w:ascii="Times New Roman" w:eastAsia="MS PGothic" w:hAnsi="Times New Roman"/>
                <w:b/>
                <w:bCs/>
                <w:color w:val="000000"/>
                <w:kern w:val="24"/>
                <w:sz w:val="24"/>
                <w:szCs w:val="24"/>
                <w:lang w:eastAsia="lt-LT"/>
              </w:rPr>
              <w:t>Garantija: 80% kiekvieno į Portfelį įtraukto Faktoringo sandorio sumos, tačiau</w:t>
            </w:r>
            <w:r w:rsidRPr="006E715A">
              <w:rPr>
                <w:rFonts w:ascii="Times New Roman" w:eastAsia="MS PGothic" w:hAnsi="Times New Roman"/>
                <w:b/>
                <w:bCs/>
                <w:color w:val="000000"/>
                <w:kern w:val="24"/>
                <w:sz w:val="24"/>
                <w:szCs w:val="24"/>
                <w:lang w:eastAsia="lt-LT"/>
              </w:rPr>
              <w:t xml:space="preserve"> </w:t>
            </w:r>
            <w:r w:rsidRPr="00105055">
              <w:rPr>
                <w:rFonts w:ascii="Times New Roman" w:eastAsia="MS PGothic" w:hAnsi="Times New Roman"/>
                <w:b/>
                <w:bCs/>
                <w:color w:val="000000"/>
                <w:kern w:val="24"/>
                <w:sz w:val="24"/>
                <w:szCs w:val="24"/>
                <w:lang w:eastAsia="lt-LT"/>
              </w:rPr>
              <w:t>iki 20</w:t>
            </w:r>
            <w:r w:rsidRPr="006E715A">
              <w:rPr>
                <w:rFonts w:ascii="Times New Roman" w:eastAsia="MS PGothic" w:hAnsi="Times New Roman"/>
                <w:b/>
                <w:bCs/>
                <w:color w:val="000000"/>
                <w:kern w:val="24"/>
                <w:sz w:val="24"/>
                <w:szCs w:val="24"/>
                <w:lang w:eastAsia="lt-LT"/>
              </w:rPr>
              <w:t>%</w:t>
            </w:r>
            <w:r w:rsidRPr="00105055">
              <w:rPr>
                <w:rFonts w:ascii="Times New Roman" w:eastAsia="MS PGothic" w:hAnsi="Times New Roman"/>
                <w:b/>
                <w:bCs/>
                <w:color w:val="000000"/>
                <w:kern w:val="24"/>
                <w:sz w:val="24"/>
                <w:szCs w:val="24"/>
                <w:lang w:eastAsia="lt-LT"/>
              </w:rPr>
              <w:t xml:space="preserve"> Viršutinės</w:t>
            </w:r>
            <w:r w:rsidRPr="006E715A">
              <w:rPr>
                <w:rFonts w:ascii="Times New Roman" w:eastAsia="MS PGothic" w:hAnsi="Times New Roman"/>
                <w:b/>
                <w:bCs/>
                <w:color w:val="000000"/>
                <w:kern w:val="24"/>
                <w:sz w:val="24"/>
                <w:szCs w:val="24"/>
                <w:lang w:eastAsia="lt-LT"/>
              </w:rPr>
              <w:t xml:space="preserve"> </w:t>
            </w:r>
            <w:r w:rsidRPr="00105055">
              <w:rPr>
                <w:rFonts w:ascii="Times New Roman" w:eastAsia="MS PGothic" w:hAnsi="Times New Roman"/>
                <w:b/>
                <w:bCs/>
                <w:color w:val="000000"/>
                <w:kern w:val="24"/>
                <w:sz w:val="24"/>
                <w:szCs w:val="24"/>
                <w:lang w:eastAsia="lt-LT"/>
              </w:rPr>
              <w:t>ribos normos dydžio</w:t>
            </w:r>
          </w:p>
        </w:tc>
      </w:tr>
    </w:tbl>
    <w:p w14:paraId="56035D70" w14:textId="77777777" w:rsidR="00035106" w:rsidRPr="007D59D5" w:rsidRDefault="00035106" w:rsidP="00035106">
      <w:pPr>
        <w:autoSpaceDE w:val="0"/>
        <w:autoSpaceDN w:val="0"/>
        <w:adjustRightInd w:val="0"/>
        <w:spacing w:after="0" w:line="240" w:lineRule="auto"/>
        <w:ind w:firstLine="851"/>
        <w:jc w:val="both"/>
        <w:rPr>
          <w:rFonts w:ascii="Times New Roman" w:hAnsi="Times New Roman"/>
          <w:sz w:val="24"/>
        </w:rPr>
      </w:pPr>
    </w:p>
    <w:p w14:paraId="5A2479C3" w14:textId="77777777" w:rsidR="00035106" w:rsidRDefault="00035106" w:rsidP="00035106">
      <w:pPr>
        <w:keepNext/>
        <w:autoSpaceDE w:val="0"/>
        <w:autoSpaceDN w:val="0"/>
        <w:adjustRightInd w:val="0"/>
        <w:spacing w:after="0" w:line="240" w:lineRule="auto"/>
        <w:ind w:firstLine="851"/>
        <w:jc w:val="center"/>
        <w:rPr>
          <w:rFonts w:ascii="Times New Roman" w:hAnsi="Times New Roman"/>
          <w:b/>
          <w:bCs/>
          <w:sz w:val="24"/>
          <w:szCs w:val="24"/>
        </w:rPr>
      </w:pPr>
      <w:r>
        <w:rPr>
          <w:rFonts w:ascii="Times New Roman" w:hAnsi="Times New Roman"/>
          <w:b/>
          <w:bCs/>
          <w:sz w:val="24"/>
          <w:szCs w:val="24"/>
        </w:rPr>
        <w:lastRenderedPageBreak/>
        <w:t xml:space="preserve">5. </w:t>
      </w:r>
      <w:r w:rsidRPr="00F9257E">
        <w:rPr>
          <w:rFonts w:ascii="Times New Roman" w:hAnsi="Times New Roman"/>
          <w:b/>
          <w:bCs/>
          <w:sz w:val="24"/>
          <w:szCs w:val="24"/>
        </w:rPr>
        <w:t>PAGRINDINĖS SĄVOKOS IR SĄLYGOS</w:t>
      </w:r>
      <w:r w:rsidRPr="00180CEE" w:rsidDel="00F9257E">
        <w:rPr>
          <w:rFonts w:ascii="Times New Roman" w:hAnsi="Times New Roman"/>
          <w:b/>
          <w:bCs/>
          <w:sz w:val="24"/>
          <w:szCs w:val="24"/>
        </w:rPr>
        <w:t xml:space="preserve"> </w:t>
      </w:r>
    </w:p>
    <w:p w14:paraId="44601325" w14:textId="77777777" w:rsidR="00035106" w:rsidRDefault="00035106" w:rsidP="00035106">
      <w:pPr>
        <w:keepNext/>
        <w:autoSpaceDE w:val="0"/>
        <w:autoSpaceDN w:val="0"/>
        <w:adjustRightInd w:val="0"/>
        <w:spacing w:after="0" w:line="240" w:lineRule="auto"/>
        <w:ind w:firstLine="851"/>
        <w:jc w:val="center"/>
        <w:rPr>
          <w:rFonts w:ascii="Times New Roman" w:hAnsi="Times New Roman"/>
          <w:b/>
          <w:bCs/>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7321"/>
      </w:tblGrid>
      <w:tr w:rsidR="00035106" w:rsidRPr="00B751E6" w14:paraId="27134106" w14:textId="77777777" w:rsidTr="00D95057">
        <w:trPr>
          <w:trHeight w:val="475"/>
        </w:trPr>
        <w:tc>
          <w:tcPr>
            <w:tcW w:w="2030" w:type="dxa"/>
          </w:tcPr>
          <w:p w14:paraId="34CB3C19" w14:textId="77777777" w:rsidR="00035106" w:rsidRPr="000007F2" w:rsidRDefault="00035106" w:rsidP="009873E8">
            <w:pPr>
              <w:keepNext/>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PGF2 p</w:t>
            </w:r>
            <w:r w:rsidRPr="000007F2">
              <w:rPr>
                <w:rFonts w:ascii="Times New Roman" w:hAnsi="Times New Roman"/>
                <w:b/>
                <w:sz w:val="24"/>
                <w:szCs w:val="24"/>
              </w:rPr>
              <w:t xml:space="preserve">riemonė </w:t>
            </w:r>
          </w:p>
        </w:tc>
        <w:tc>
          <w:tcPr>
            <w:tcW w:w="7321" w:type="dxa"/>
          </w:tcPr>
          <w:p w14:paraId="73CD53C2" w14:textId="77777777" w:rsidR="00035106" w:rsidRPr="00763981"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Finansų inžinerijos priemonė „Portfelinės garantijos faktoringo sandoriams </w:t>
            </w:r>
            <w:r w:rsidRPr="007D59D5">
              <w:rPr>
                <w:rFonts w:ascii="Times New Roman" w:hAnsi="Times New Roman"/>
                <w:sz w:val="24"/>
                <w:szCs w:val="24"/>
              </w:rPr>
              <w:t>2</w:t>
            </w:r>
            <w:r>
              <w:rPr>
                <w:rFonts w:ascii="Times New Roman" w:hAnsi="Times New Roman"/>
                <w:sz w:val="24"/>
                <w:szCs w:val="24"/>
              </w:rPr>
              <w:t xml:space="preserve">“ </w:t>
            </w:r>
          </w:p>
        </w:tc>
      </w:tr>
      <w:tr w:rsidR="00035106" w:rsidRPr="00B751E6" w14:paraId="028469C4" w14:textId="77777777" w:rsidTr="00D95057">
        <w:trPr>
          <w:trHeight w:val="368"/>
        </w:trPr>
        <w:tc>
          <w:tcPr>
            <w:tcW w:w="2030" w:type="dxa"/>
          </w:tcPr>
          <w:p w14:paraId="28B24D49" w14:textId="77777777" w:rsidR="00035106" w:rsidRPr="000007F2" w:rsidRDefault="00035106" w:rsidP="009873E8">
            <w:pPr>
              <w:keepNext/>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PGF2 priemonės lėšos</w:t>
            </w:r>
          </w:p>
        </w:tc>
        <w:tc>
          <w:tcPr>
            <w:tcW w:w="7321" w:type="dxa"/>
          </w:tcPr>
          <w:p w14:paraId="5B4BB5A5" w14:textId="77777777" w:rsidR="00035106" w:rsidRDefault="00035106" w:rsidP="009873E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PGF2 </w:t>
            </w:r>
            <w:r w:rsidRPr="00D7217E">
              <w:rPr>
                <w:rFonts w:ascii="Times New Roman" w:eastAsia="Times New Roman" w:hAnsi="Times New Roman"/>
                <w:sz w:val="24"/>
                <w:szCs w:val="24"/>
                <w:lang w:eastAsia="lt-LT"/>
              </w:rPr>
              <w:t>p</w:t>
            </w:r>
            <w:r w:rsidRPr="00D7217E">
              <w:rPr>
                <w:rFonts w:ascii="Times New Roman" w:hAnsi="Times New Roman"/>
                <w:sz w:val="24"/>
                <w:szCs w:val="24"/>
              </w:rPr>
              <w:t>riemonei įgyvendinti numat</w:t>
            </w:r>
            <w:r>
              <w:rPr>
                <w:rFonts w:ascii="Times New Roman" w:hAnsi="Times New Roman"/>
                <w:sz w:val="24"/>
                <w:szCs w:val="24"/>
              </w:rPr>
              <w:t>yta</w:t>
            </w:r>
            <w:r w:rsidRPr="00D7217E">
              <w:rPr>
                <w:rFonts w:ascii="Times New Roman" w:hAnsi="Times New Roman"/>
                <w:sz w:val="24"/>
                <w:szCs w:val="24"/>
              </w:rPr>
              <w:t xml:space="preserve"> skirti</w:t>
            </w:r>
            <w:r>
              <w:rPr>
                <w:rFonts w:ascii="Times New Roman" w:hAnsi="Times New Roman"/>
                <w:sz w:val="24"/>
                <w:szCs w:val="24"/>
              </w:rPr>
              <w:t xml:space="preserve"> </w:t>
            </w:r>
            <w:r w:rsidRPr="007D59D5">
              <w:rPr>
                <w:rFonts w:ascii="Times New Roman" w:hAnsi="Times New Roman"/>
                <w:sz w:val="24"/>
                <w:szCs w:val="24"/>
              </w:rPr>
              <w:t>10</w:t>
            </w:r>
            <w:r w:rsidRPr="00314A1D">
              <w:rPr>
                <w:rFonts w:ascii="Times New Roman" w:hAnsi="Times New Roman"/>
                <w:sz w:val="24"/>
                <w:szCs w:val="24"/>
              </w:rPr>
              <w:t xml:space="preserve"> mln. Eur</w:t>
            </w:r>
            <w:r>
              <w:rPr>
                <w:rFonts w:ascii="Times New Roman" w:hAnsi="Times New Roman"/>
                <w:sz w:val="24"/>
                <w:szCs w:val="24"/>
              </w:rPr>
              <w:t xml:space="preserve"> sumą INVEGOS</w:t>
            </w:r>
            <w:r w:rsidRPr="0059432F">
              <w:rPr>
                <w:rFonts w:ascii="Times New Roman" w:hAnsi="Times New Roman"/>
                <w:sz w:val="24"/>
                <w:szCs w:val="24"/>
              </w:rPr>
              <w:t xml:space="preserve"> fond</w:t>
            </w:r>
            <w:r>
              <w:rPr>
                <w:rFonts w:ascii="Times New Roman" w:hAnsi="Times New Roman"/>
                <w:sz w:val="24"/>
                <w:szCs w:val="24"/>
              </w:rPr>
              <w:t xml:space="preserve">o grįžusių ir (ar) grįšiančių </w:t>
            </w:r>
            <w:r w:rsidRPr="00F531C0">
              <w:rPr>
                <w:rFonts w:ascii="Times New Roman" w:hAnsi="Times New Roman"/>
                <w:sz w:val="24"/>
                <w:szCs w:val="24"/>
              </w:rPr>
              <w:t>lėšų</w:t>
            </w:r>
            <w:r w:rsidRPr="00D7217E">
              <w:rPr>
                <w:rFonts w:ascii="Times New Roman" w:hAnsi="Times New Roman"/>
                <w:sz w:val="24"/>
                <w:szCs w:val="24"/>
              </w:rPr>
              <w:t>.</w:t>
            </w:r>
            <w:r w:rsidRPr="008F58CE">
              <w:rPr>
                <w:rFonts w:ascii="Times New Roman" w:hAnsi="Times New Roman"/>
                <w:sz w:val="24"/>
                <w:szCs w:val="24"/>
              </w:rPr>
              <w:t xml:space="preserve"> </w:t>
            </w:r>
            <w:r>
              <w:rPr>
                <w:rFonts w:ascii="Times New Roman" w:hAnsi="Times New Roman"/>
                <w:sz w:val="24"/>
                <w:szCs w:val="24"/>
              </w:rPr>
              <w:t>Pasikeitus rinkos poreikiams PGF2 priemonei skirta lėšų suma gali būti didinama arba mažinama</w:t>
            </w:r>
          </w:p>
        </w:tc>
      </w:tr>
      <w:tr w:rsidR="00035106" w:rsidRPr="00B751E6" w14:paraId="214EF349" w14:textId="77777777" w:rsidTr="00D95057">
        <w:trPr>
          <w:trHeight w:val="368"/>
        </w:trPr>
        <w:tc>
          <w:tcPr>
            <w:tcW w:w="2030" w:type="dxa"/>
          </w:tcPr>
          <w:p w14:paraId="2CDA2A1E" w14:textId="77777777" w:rsidR="00035106" w:rsidRPr="00D317D1" w:rsidRDefault="00035106" w:rsidP="009873E8">
            <w:pPr>
              <w:keepNext/>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PGF2</w:t>
            </w:r>
            <w:r w:rsidRPr="00D317D1">
              <w:rPr>
                <w:rFonts w:ascii="Times New Roman" w:hAnsi="Times New Roman"/>
                <w:b/>
                <w:sz w:val="24"/>
                <w:szCs w:val="24"/>
              </w:rPr>
              <w:t xml:space="preserve"> priemonės struktūra</w:t>
            </w:r>
          </w:p>
        </w:tc>
        <w:tc>
          <w:tcPr>
            <w:tcW w:w="7321" w:type="dxa"/>
          </w:tcPr>
          <w:p w14:paraId="488E974B" w14:textId="77777777" w:rsidR="00035106" w:rsidRPr="00D317D1"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PGF2</w:t>
            </w:r>
            <w:r w:rsidRPr="00D317D1">
              <w:rPr>
                <w:rFonts w:ascii="Times New Roman" w:hAnsi="Times New Roman"/>
                <w:sz w:val="24"/>
                <w:szCs w:val="24"/>
              </w:rPr>
              <w:t xml:space="preserve"> priemonė pagrįsta </w:t>
            </w:r>
            <w:r>
              <w:rPr>
                <w:rFonts w:ascii="Times New Roman" w:hAnsi="Times New Roman"/>
                <w:sz w:val="24"/>
                <w:szCs w:val="24"/>
              </w:rPr>
              <w:t>garantavimo</w:t>
            </w:r>
            <w:r w:rsidRPr="00D317D1">
              <w:rPr>
                <w:rFonts w:ascii="Times New Roman" w:hAnsi="Times New Roman"/>
                <w:sz w:val="24"/>
                <w:szCs w:val="24"/>
              </w:rPr>
              <w:t xml:space="preserve"> principu, kur</w:t>
            </w:r>
            <w:r>
              <w:rPr>
                <w:rFonts w:ascii="Times New Roman" w:hAnsi="Times New Roman"/>
                <w:sz w:val="24"/>
                <w:szCs w:val="24"/>
              </w:rPr>
              <w:t>į</w:t>
            </w:r>
            <w:r w:rsidRPr="00D317D1">
              <w:rPr>
                <w:rFonts w:ascii="Times New Roman" w:hAnsi="Times New Roman"/>
                <w:sz w:val="24"/>
                <w:szCs w:val="24"/>
              </w:rPr>
              <w:t xml:space="preserve"> įgyvendindamas </w:t>
            </w:r>
            <w:r>
              <w:rPr>
                <w:rFonts w:ascii="Times New Roman" w:hAnsi="Times New Roman"/>
                <w:sz w:val="24"/>
                <w:szCs w:val="24"/>
              </w:rPr>
              <w:t>kiekvienas PGF2 </w:t>
            </w:r>
            <w:r w:rsidRPr="00D317D1">
              <w:rPr>
                <w:rFonts w:ascii="Times New Roman" w:hAnsi="Times New Roman"/>
                <w:sz w:val="24"/>
                <w:szCs w:val="24"/>
              </w:rPr>
              <w:t xml:space="preserve">priemonės valdytojas turės suformuoti </w:t>
            </w:r>
            <w:r>
              <w:rPr>
                <w:rFonts w:ascii="Times New Roman" w:hAnsi="Times New Roman"/>
                <w:sz w:val="24"/>
                <w:szCs w:val="24"/>
              </w:rPr>
              <w:t>P</w:t>
            </w:r>
            <w:r w:rsidRPr="00D317D1">
              <w:rPr>
                <w:rFonts w:ascii="Times New Roman" w:hAnsi="Times New Roman"/>
                <w:sz w:val="24"/>
                <w:szCs w:val="24"/>
              </w:rPr>
              <w:t xml:space="preserve">ortfelį. </w:t>
            </w:r>
            <w:r>
              <w:rPr>
                <w:rFonts w:ascii="Times New Roman" w:hAnsi="Times New Roman"/>
                <w:sz w:val="24"/>
                <w:szCs w:val="24"/>
              </w:rPr>
              <w:t>PGF2</w:t>
            </w:r>
            <w:r w:rsidRPr="00D317D1">
              <w:rPr>
                <w:rFonts w:ascii="Times New Roman" w:hAnsi="Times New Roman"/>
                <w:sz w:val="24"/>
                <w:szCs w:val="24"/>
              </w:rPr>
              <w:t xml:space="preserve"> priemonei įgyvendinti </w:t>
            </w:r>
            <w:r>
              <w:rPr>
                <w:rFonts w:ascii="Times New Roman" w:hAnsi="Times New Roman"/>
                <w:sz w:val="24"/>
                <w:szCs w:val="24"/>
              </w:rPr>
              <w:t>PGF2</w:t>
            </w:r>
            <w:r w:rsidRPr="00D317D1">
              <w:rPr>
                <w:rFonts w:ascii="Times New Roman" w:hAnsi="Times New Roman"/>
                <w:sz w:val="24"/>
                <w:szCs w:val="24"/>
              </w:rPr>
              <w:t xml:space="preserve"> priemon</w:t>
            </w:r>
            <w:r>
              <w:rPr>
                <w:rFonts w:ascii="Times New Roman" w:hAnsi="Times New Roman"/>
                <w:sz w:val="24"/>
                <w:szCs w:val="24"/>
              </w:rPr>
              <w:t>ės valdytojas sudarys Faktoringo sandorius su MVĮ, kurios Faktoringo sandorio pagrindu perduos PGF2 priemonės valdytojui MVĮ prekių ar paslaugų pirkėjui išrašytas sąskaitas faktūras, o</w:t>
            </w:r>
            <w:r w:rsidRPr="00D317D1">
              <w:rPr>
                <w:rFonts w:ascii="Times New Roman" w:hAnsi="Times New Roman"/>
                <w:sz w:val="24"/>
                <w:szCs w:val="24"/>
              </w:rPr>
              <w:t xml:space="preserve"> </w:t>
            </w:r>
            <w:r>
              <w:rPr>
                <w:rFonts w:ascii="Times New Roman" w:hAnsi="Times New Roman"/>
                <w:sz w:val="24"/>
                <w:szCs w:val="24"/>
              </w:rPr>
              <w:t>PGF2 priemonės valdytojas perves MVĮ Faktoringo avansą. PGF2 priemonės valdytojas tokius Faktoringo sandorius įtrauks į Portfelį, kur k</w:t>
            </w:r>
            <w:r w:rsidRPr="00B801F9">
              <w:rPr>
                <w:rFonts w:ascii="Times New Roman" w:hAnsi="Times New Roman"/>
                <w:sz w:val="24"/>
                <w:szCs w:val="24"/>
              </w:rPr>
              <w:t>iekviena</w:t>
            </w:r>
            <w:r>
              <w:rPr>
                <w:rFonts w:ascii="Times New Roman" w:hAnsi="Times New Roman"/>
                <w:sz w:val="24"/>
                <w:szCs w:val="24"/>
              </w:rPr>
              <w:t>s</w:t>
            </w:r>
            <w:r w:rsidRPr="00B801F9">
              <w:rPr>
                <w:rFonts w:ascii="Times New Roman" w:hAnsi="Times New Roman"/>
                <w:sz w:val="24"/>
                <w:szCs w:val="24"/>
              </w:rPr>
              <w:t xml:space="preserve"> </w:t>
            </w:r>
            <w:r>
              <w:rPr>
                <w:rFonts w:ascii="Times New Roman" w:hAnsi="Times New Roman"/>
                <w:sz w:val="24"/>
                <w:szCs w:val="24"/>
              </w:rPr>
              <w:t>jų bus</w:t>
            </w:r>
            <w:r w:rsidRPr="00B801F9">
              <w:rPr>
                <w:rFonts w:ascii="Times New Roman" w:hAnsi="Times New Roman"/>
                <w:sz w:val="24"/>
                <w:szCs w:val="24"/>
              </w:rPr>
              <w:t xml:space="preserve"> garantuojama</w:t>
            </w:r>
            <w:r>
              <w:rPr>
                <w:rFonts w:ascii="Times New Roman" w:hAnsi="Times New Roman"/>
                <w:sz w:val="24"/>
                <w:szCs w:val="24"/>
              </w:rPr>
              <w:t>s 80 </w:t>
            </w:r>
            <w:r w:rsidRPr="00B801F9">
              <w:rPr>
                <w:rFonts w:ascii="Times New Roman" w:hAnsi="Times New Roman"/>
                <w:sz w:val="24"/>
                <w:szCs w:val="24"/>
              </w:rPr>
              <w:t>proc.</w:t>
            </w:r>
            <w:r>
              <w:rPr>
                <w:rFonts w:ascii="Times New Roman" w:hAnsi="Times New Roman"/>
                <w:sz w:val="24"/>
                <w:szCs w:val="24"/>
              </w:rPr>
              <w:t xml:space="preserve"> garantijos dydžiu. Pirkėjui neatsiskaičius su PGF2 priemonės valdytoju ir MVĮ neatsiskaičius po to, kai PGF2 priemonės valdytojas kreipėsi dėl regreso, PGF2 priemonės valdytojas kreipiasi į „Invegą“ dėl Išmokos sumokėjimo</w:t>
            </w:r>
          </w:p>
        </w:tc>
      </w:tr>
      <w:tr w:rsidR="00035106" w:rsidRPr="00B751E6" w14:paraId="6EC02959" w14:textId="77777777" w:rsidTr="00D95057">
        <w:trPr>
          <w:trHeight w:val="368"/>
        </w:trPr>
        <w:tc>
          <w:tcPr>
            <w:tcW w:w="2030" w:type="dxa"/>
          </w:tcPr>
          <w:p w14:paraId="6CD80598" w14:textId="77777777" w:rsidR="00035106" w:rsidRDefault="00035106" w:rsidP="009873E8">
            <w:pPr>
              <w:keepNext/>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Faktoringo sandoris</w:t>
            </w:r>
          </w:p>
        </w:tc>
        <w:tc>
          <w:tcPr>
            <w:tcW w:w="7321" w:type="dxa"/>
          </w:tcPr>
          <w:p w14:paraId="365B7C66" w14:textId="77777777" w:rsidR="00035106" w:rsidRPr="00D317D1"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Faktoringo sutartis, pagal kurią teikiamas</w:t>
            </w:r>
            <w:r w:rsidRPr="001C5180">
              <w:rPr>
                <w:rFonts w:ascii="Times New Roman" w:hAnsi="Times New Roman"/>
                <w:sz w:val="24"/>
                <w:szCs w:val="24"/>
              </w:rPr>
              <w:t xml:space="preserve"> </w:t>
            </w:r>
            <w:r>
              <w:rPr>
                <w:rFonts w:ascii="Times New Roman" w:hAnsi="Times New Roman"/>
                <w:sz w:val="24"/>
                <w:szCs w:val="24"/>
              </w:rPr>
              <w:t>t</w:t>
            </w:r>
            <w:r w:rsidRPr="001C5180">
              <w:rPr>
                <w:rFonts w:ascii="Times New Roman" w:hAnsi="Times New Roman"/>
                <w:sz w:val="24"/>
                <w:szCs w:val="24"/>
              </w:rPr>
              <w:t xml:space="preserve">rumpalaikis finansavimas, kai MVĮ perleidžia ar įsipareigoja perleisti </w:t>
            </w:r>
            <w:r>
              <w:rPr>
                <w:rFonts w:ascii="Times New Roman" w:hAnsi="Times New Roman"/>
                <w:sz w:val="24"/>
                <w:szCs w:val="24"/>
              </w:rPr>
              <w:t>PGF2</w:t>
            </w:r>
            <w:r w:rsidRPr="001C5180">
              <w:rPr>
                <w:rFonts w:ascii="Times New Roman" w:hAnsi="Times New Roman"/>
                <w:sz w:val="24"/>
                <w:szCs w:val="24"/>
              </w:rPr>
              <w:t xml:space="preserve"> priemonės valdytojui piniginius reikalavimus pagal savo sąskaitas faktūras už pirkėjams parduotas prekes ar suteiktas paslaugas, o </w:t>
            </w:r>
            <w:r>
              <w:rPr>
                <w:rFonts w:ascii="Times New Roman" w:hAnsi="Times New Roman"/>
                <w:sz w:val="24"/>
                <w:szCs w:val="24"/>
              </w:rPr>
              <w:t>PGF2</w:t>
            </w:r>
            <w:r w:rsidRPr="001C5180">
              <w:rPr>
                <w:rFonts w:ascii="Times New Roman" w:hAnsi="Times New Roman"/>
                <w:sz w:val="24"/>
                <w:szCs w:val="24"/>
              </w:rPr>
              <w:t xml:space="preserve"> priemonės valdytojas, įsigydamas MVĮ priklausančius piniginius reikalavimus pirkėjams, išmoka arba įsipareigoja išmokėti MVĮ Faktoringo avansą pagal pateikt</w:t>
            </w:r>
            <w:r>
              <w:rPr>
                <w:rFonts w:ascii="Times New Roman" w:hAnsi="Times New Roman"/>
                <w:sz w:val="24"/>
                <w:szCs w:val="24"/>
              </w:rPr>
              <w:t>as</w:t>
            </w:r>
            <w:r w:rsidRPr="001C5180">
              <w:rPr>
                <w:rFonts w:ascii="Times New Roman" w:hAnsi="Times New Roman"/>
                <w:sz w:val="24"/>
                <w:szCs w:val="24"/>
              </w:rPr>
              <w:t xml:space="preserve"> sąskait</w:t>
            </w:r>
            <w:r>
              <w:rPr>
                <w:rFonts w:ascii="Times New Roman" w:hAnsi="Times New Roman"/>
                <w:sz w:val="24"/>
                <w:szCs w:val="24"/>
              </w:rPr>
              <w:t>as</w:t>
            </w:r>
            <w:r w:rsidRPr="001C5180">
              <w:rPr>
                <w:rFonts w:ascii="Times New Roman" w:hAnsi="Times New Roman"/>
                <w:sz w:val="24"/>
                <w:szCs w:val="24"/>
              </w:rPr>
              <w:t xml:space="preserve"> faktūr</w:t>
            </w:r>
            <w:r>
              <w:rPr>
                <w:rFonts w:ascii="Times New Roman" w:hAnsi="Times New Roman"/>
                <w:sz w:val="24"/>
                <w:szCs w:val="24"/>
              </w:rPr>
              <w:t>as</w:t>
            </w:r>
          </w:p>
        </w:tc>
      </w:tr>
      <w:tr w:rsidR="00035106" w:rsidRPr="00B751E6" w14:paraId="1340DF12" w14:textId="77777777" w:rsidTr="00D95057">
        <w:trPr>
          <w:trHeight w:val="368"/>
        </w:trPr>
        <w:tc>
          <w:tcPr>
            <w:tcW w:w="2030" w:type="dxa"/>
          </w:tcPr>
          <w:p w14:paraId="5CFF226F" w14:textId="77777777" w:rsidR="00035106" w:rsidRDefault="00035106" w:rsidP="009873E8">
            <w:pPr>
              <w:keepNext/>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Faktoringo gavėjas</w:t>
            </w:r>
          </w:p>
        </w:tc>
        <w:tc>
          <w:tcPr>
            <w:tcW w:w="7321" w:type="dxa"/>
          </w:tcPr>
          <w:p w14:paraId="42D8D3C4" w14:textId="77777777" w:rsidR="00035106" w:rsidRPr="001C5180"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MVĮ su kuria pasirašyta Faktoringo sutartis</w:t>
            </w:r>
          </w:p>
        </w:tc>
      </w:tr>
      <w:tr w:rsidR="00035106" w:rsidRPr="00B751E6" w14:paraId="67AB212D" w14:textId="77777777" w:rsidTr="00D95057">
        <w:tc>
          <w:tcPr>
            <w:tcW w:w="2030" w:type="dxa"/>
            <w:tcBorders>
              <w:bottom w:val="single" w:sz="4" w:space="0" w:color="000000"/>
            </w:tcBorders>
          </w:tcPr>
          <w:p w14:paraId="3ABA795A"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Faktoringo avansas</w:t>
            </w:r>
          </w:p>
        </w:tc>
        <w:tc>
          <w:tcPr>
            <w:tcW w:w="7321" w:type="dxa"/>
            <w:tcBorders>
              <w:bottom w:val="single" w:sz="4" w:space="0" w:color="000000"/>
            </w:tcBorders>
          </w:tcPr>
          <w:p w14:paraId="1ECE33EF" w14:textId="77777777" w:rsidR="00035106" w:rsidRPr="00B45D2F" w:rsidRDefault="00035106" w:rsidP="009873E8">
            <w:pPr>
              <w:keepNext/>
              <w:autoSpaceDE w:val="0"/>
              <w:autoSpaceDN w:val="0"/>
              <w:spacing w:after="0" w:line="240" w:lineRule="auto"/>
              <w:contextualSpacing/>
              <w:jc w:val="both"/>
              <w:rPr>
                <w:rFonts w:ascii="Times New Roman" w:hAnsi="Times New Roman"/>
                <w:sz w:val="24"/>
                <w:szCs w:val="24"/>
              </w:rPr>
            </w:pPr>
            <w:r w:rsidRPr="000A7F8E">
              <w:rPr>
                <w:rFonts w:ascii="Times New Roman" w:hAnsi="Times New Roman"/>
                <w:sz w:val="24"/>
                <w:szCs w:val="24"/>
              </w:rPr>
              <w:t xml:space="preserve">Pagal Faktoringo sandorį </w:t>
            </w:r>
            <w:r>
              <w:rPr>
                <w:rFonts w:ascii="Times New Roman" w:hAnsi="Times New Roman"/>
                <w:sz w:val="24"/>
                <w:szCs w:val="24"/>
              </w:rPr>
              <w:t>PGF2</w:t>
            </w:r>
            <w:r w:rsidRPr="000A7F8E">
              <w:rPr>
                <w:rFonts w:ascii="Times New Roman" w:hAnsi="Times New Roman"/>
                <w:sz w:val="24"/>
                <w:szCs w:val="24"/>
              </w:rPr>
              <w:t xml:space="preserve"> priemonės valdytojo MVĮ išmokama suma, tačiau ne </w:t>
            </w:r>
            <w:r>
              <w:rPr>
                <w:rFonts w:ascii="Times New Roman" w:hAnsi="Times New Roman"/>
                <w:sz w:val="24"/>
                <w:szCs w:val="24"/>
              </w:rPr>
              <w:t>didesnė</w:t>
            </w:r>
            <w:r w:rsidRPr="000A7F8E">
              <w:rPr>
                <w:rFonts w:ascii="Times New Roman" w:hAnsi="Times New Roman"/>
                <w:sz w:val="24"/>
                <w:szCs w:val="24"/>
              </w:rPr>
              <w:t xml:space="preserve"> kaip 100 proc. nuo Faktoringo gavėjo pateiktų sąskaitų faktūrų, kurių reikalavimo teisės perleidžiamos </w:t>
            </w:r>
            <w:r>
              <w:rPr>
                <w:rFonts w:ascii="Times New Roman" w:hAnsi="Times New Roman"/>
                <w:sz w:val="24"/>
                <w:szCs w:val="24"/>
              </w:rPr>
              <w:t>PGF2</w:t>
            </w:r>
            <w:r w:rsidRPr="000A7F8E">
              <w:rPr>
                <w:rFonts w:ascii="Times New Roman" w:hAnsi="Times New Roman"/>
                <w:sz w:val="24"/>
                <w:szCs w:val="24"/>
              </w:rPr>
              <w:t xml:space="preserve"> priemonės valdytojui,  sumos</w:t>
            </w:r>
          </w:p>
        </w:tc>
      </w:tr>
      <w:tr w:rsidR="00035106" w:rsidRPr="00B751E6" w14:paraId="2CDB1750" w14:textId="77777777" w:rsidTr="00D95057">
        <w:tc>
          <w:tcPr>
            <w:tcW w:w="2030" w:type="dxa"/>
            <w:tcBorders>
              <w:bottom w:val="single" w:sz="4" w:space="0" w:color="000000"/>
            </w:tcBorders>
          </w:tcPr>
          <w:p w14:paraId="2B24B4E2" w14:textId="77777777" w:rsidR="00035106" w:rsidRPr="00DC31D9"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PGF2</w:t>
            </w:r>
            <w:r w:rsidRPr="00DC31D9">
              <w:rPr>
                <w:rFonts w:ascii="Times New Roman" w:hAnsi="Times New Roman"/>
                <w:b/>
                <w:sz w:val="24"/>
                <w:szCs w:val="24"/>
              </w:rPr>
              <w:t xml:space="preserve"> priemonės valdytoja</w:t>
            </w:r>
            <w:r>
              <w:rPr>
                <w:rFonts w:ascii="Times New Roman" w:hAnsi="Times New Roman"/>
                <w:b/>
                <w:sz w:val="24"/>
                <w:szCs w:val="24"/>
              </w:rPr>
              <w:t>s</w:t>
            </w:r>
          </w:p>
        </w:tc>
        <w:tc>
          <w:tcPr>
            <w:tcW w:w="7321" w:type="dxa"/>
            <w:tcBorders>
              <w:bottom w:val="single" w:sz="4" w:space="0" w:color="000000"/>
            </w:tcBorders>
          </w:tcPr>
          <w:p w14:paraId="3A3C0D68" w14:textId="77777777" w:rsidR="00035106" w:rsidRPr="00B751E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Finansų įstaiga, turinti teisę teikti finansavimą Faktoringo sandorio forma</w:t>
            </w:r>
          </w:p>
        </w:tc>
      </w:tr>
      <w:tr w:rsidR="00035106" w:rsidRPr="00B751E6" w14:paraId="6361E004" w14:textId="77777777" w:rsidTr="00D95057">
        <w:tc>
          <w:tcPr>
            <w:tcW w:w="2030" w:type="dxa"/>
            <w:tcBorders>
              <w:bottom w:val="single" w:sz="4" w:space="0" w:color="000000"/>
            </w:tcBorders>
          </w:tcPr>
          <w:p w14:paraId="6C1A2B4E" w14:textId="77777777" w:rsidR="00035106" w:rsidRPr="00DC31D9"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Faktoringo sandorio, traukiamo į Portfelį, finansavimo šaltinis</w:t>
            </w:r>
          </w:p>
        </w:tc>
        <w:tc>
          <w:tcPr>
            <w:tcW w:w="7321" w:type="dxa"/>
            <w:tcBorders>
              <w:bottom w:val="single" w:sz="4" w:space="0" w:color="000000"/>
            </w:tcBorders>
          </w:tcPr>
          <w:p w14:paraId="42FC47F8"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Faktoringo</w:t>
            </w:r>
            <w:r w:rsidRPr="00B45D2F">
              <w:rPr>
                <w:rFonts w:ascii="Times New Roman" w:hAnsi="Times New Roman"/>
                <w:sz w:val="24"/>
                <w:szCs w:val="24"/>
              </w:rPr>
              <w:t xml:space="preserve"> sandoriai, kurie bus traukiami į Portfel</w:t>
            </w:r>
            <w:r>
              <w:rPr>
                <w:rFonts w:ascii="Times New Roman" w:hAnsi="Times New Roman"/>
                <w:sz w:val="24"/>
                <w:szCs w:val="24"/>
              </w:rPr>
              <w:t>į</w:t>
            </w:r>
            <w:r w:rsidRPr="00B45D2F">
              <w:rPr>
                <w:rFonts w:ascii="Times New Roman" w:hAnsi="Times New Roman"/>
                <w:sz w:val="24"/>
                <w:szCs w:val="24"/>
              </w:rPr>
              <w:t xml:space="preserve">, finansuojami </w:t>
            </w:r>
            <w:r>
              <w:rPr>
                <w:rFonts w:ascii="Times New Roman" w:hAnsi="Times New Roman"/>
                <w:sz w:val="24"/>
                <w:szCs w:val="24"/>
              </w:rPr>
              <w:t>PGF2 priemonės valdytojo lėšomis.</w:t>
            </w:r>
            <w:r>
              <w:rPr>
                <w:rFonts w:ascii="Times New Roman" w:hAnsi="Times New Roman"/>
                <w:bCs/>
                <w:sz w:val="24"/>
                <w:szCs w:val="24"/>
              </w:rPr>
              <w:t xml:space="preserve"> </w:t>
            </w:r>
          </w:p>
        </w:tc>
      </w:tr>
      <w:tr w:rsidR="00035106" w:rsidRPr="00B751E6" w14:paraId="63B56C7F" w14:textId="77777777" w:rsidTr="00D95057">
        <w:tc>
          <w:tcPr>
            <w:tcW w:w="2030" w:type="dxa"/>
            <w:tcBorders>
              <w:bottom w:val="single" w:sz="4" w:space="0" w:color="000000"/>
            </w:tcBorders>
          </w:tcPr>
          <w:p w14:paraId="3CDBDB03" w14:textId="77777777" w:rsidR="00035106" w:rsidRPr="0045025A"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Pirkėjo vertinimas</w:t>
            </w:r>
          </w:p>
        </w:tc>
        <w:tc>
          <w:tcPr>
            <w:tcW w:w="7321" w:type="dxa"/>
            <w:tcBorders>
              <w:bottom w:val="single" w:sz="4" w:space="0" w:color="000000"/>
            </w:tcBorders>
          </w:tcPr>
          <w:p w14:paraId="596DC899"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Pirkėjo vertinimas, kurį turi atlikti PGF2 priemonės valdytojas pagal PGF2 priemonės valdytojo vidines procedūras</w:t>
            </w:r>
          </w:p>
        </w:tc>
      </w:tr>
      <w:tr w:rsidR="00035106" w:rsidRPr="00B751E6" w14:paraId="4847EA7B" w14:textId="77777777" w:rsidTr="00D95057">
        <w:tc>
          <w:tcPr>
            <w:tcW w:w="2030" w:type="dxa"/>
            <w:tcBorders>
              <w:bottom w:val="single" w:sz="4" w:space="0" w:color="000000"/>
            </w:tcBorders>
          </w:tcPr>
          <w:p w14:paraId="421038F3" w14:textId="77777777" w:rsidR="00035106" w:rsidRPr="0045025A"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 xml:space="preserve">Faktoringo sandorių, kurie bus traukiami į </w:t>
            </w:r>
            <w:r w:rsidRPr="00EC0F31">
              <w:rPr>
                <w:rFonts w:ascii="Times New Roman" w:hAnsi="Times New Roman"/>
                <w:b/>
                <w:sz w:val="24"/>
                <w:szCs w:val="24"/>
              </w:rPr>
              <w:t>Portfelį</w:t>
            </w:r>
            <w:r w:rsidRPr="00D32DEF">
              <w:rPr>
                <w:rFonts w:ascii="Times New Roman" w:hAnsi="Times New Roman"/>
                <w:b/>
                <w:sz w:val="24"/>
                <w:szCs w:val="24"/>
              </w:rPr>
              <w:t xml:space="preserve">, kaina </w:t>
            </w:r>
            <w:r w:rsidRPr="00EC0F31">
              <w:rPr>
                <w:rFonts w:ascii="Times New Roman" w:hAnsi="Times New Roman"/>
                <w:b/>
                <w:sz w:val="24"/>
                <w:szCs w:val="24"/>
              </w:rPr>
              <w:t>MVĮ</w:t>
            </w:r>
          </w:p>
        </w:tc>
        <w:tc>
          <w:tcPr>
            <w:tcW w:w="7321" w:type="dxa"/>
            <w:tcBorders>
              <w:bottom w:val="single" w:sz="4" w:space="0" w:color="000000"/>
            </w:tcBorders>
          </w:tcPr>
          <w:p w14:paraId="0365A2F0"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AA6185">
              <w:rPr>
                <w:rFonts w:ascii="Times New Roman" w:hAnsi="Times New Roman"/>
                <w:sz w:val="24"/>
                <w:szCs w:val="24"/>
              </w:rPr>
              <w:t xml:space="preserve">Visi </w:t>
            </w:r>
            <w:r>
              <w:rPr>
                <w:rFonts w:ascii="Times New Roman" w:hAnsi="Times New Roman"/>
                <w:sz w:val="24"/>
                <w:szCs w:val="24"/>
              </w:rPr>
              <w:t xml:space="preserve">MVĮ PGF2 priemonės valdytojui </w:t>
            </w:r>
            <w:r w:rsidRPr="00AA6185">
              <w:rPr>
                <w:rFonts w:ascii="Times New Roman" w:hAnsi="Times New Roman"/>
                <w:sz w:val="24"/>
                <w:szCs w:val="24"/>
              </w:rPr>
              <w:t xml:space="preserve">mokami </w:t>
            </w:r>
            <w:r>
              <w:rPr>
                <w:rFonts w:ascii="Times New Roman" w:hAnsi="Times New Roman"/>
                <w:sz w:val="24"/>
                <w:szCs w:val="24"/>
              </w:rPr>
              <w:t xml:space="preserve">Faktoringo sandorio </w:t>
            </w:r>
            <w:r w:rsidRPr="00AA6185">
              <w:rPr>
                <w:rFonts w:ascii="Times New Roman" w:hAnsi="Times New Roman"/>
                <w:sz w:val="24"/>
                <w:szCs w:val="24"/>
              </w:rPr>
              <w:t>mokesčiai</w:t>
            </w:r>
            <w:r>
              <w:rPr>
                <w:rFonts w:ascii="Times New Roman" w:hAnsi="Times New Roman"/>
                <w:sz w:val="24"/>
                <w:szCs w:val="24"/>
              </w:rPr>
              <w:t>, palūkanos</w:t>
            </w:r>
            <w:r w:rsidRPr="00AA6185">
              <w:rPr>
                <w:rFonts w:ascii="Times New Roman" w:hAnsi="Times New Roman"/>
                <w:sz w:val="24"/>
                <w:szCs w:val="24"/>
              </w:rPr>
              <w:t xml:space="preserve"> </w:t>
            </w:r>
            <w:r>
              <w:rPr>
                <w:rFonts w:ascii="Times New Roman" w:hAnsi="Times New Roman"/>
                <w:sz w:val="24"/>
                <w:szCs w:val="24"/>
              </w:rPr>
              <w:t>negali būti didesni nei įprastai taikomi pagal PGF2 priemonės valdytojo rinkos praktiką</w:t>
            </w:r>
            <w:r w:rsidRPr="00AA6185">
              <w:rPr>
                <w:rFonts w:ascii="Times New Roman" w:hAnsi="Times New Roman"/>
                <w:sz w:val="24"/>
                <w:szCs w:val="24"/>
              </w:rPr>
              <w:t xml:space="preserve"> ir įprast</w:t>
            </w:r>
            <w:r>
              <w:rPr>
                <w:rFonts w:ascii="Times New Roman" w:hAnsi="Times New Roman"/>
                <w:sz w:val="24"/>
                <w:szCs w:val="24"/>
              </w:rPr>
              <w:t>a</w:t>
            </w:r>
            <w:r w:rsidRPr="00AA6185">
              <w:rPr>
                <w:rFonts w:ascii="Times New Roman" w:hAnsi="Times New Roman"/>
                <w:sz w:val="24"/>
                <w:szCs w:val="24"/>
              </w:rPr>
              <w:t xml:space="preserve"> veiklą.</w:t>
            </w:r>
            <w:r>
              <w:rPr>
                <w:rFonts w:ascii="Times New Roman" w:hAnsi="Times New Roman"/>
                <w:sz w:val="24"/>
                <w:szCs w:val="24"/>
              </w:rPr>
              <w:t xml:space="preserve"> </w:t>
            </w:r>
          </w:p>
          <w:p w14:paraId="6D2890CD" w14:textId="77777777" w:rsidR="00035106" w:rsidRPr="00D32DEF" w:rsidRDefault="00035106" w:rsidP="009873E8">
            <w:pPr>
              <w:autoSpaceDE w:val="0"/>
              <w:autoSpaceDN w:val="0"/>
              <w:spacing w:after="0" w:line="240" w:lineRule="auto"/>
              <w:contextualSpacing/>
              <w:jc w:val="both"/>
              <w:rPr>
                <w:rFonts w:ascii="Times New Roman" w:hAnsi="Times New Roman"/>
                <w:i/>
                <w:color w:val="17365D"/>
                <w:sz w:val="24"/>
                <w:szCs w:val="24"/>
              </w:rPr>
            </w:pPr>
          </w:p>
        </w:tc>
      </w:tr>
      <w:tr w:rsidR="00035106" w:rsidRPr="00B751E6" w14:paraId="17D14D44" w14:textId="77777777" w:rsidTr="00D95057">
        <w:tc>
          <w:tcPr>
            <w:tcW w:w="2030" w:type="dxa"/>
            <w:tcBorders>
              <w:bottom w:val="single" w:sz="4" w:space="0" w:color="000000"/>
            </w:tcBorders>
          </w:tcPr>
          <w:p w14:paraId="09FB3AA4" w14:textId="77777777" w:rsidR="00035106" w:rsidRPr="00D32DEF" w:rsidRDefault="00035106" w:rsidP="009873E8">
            <w:pPr>
              <w:autoSpaceDE w:val="0"/>
              <w:autoSpaceDN w:val="0"/>
              <w:spacing w:after="0" w:line="240" w:lineRule="auto"/>
              <w:contextualSpacing/>
              <w:rPr>
                <w:rFonts w:ascii="Times New Roman" w:hAnsi="Times New Roman"/>
                <w:b/>
                <w:sz w:val="24"/>
                <w:szCs w:val="24"/>
              </w:rPr>
            </w:pPr>
            <w:r w:rsidRPr="00D32DEF">
              <w:rPr>
                <w:rFonts w:ascii="Times New Roman" w:hAnsi="Times New Roman"/>
                <w:b/>
                <w:sz w:val="24"/>
                <w:szCs w:val="24"/>
              </w:rPr>
              <w:t>MVĮ</w:t>
            </w:r>
          </w:p>
        </w:tc>
        <w:tc>
          <w:tcPr>
            <w:tcW w:w="7321" w:type="dxa"/>
            <w:tcBorders>
              <w:bottom w:val="single" w:sz="4" w:space="0" w:color="000000"/>
            </w:tcBorders>
          </w:tcPr>
          <w:p w14:paraId="060563C6" w14:textId="77777777" w:rsidR="00035106" w:rsidRPr="00BF4BE2"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Labai maža, maža ar vidutinė įmonė</w:t>
            </w:r>
            <w:r w:rsidRPr="00BF4BE2">
              <w:rPr>
                <w:rFonts w:ascii="Times New Roman" w:hAnsi="Times New Roman"/>
                <w:sz w:val="24"/>
                <w:szCs w:val="24"/>
              </w:rPr>
              <w:t xml:space="preserve">, kaip </w:t>
            </w:r>
            <w:r>
              <w:rPr>
                <w:rFonts w:ascii="Times New Roman" w:hAnsi="Times New Roman"/>
                <w:sz w:val="24"/>
                <w:szCs w:val="24"/>
              </w:rPr>
              <w:t>ji</w:t>
            </w:r>
            <w:r w:rsidRPr="00BF4BE2">
              <w:rPr>
                <w:rFonts w:ascii="Times New Roman" w:hAnsi="Times New Roman"/>
                <w:sz w:val="24"/>
                <w:szCs w:val="24"/>
              </w:rPr>
              <w:t xml:space="preserve"> apibrėžta SVV įstatyme</w:t>
            </w:r>
          </w:p>
        </w:tc>
      </w:tr>
      <w:tr w:rsidR="00035106" w:rsidRPr="00B751E6" w14:paraId="5E1EF2E4" w14:textId="77777777" w:rsidTr="00D95057">
        <w:tc>
          <w:tcPr>
            <w:tcW w:w="2030" w:type="dxa"/>
            <w:tcBorders>
              <w:bottom w:val="single" w:sz="4" w:space="0" w:color="000000"/>
            </w:tcBorders>
          </w:tcPr>
          <w:p w14:paraId="538DF53B" w14:textId="77777777" w:rsidR="00035106" w:rsidRPr="00BF4BE2"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Sutartas Portfelio dydis</w:t>
            </w:r>
          </w:p>
        </w:tc>
        <w:tc>
          <w:tcPr>
            <w:tcW w:w="7321" w:type="dxa"/>
            <w:tcBorders>
              <w:bottom w:val="single" w:sz="4" w:space="0" w:color="000000"/>
            </w:tcBorders>
          </w:tcPr>
          <w:p w14:paraId="0805B5DF" w14:textId="77777777" w:rsidR="00035106" w:rsidRPr="00BF4BE2" w:rsidRDefault="00035106" w:rsidP="009873E8">
            <w:pPr>
              <w:autoSpaceDE w:val="0"/>
              <w:autoSpaceDN w:val="0"/>
              <w:spacing w:after="0" w:line="240" w:lineRule="auto"/>
              <w:contextualSpacing/>
              <w:jc w:val="both"/>
              <w:rPr>
                <w:rFonts w:ascii="Times New Roman" w:hAnsi="Times New Roman"/>
                <w:sz w:val="24"/>
                <w:szCs w:val="24"/>
              </w:rPr>
            </w:pPr>
            <w:r w:rsidRPr="00E22806">
              <w:rPr>
                <w:rFonts w:ascii="Times New Roman" w:hAnsi="Times New Roman"/>
                <w:sz w:val="24"/>
                <w:szCs w:val="24"/>
              </w:rPr>
              <w:t xml:space="preserve">Didžiausia leistina įtraukti į Portfelį </w:t>
            </w:r>
            <w:r>
              <w:rPr>
                <w:rFonts w:ascii="Times New Roman" w:hAnsi="Times New Roman"/>
                <w:sz w:val="24"/>
                <w:szCs w:val="24"/>
              </w:rPr>
              <w:t>Faktoringo limitų</w:t>
            </w:r>
            <w:r w:rsidRPr="00E22806">
              <w:rPr>
                <w:rFonts w:ascii="Times New Roman" w:hAnsi="Times New Roman"/>
                <w:sz w:val="24"/>
                <w:szCs w:val="24"/>
              </w:rPr>
              <w:t xml:space="preserve"> suma</w:t>
            </w:r>
          </w:p>
        </w:tc>
      </w:tr>
      <w:tr w:rsidR="00035106" w:rsidRPr="00B751E6" w14:paraId="319D658F" w14:textId="77777777" w:rsidTr="00D95057">
        <w:tc>
          <w:tcPr>
            <w:tcW w:w="2030" w:type="dxa"/>
            <w:tcBorders>
              <w:bottom w:val="single" w:sz="4" w:space="0" w:color="000000"/>
            </w:tcBorders>
          </w:tcPr>
          <w:p w14:paraId="64590E96" w14:textId="77777777" w:rsidR="00035106" w:rsidRPr="00CC6622" w:rsidRDefault="00035106" w:rsidP="009873E8">
            <w:pPr>
              <w:autoSpaceDE w:val="0"/>
              <w:autoSpaceDN w:val="0"/>
              <w:spacing w:after="0" w:line="240" w:lineRule="auto"/>
              <w:contextualSpacing/>
              <w:rPr>
                <w:rFonts w:ascii="Times New Roman" w:hAnsi="Times New Roman"/>
                <w:b/>
                <w:sz w:val="24"/>
                <w:szCs w:val="24"/>
              </w:rPr>
            </w:pPr>
            <w:r w:rsidRPr="008A0D89">
              <w:rPr>
                <w:rFonts w:ascii="Times New Roman" w:hAnsi="Times New Roman"/>
                <w:b/>
                <w:sz w:val="24"/>
                <w:szCs w:val="24"/>
              </w:rPr>
              <w:t>Faktoring</w:t>
            </w:r>
            <w:r w:rsidRPr="00B15E5D">
              <w:rPr>
                <w:rFonts w:ascii="Times New Roman" w:hAnsi="Times New Roman"/>
                <w:b/>
                <w:sz w:val="24"/>
                <w:szCs w:val="24"/>
              </w:rPr>
              <w:t xml:space="preserve">o </w:t>
            </w:r>
            <w:r>
              <w:rPr>
                <w:rFonts w:ascii="Times New Roman" w:hAnsi="Times New Roman"/>
                <w:b/>
                <w:sz w:val="24"/>
                <w:szCs w:val="24"/>
              </w:rPr>
              <w:t>limitas</w:t>
            </w:r>
          </w:p>
        </w:tc>
        <w:tc>
          <w:tcPr>
            <w:tcW w:w="7321" w:type="dxa"/>
            <w:tcBorders>
              <w:bottom w:val="single" w:sz="4" w:space="0" w:color="000000"/>
            </w:tcBorders>
          </w:tcPr>
          <w:p w14:paraId="479170B3" w14:textId="77777777" w:rsidR="00035106" w:rsidRPr="00CC6622"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PGF2 priemonės valdytojo su MVĮ sudarytoje </w:t>
            </w:r>
            <w:r w:rsidRPr="00FB4E3D">
              <w:rPr>
                <w:rFonts w:ascii="Times New Roman" w:hAnsi="Times New Roman"/>
                <w:sz w:val="24"/>
                <w:szCs w:val="24"/>
              </w:rPr>
              <w:t>Faktoringo sandorio</w:t>
            </w:r>
            <w:r>
              <w:rPr>
                <w:rFonts w:ascii="Times New Roman" w:hAnsi="Times New Roman"/>
                <w:sz w:val="24"/>
                <w:szCs w:val="24"/>
              </w:rPr>
              <w:t xml:space="preserve"> sutartyje nustatyta didžiausia Faktoringo sandorio suma, iki kurios yra </w:t>
            </w:r>
            <w:r>
              <w:rPr>
                <w:rFonts w:ascii="Times New Roman" w:hAnsi="Times New Roman"/>
                <w:sz w:val="24"/>
                <w:szCs w:val="24"/>
              </w:rPr>
              <w:lastRenderedPageBreak/>
              <w:t>išmokami Faktoringo avansai ir gali būti perimami piniginiai reikalavimai pagal MVĮ prekių ar paslaugų pirkėjui išrašytas sąskaitas faktūras</w:t>
            </w:r>
          </w:p>
        </w:tc>
      </w:tr>
      <w:tr w:rsidR="00035106" w:rsidRPr="00B751E6" w14:paraId="305BD388" w14:textId="77777777" w:rsidTr="00D95057">
        <w:tc>
          <w:tcPr>
            <w:tcW w:w="2030" w:type="dxa"/>
            <w:tcBorders>
              <w:bottom w:val="single" w:sz="4" w:space="0" w:color="000000"/>
            </w:tcBorders>
          </w:tcPr>
          <w:p w14:paraId="7E4DF351"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lastRenderedPageBreak/>
              <w:t>Faktoringo sandorio finansavimo laikotarpis</w:t>
            </w:r>
          </w:p>
        </w:tc>
        <w:tc>
          <w:tcPr>
            <w:tcW w:w="7321" w:type="dxa"/>
            <w:tcBorders>
              <w:bottom w:val="single" w:sz="4" w:space="0" w:color="000000"/>
            </w:tcBorders>
          </w:tcPr>
          <w:p w14:paraId="0F7C5880" w14:textId="77777777" w:rsidR="00035106" w:rsidRPr="00AC79AE"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L</w:t>
            </w:r>
            <w:r w:rsidRPr="00712477">
              <w:rPr>
                <w:rFonts w:ascii="Times New Roman" w:hAnsi="Times New Roman"/>
                <w:sz w:val="24"/>
                <w:szCs w:val="24"/>
              </w:rPr>
              <w:t>aikotarpis</w:t>
            </w:r>
            <w:r>
              <w:rPr>
                <w:rFonts w:ascii="Times New Roman" w:hAnsi="Times New Roman"/>
                <w:sz w:val="24"/>
                <w:szCs w:val="24"/>
              </w:rPr>
              <w:t>,</w:t>
            </w:r>
            <w:r w:rsidRPr="00712477">
              <w:rPr>
                <w:rFonts w:ascii="Times New Roman" w:hAnsi="Times New Roman"/>
                <w:sz w:val="24"/>
                <w:szCs w:val="24"/>
              </w:rPr>
              <w:t xml:space="preserve"> per kurį </w:t>
            </w:r>
            <w:r>
              <w:rPr>
                <w:rFonts w:ascii="Times New Roman" w:hAnsi="Times New Roman"/>
                <w:sz w:val="24"/>
                <w:szCs w:val="24"/>
              </w:rPr>
              <w:t>PGF2</w:t>
            </w:r>
            <w:r w:rsidRPr="00712477">
              <w:rPr>
                <w:rFonts w:ascii="Times New Roman" w:hAnsi="Times New Roman"/>
                <w:sz w:val="24"/>
                <w:szCs w:val="24"/>
              </w:rPr>
              <w:t xml:space="preserve"> priemonės valdytojas išmoka arba gali išmokėti Faktoringo avansus</w:t>
            </w:r>
          </w:p>
        </w:tc>
      </w:tr>
      <w:tr w:rsidR="00035106" w:rsidRPr="00B751E6" w14:paraId="4FAEDC0B" w14:textId="77777777" w:rsidTr="00D95057">
        <w:tc>
          <w:tcPr>
            <w:tcW w:w="2030" w:type="dxa"/>
            <w:tcBorders>
              <w:bottom w:val="single" w:sz="4" w:space="0" w:color="000000"/>
            </w:tcBorders>
          </w:tcPr>
          <w:p w14:paraId="4DCEE89D"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Portfelis</w:t>
            </w:r>
          </w:p>
        </w:tc>
        <w:tc>
          <w:tcPr>
            <w:tcW w:w="7321" w:type="dxa"/>
            <w:tcBorders>
              <w:bottom w:val="single" w:sz="4" w:space="0" w:color="000000"/>
            </w:tcBorders>
          </w:tcPr>
          <w:p w14:paraId="15BEB192" w14:textId="77777777" w:rsidR="00035106" w:rsidRPr="00E22806" w:rsidRDefault="00035106" w:rsidP="009873E8">
            <w:pPr>
              <w:autoSpaceDE w:val="0"/>
              <w:autoSpaceDN w:val="0"/>
              <w:spacing w:after="0" w:line="240" w:lineRule="auto"/>
              <w:contextualSpacing/>
              <w:jc w:val="both"/>
              <w:rPr>
                <w:rFonts w:ascii="Times New Roman" w:hAnsi="Times New Roman"/>
                <w:sz w:val="24"/>
                <w:szCs w:val="24"/>
              </w:rPr>
            </w:pPr>
            <w:r w:rsidRPr="00AC79AE">
              <w:rPr>
                <w:rFonts w:ascii="Times New Roman" w:hAnsi="Times New Roman"/>
                <w:sz w:val="24"/>
                <w:szCs w:val="24"/>
              </w:rPr>
              <w:t>Faktoringo</w:t>
            </w:r>
            <w:r>
              <w:rPr>
                <w:rFonts w:ascii="Times New Roman" w:hAnsi="Times New Roman"/>
                <w:sz w:val="24"/>
                <w:szCs w:val="24"/>
              </w:rPr>
              <w:t xml:space="preserve"> sandorių, atitinkančių PGF2 priemonės Tinkamumo sąlygas, Faktoringo limitų suma</w:t>
            </w:r>
          </w:p>
        </w:tc>
      </w:tr>
      <w:tr w:rsidR="00035106" w:rsidRPr="00B751E6" w14:paraId="3D09BFB4" w14:textId="77777777" w:rsidTr="00D95057">
        <w:tc>
          <w:tcPr>
            <w:tcW w:w="2030" w:type="dxa"/>
            <w:tcBorders>
              <w:bottom w:val="single" w:sz="4" w:space="0" w:color="000000"/>
            </w:tcBorders>
          </w:tcPr>
          <w:p w14:paraId="023C8012"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Sutarto Portfelio dydžio ir PGF2 priemonei įgyvendinti skirtų lėšų didinimas ir mažinimas</w:t>
            </w:r>
          </w:p>
        </w:tc>
        <w:tc>
          <w:tcPr>
            <w:tcW w:w="7321" w:type="dxa"/>
            <w:tcBorders>
              <w:bottom w:val="single" w:sz="4" w:space="0" w:color="000000"/>
            </w:tcBorders>
          </w:tcPr>
          <w:p w14:paraId="6609DF7E" w14:textId="77777777" w:rsidR="00035106" w:rsidRPr="003B3B1D" w:rsidRDefault="00035106" w:rsidP="009873E8">
            <w:pPr>
              <w:autoSpaceDE w:val="0"/>
              <w:autoSpaceDN w:val="0"/>
              <w:spacing w:after="0" w:line="240" w:lineRule="auto"/>
              <w:contextualSpacing/>
              <w:jc w:val="both"/>
              <w:rPr>
                <w:rFonts w:ascii="Times New Roman" w:hAnsi="Times New Roman"/>
                <w:sz w:val="24"/>
                <w:szCs w:val="24"/>
              </w:rPr>
            </w:pPr>
            <w:r w:rsidRPr="003B3B1D">
              <w:rPr>
                <w:rFonts w:ascii="Times New Roman" w:hAnsi="Times New Roman"/>
                <w:sz w:val="24"/>
                <w:szCs w:val="24"/>
              </w:rPr>
              <w:t xml:space="preserve">Sutartas Portfelio dydis kiekvienam </w:t>
            </w:r>
            <w:r>
              <w:rPr>
                <w:rFonts w:ascii="Times New Roman" w:hAnsi="Times New Roman"/>
                <w:sz w:val="24"/>
                <w:szCs w:val="24"/>
              </w:rPr>
              <w:t>PGF2</w:t>
            </w:r>
            <w:r w:rsidRPr="003B3B1D">
              <w:rPr>
                <w:rFonts w:ascii="Times New Roman" w:hAnsi="Times New Roman"/>
                <w:sz w:val="24"/>
                <w:szCs w:val="24"/>
              </w:rPr>
              <w:t xml:space="preserve"> priemonės valdytojui gali būti didinamas </w:t>
            </w:r>
            <w:r>
              <w:rPr>
                <w:rFonts w:ascii="Times New Roman" w:hAnsi="Times New Roman"/>
                <w:sz w:val="24"/>
                <w:szCs w:val="24"/>
              </w:rPr>
              <w:t>š</w:t>
            </w:r>
            <w:r w:rsidRPr="00D858A6">
              <w:rPr>
                <w:rFonts w:ascii="Times New Roman" w:hAnsi="Times New Roman"/>
                <w:sz w:val="24"/>
                <w:szCs w:val="24"/>
              </w:rPr>
              <w:t>alių susitarimu, tuo atveju</w:t>
            </w:r>
            <w:r>
              <w:rPr>
                <w:rFonts w:ascii="Times New Roman" w:hAnsi="Times New Roman"/>
                <w:sz w:val="24"/>
                <w:szCs w:val="24"/>
              </w:rPr>
              <w:t xml:space="preserve">, </w:t>
            </w:r>
            <w:r w:rsidRPr="003B3B1D">
              <w:rPr>
                <w:rFonts w:ascii="Times New Roman" w:hAnsi="Times New Roman"/>
                <w:sz w:val="24"/>
                <w:szCs w:val="24"/>
              </w:rPr>
              <w:t xml:space="preserve">jei yra didinama </w:t>
            </w:r>
            <w:r>
              <w:rPr>
                <w:rFonts w:ascii="Times New Roman" w:hAnsi="Times New Roman"/>
                <w:sz w:val="24"/>
                <w:szCs w:val="24"/>
              </w:rPr>
              <w:t>PGF2</w:t>
            </w:r>
            <w:r w:rsidRPr="003B3B1D">
              <w:rPr>
                <w:rFonts w:ascii="Times New Roman" w:hAnsi="Times New Roman"/>
                <w:sz w:val="24"/>
                <w:szCs w:val="24"/>
              </w:rPr>
              <w:t xml:space="preserve"> priemonei skiriama lėšų suma ar</w:t>
            </w:r>
            <w:r>
              <w:rPr>
                <w:rFonts w:ascii="Times New Roman" w:hAnsi="Times New Roman"/>
                <w:sz w:val="24"/>
                <w:szCs w:val="24"/>
              </w:rPr>
              <w:t>ba</w:t>
            </w:r>
            <w:r w:rsidRPr="003B3B1D">
              <w:rPr>
                <w:rFonts w:ascii="Times New Roman" w:hAnsi="Times New Roman"/>
                <w:sz w:val="24"/>
                <w:szCs w:val="24"/>
              </w:rPr>
              <w:t xml:space="preserve"> kiti </w:t>
            </w:r>
            <w:r>
              <w:rPr>
                <w:rFonts w:ascii="Times New Roman" w:hAnsi="Times New Roman"/>
                <w:sz w:val="24"/>
                <w:szCs w:val="24"/>
              </w:rPr>
              <w:t>PGF2</w:t>
            </w:r>
            <w:r w:rsidRPr="003B3B1D">
              <w:rPr>
                <w:rFonts w:ascii="Times New Roman" w:hAnsi="Times New Roman"/>
                <w:sz w:val="24"/>
                <w:szCs w:val="24"/>
              </w:rPr>
              <w:t xml:space="preserve"> priemonės valdytojai vėluoja formuoti Portf</w:t>
            </w:r>
            <w:r>
              <w:rPr>
                <w:rFonts w:ascii="Times New Roman" w:hAnsi="Times New Roman"/>
                <w:sz w:val="24"/>
                <w:szCs w:val="24"/>
              </w:rPr>
              <w:t xml:space="preserve">elius pagal Sutartyse </w:t>
            </w:r>
            <w:r w:rsidRPr="003B3B1D">
              <w:rPr>
                <w:rFonts w:ascii="Times New Roman" w:hAnsi="Times New Roman"/>
                <w:sz w:val="24"/>
                <w:szCs w:val="24"/>
              </w:rPr>
              <w:t xml:space="preserve">nustatytus terminus ir jiems yra sumažinamas Sutartas Portfelio dydis. </w:t>
            </w:r>
          </w:p>
          <w:p w14:paraId="23CFE461" w14:textId="77777777" w:rsidR="00035106" w:rsidRPr="00187223" w:rsidRDefault="00035106" w:rsidP="009873E8">
            <w:pPr>
              <w:autoSpaceDE w:val="0"/>
              <w:autoSpaceDN w:val="0"/>
              <w:spacing w:after="0" w:line="240" w:lineRule="auto"/>
              <w:contextualSpacing/>
              <w:jc w:val="both"/>
              <w:rPr>
                <w:rFonts w:ascii="Times New Roman" w:hAnsi="Times New Roman"/>
                <w:sz w:val="24"/>
                <w:szCs w:val="24"/>
              </w:rPr>
            </w:pPr>
            <w:r w:rsidRPr="003B3B1D">
              <w:rPr>
                <w:rFonts w:ascii="Times New Roman" w:hAnsi="Times New Roman"/>
                <w:sz w:val="24"/>
                <w:szCs w:val="24"/>
              </w:rPr>
              <w:t>Sutarta</w:t>
            </w:r>
            <w:r>
              <w:rPr>
                <w:rFonts w:ascii="Times New Roman" w:hAnsi="Times New Roman"/>
                <w:sz w:val="24"/>
                <w:szCs w:val="24"/>
              </w:rPr>
              <w:t>s Portfelio dydis kiekvienam PGF2</w:t>
            </w:r>
            <w:r w:rsidRPr="003B3B1D">
              <w:rPr>
                <w:rFonts w:ascii="Times New Roman" w:hAnsi="Times New Roman"/>
                <w:sz w:val="24"/>
                <w:szCs w:val="24"/>
              </w:rPr>
              <w:t xml:space="preserve"> priemonės valdytojui gali būti sumažintas, jei </w:t>
            </w:r>
            <w:r>
              <w:rPr>
                <w:rFonts w:ascii="Times New Roman" w:hAnsi="Times New Roman"/>
                <w:sz w:val="24"/>
                <w:szCs w:val="24"/>
              </w:rPr>
              <w:t>PGF2</w:t>
            </w:r>
            <w:r w:rsidRPr="003B3B1D">
              <w:rPr>
                <w:rFonts w:ascii="Times New Roman" w:hAnsi="Times New Roman"/>
                <w:sz w:val="24"/>
                <w:szCs w:val="24"/>
              </w:rPr>
              <w:t xml:space="preserve"> priemonės valdytojas kreipiasi su motyvuotu prašymu ar</w:t>
            </w:r>
            <w:r>
              <w:rPr>
                <w:rFonts w:ascii="Times New Roman" w:hAnsi="Times New Roman"/>
                <w:sz w:val="24"/>
                <w:szCs w:val="24"/>
              </w:rPr>
              <w:t>ba</w:t>
            </w:r>
            <w:r w:rsidRPr="003B3B1D">
              <w:rPr>
                <w:rFonts w:ascii="Times New Roman" w:hAnsi="Times New Roman"/>
                <w:sz w:val="24"/>
                <w:szCs w:val="24"/>
              </w:rPr>
              <w:t xml:space="preserve"> vėluoja formuoti Portfelį </w:t>
            </w:r>
            <w:r w:rsidRPr="006C40B9">
              <w:rPr>
                <w:rFonts w:ascii="Times New Roman" w:hAnsi="Times New Roman"/>
                <w:sz w:val="24"/>
                <w:szCs w:val="24"/>
              </w:rPr>
              <w:t>pagal Sutartyje nustatyt</w:t>
            </w:r>
            <w:r>
              <w:rPr>
                <w:rFonts w:ascii="Times New Roman" w:hAnsi="Times New Roman"/>
                <w:sz w:val="24"/>
                <w:szCs w:val="24"/>
              </w:rPr>
              <w:t>ą grafiką</w:t>
            </w:r>
            <w:r w:rsidRPr="006C40B9">
              <w:rPr>
                <w:rFonts w:ascii="Times New Roman" w:hAnsi="Times New Roman"/>
                <w:sz w:val="24"/>
                <w:szCs w:val="24"/>
              </w:rPr>
              <w:t xml:space="preserve"> </w:t>
            </w:r>
            <w:r w:rsidRPr="00D03AB7">
              <w:rPr>
                <w:rFonts w:ascii="Times New Roman" w:hAnsi="Times New Roman"/>
                <w:sz w:val="24"/>
                <w:szCs w:val="24"/>
              </w:rPr>
              <w:t xml:space="preserve"> taip:</w:t>
            </w:r>
          </w:p>
          <w:p w14:paraId="79793487" w14:textId="77777777" w:rsidR="00035106" w:rsidRPr="009E0565" w:rsidRDefault="00035106" w:rsidP="009873E8">
            <w:pPr>
              <w:tabs>
                <w:tab w:val="left" w:pos="459"/>
              </w:tabs>
              <w:autoSpaceDE w:val="0"/>
              <w:autoSpaceDN w:val="0"/>
              <w:spacing w:after="0" w:line="240" w:lineRule="auto"/>
              <w:contextualSpacing/>
              <w:jc w:val="both"/>
              <w:rPr>
                <w:rFonts w:ascii="Times New Roman" w:hAnsi="Times New Roman"/>
                <w:sz w:val="24"/>
                <w:szCs w:val="24"/>
              </w:rPr>
            </w:pPr>
            <w:r w:rsidRPr="00FA2233">
              <w:rPr>
                <w:rFonts w:ascii="Times New Roman" w:hAnsi="Times New Roman"/>
                <w:sz w:val="24"/>
                <w:szCs w:val="24"/>
              </w:rPr>
              <w:t>1.</w:t>
            </w:r>
            <w:r w:rsidRPr="00FA2233">
              <w:rPr>
                <w:rFonts w:ascii="Times New Roman" w:hAnsi="Times New Roman"/>
                <w:sz w:val="24"/>
                <w:szCs w:val="24"/>
              </w:rPr>
              <w:tab/>
              <w:t xml:space="preserve">Jei </w:t>
            </w:r>
            <w:r>
              <w:rPr>
                <w:rFonts w:ascii="Times New Roman" w:hAnsi="Times New Roman"/>
                <w:sz w:val="24"/>
                <w:szCs w:val="24"/>
              </w:rPr>
              <w:t>PGF2</w:t>
            </w:r>
            <w:r w:rsidRPr="00FA2233">
              <w:rPr>
                <w:rFonts w:ascii="Times New Roman" w:hAnsi="Times New Roman"/>
                <w:sz w:val="24"/>
                <w:szCs w:val="24"/>
              </w:rPr>
              <w:t xml:space="preserve"> priemonės valdytojas </w:t>
            </w:r>
            <w:r w:rsidRPr="006C40B9">
              <w:rPr>
                <w:rFonts w:ascii="Times New Roman" w:hAnsi="Times New Roman"/>
                <w:sz w:val="24"/>
                <w:szCs w:val="24"/>
              </w:rPr>
              <w:t>pagal Sutartyje nustatyt</w:t>
            </w:r>
            <w:r>
              <w:rPr>
                <w:rFonts w:ascii="Times New Roman" w:hAnsi="Times New Roman"/>
                <w:sz w:val="24"/>
                <w:szCs w:val="24"/>
              </w:rPr>
              <w:t>ą grafiką</w:t>
            </w:r>
            <w:r w:rsidRPr="006C40B9">
              <w:rPr>
                <w:rFonts w:ascii="Times New Roman" w:hAnsi="Times New Roman"/>
                <w:sz w:val="24"/>
                <w:szCs w:val="24"/>
              </w:rPr>
              <w:t xml:space="preserve"> </w:t>
            </w:r>
            <w:r w:rsidRPr="00FA2233">
              <w:rPr>
                <w:rFonts w:ascii="Times New Roman" w:hAnsi="Times New Roman"/>
                <w:sz w:val="24"/>
                <w:szCs w:val="24"/>
              </w:rPr>
              <w:t xml:space="preserve">vėluoja formuoti Portfelį iki 20 proc. </w:t>
            </w:r>
            <w:r>
              <w:rPr>
                <w:rFonts w:ascii="Times New Roman" w:hAnsi="Times New Roman"/>
                <w:sz w:val="24"/>
                <w:szCs w:val="24"/>
              </w:rPr>
              <w:t xml:space="preserve">Sutartyje nustatytame grafike nurodytos </w:t>
            </w:r>
            <w:r w:rsidRPr="00C80475">
              <w:rPr>
                <w:rFonts w:ascii="Times New Roman" w:hAnsi="Times New Roman"/>
                <w:sz w:val="24"/>
                <w:szCs w:val="24"/>
              </w:rPr>
              <w:t>Planuojam</w:t>
            </w:r>
            <w:r>
              <w:rPr>
                <w:rFonts w:ascii="Times New Roman" w:hAnsi="Times New Roman"/>
                <w:sz w:val="24"/>
                <w:szCs w:val="24"/>
              </w:rPr>
              <w:t>os</w:t>
            </w:r>
            <w:r w:rsidRPr="00C80475">
              <w:rPr>
                <w:rFonts w:ascii="Times New Roman" w:hAnsi="Times New Roman"/>
                <w:sz w:val="24"/>
                <w:szCs w:val="24"/>
              </w:rPr>
              <w:t xml:space="preserve"> į Portfelį įtraukti Faktoringo </w:t>
            </w:r>
            <w:r w:rsidRPr="00D03AB7">
              <w:rPr>
                <w:rFonts w:ascii="Times New Roman" w:hAnsi="Times New Roman"/>
                <w:sz w:val="24"/>
                <w:szCs w:val="24"/>
              </w:rPr>
              <w:t>limitų sum</w:t>
            </w:r>
            <w:r>
              <w:rPr>
                <w:rFonts w:ascii="Times New Roman" w:hAnsi="Times New Roman"/>
                <w:sz w:val="24"/>
                <w:szCs w:val="24"/>
              </w:rPr>
              <w:t>os</w:t>
            </w:r>
            <w:r w:rsidRPr="00D03AB7">
              <w:rPr>
                <w:rFonts w:ascii="Times New Roman" w:hAnsi="Times New Roman"/>
                <w:sz w:val="24"/>
                <w:szCs w:val="24"/>
              </w:rPr>
              <w:t xml:space="preserve"> – Sutarto Portfelio dydis gali būti mažinam</w:t>
            </w:r>
            <w:r w:rsidRPr="00187223">
              <w:rPr>
                <w:rFonts w:ascii="Times New Roman" w:hAnsi="Times New Roman"/>
                <w:sz w:val="24"/>
                <w:szCs w:val="24"/>
              </w:rPr>
              <w:t xml:space="preserve">as iki 30 proc. ir atitinkamai mažinama šiam </w:t>
            </w:r>
            <w:r>
              <w:rPr>
                <w:rFonts w:ascii="Times New Roman" w:hAnsi="Times New Roman"/>
                <w:sz w:val="24"/>
                <w:szCs w:val="24"/>
              </w:rPr>
              <w:t>PGF2</w:t>
            </w:r>
            <w:r w:rsidRPr="00187223">
              <w:rPr>
                <w:rFonts w:ascii="Times New Roman" w:hAnsi="Times New Roman"/>
                <w:sz w:val="24"/>
                <w:szCs w:val="24"/>
              </w:rPr>
              <w:t xml:space="preserve"> </w:t>
            </w:r>
            <w:r w:rsidRPr="00FA2233">
              <w:rPr>
                <w:rFonts w:ascii="Times New Roman" w:hAnsi="Times New Roman"/>
                <w:sz w:val="24"/>
                <w:szCs w:val="24"/>
              </w:rPr>
              <w:t xml:space="preserve">priemonės valdytojui </w:t>
            </w:r>
            <w:r>
              <w:rPr>
                <w:rFonts w:ascii="Times New Roman" w:hAnsi="Times New Roman"/>
                <w:sz w:val="24"/>
                <w:szCs w:val="24"/>
              </w:rPr>
              <w:t>PGF2</w:t>
            </w:r>
            <w:r w:rsidRPr="00C80475">
              <w:rPr>
                <w:rFonts w:ascii="Times New Roman" w:hAnsi="Times New Roman"/>
                <w:sz w:val="24"/>
                <w:szCs w:val="24"/>
              </w:rPr>
              <w:t xml:space="preserve"> </w:t>
            </w:r>
            <w:r w:rsidRPr="009E0565">
              <w:rPr>
                <w:rFonts w:ascii="Times New Roman" w:hAnsi="Times New Roman"/>
                <w:sz w:val="24"/>
                <w:szCs w:val="24"/>
              </w:rPr>
              <w:t>priemonei įgyvendinti skirta lėšų suma</w:t>
            </w:r>
            <w:r>
              <w:rPr>
                <w:rFonts w:ascii="Times New Roman" w:hAnsi="Times New Roman"/>
                <w:sz w:val="24"/>
                <w:szCs w:val="24"/>
              </w:rPr>
              <w:t xml:space="preserve">, </w:t>
            </w:r>
            <w:r w:rsidRPr="0017038C">
              <w:rPr>
                <w:rFonts w:ascii="Times New Roman" w:hAnsi="Times New Roman"/>
                <w:sz w:val="24"/>
                <w:szCs w:val="24"/>
              </w:rPr>
              <w:t>tačiau bet kuriuo atveju ne daugiau kaip iki jau suformuoto Portfelio sumos</w:t>
            </w:r>
            <w:r w:rsidRPr="009E0565">
              <w:rPr>
                <w:rFonts w:ascii="Times New Roman" w:hAnsi="Times New Roman"/>
                <w:sz w:val="24"/>
                <w:szCs w:val="24"/>
              </w:rPr>
              <w:t>;</w:t>
            </w:r>
          </w:p>
          <w:p w14:paraId="39E11056" w14:textId="77777777" w:rsidR="00035106" w:rsidRPr="00C80475" w:rsidRDefault="00035106" w:rsidP="009873E8">
            <w:pPr>
              <w:tabs>
                <w:tab w:val="left" w:pos="457"/>
              </w:tabs>
              <w:autoSpaceDE w:val="0"/>
              <w:autoSpaceDN w:val="0"/>
              <w:spacing w:after="0" w:line="240" w:lineRule="auto"/>
              <w:contextualSpacing/>
              <w:jc w:val="both"/>
              <w:rPr>
                <w:rFonts w:ascii="Times New Roman" w:hAnsi="Times New Roman"/>
                <w:sz w:val="24"/>
                <w:szCs w:val="24"/>
              </w:rPr>
            </w:pPr>
            <w:r w:rsidRPr="009E0565">
              <w:rPr>
                <w:rFonts w:ascii="Times New Roman" w:hAnsi="Times New Roman"/>
                <w:sz w:val="24"/>
                <w:szCs w:val="24"/>
              </w:rPr>
              <w:t>2.</w:t>
            </w:r>
            <w:r w:rsidRPr="009E0565">
              <w:rPr>
                <w:rFonts w:ascii="Times New Roman" w:hAnsi="Times New Roman"/>
                <w:sz w:val="24"/>
                <w:szCs w:val="24"/>
              </w:rPr>
              <w:tab/>
            </w:r>
            <w:r w:rsidRPr="00FA2233">
              <w:rPr>
                <w:rFonts w:ascii="Times New Roman" w:hAnsi="Times New Roman"/>
                <w:sz w:val="24"/>
                <w:szCs w:val="24"/>
              </w:rPr>
              <w:t xml:space="preserve">Jei </w:t>
            </w:r>
            <w:r>
              <w:rPr>
                <w:rFonts w:ascii="Times New Roman" w:hAnsi="Times New Roman"/>
                <w:sz w:val="24"/>
                <w:szCs w:val="24"/>
              </w:rPr>
              <w:t>PGF2</w:t>
            </w:r>
            <w:r w:rsidRPr="00FA2233">
              <w:rPr>
                <w:rFonts w:ascii="Times New Roman" w:hAnsi="Times New Roman"/>
                <w:sz w:val="24"/>
                <w:szCs w:val="24"/>
              </w:rPr>
              <w:t xml:space="preserve"> priemonės valdytojas </w:t>
            </w:r>
            <w:r w:rsidRPr="006C40B9">
              <w:rPr>
                <w:rFonts w:ascii="Times New Roman" w:hAnsi="Times New Roman"/>
                <w:sz w:val="24"/>
                <w:szCs w:val="24"/>
              </w:rPr>
              <w:t>pagal Sutartyje nustatyt</w:t>
            </w:r>
            <w:r>
              <w:rPr>
                <w:rFonts w:ascii="Times New Roman" w:hAnsi="Times New Roman"/>
                <w:sz w:val="24"/>
                <w:szCs w:val="24"/>
              </w:rPr>
              <w:t>ą grafiką</w:t>
            </w:r>
            <w:r w:rsidRPr="006C40B9">
              <w:rPr>
                <w:rFonts w:ascii="Times New Roman" w:hAnsi="Times New Roman"/>
                <w:sz w:val="24"/>
                <w:szCs w:val="24"/>
              </w:rPr>
              <w:t xml:space="preserve"> </w:t>
            </w:r>
            <w:r w:rsidRPr="00FA2233">
              <w:rPr>
                <w:rFonts w:ascii="Times New Roman" w:hAnsi="Times New Roman"/>
                <w:sz w:val="24"/>
                <w:szCs w:val="24"/>
              </w:rPr>
              <w:t xml:space="preserve">vėluoja formuoti Portfelį iki </w:t>
            </w:r>
            <w:r>
              <w:rPr>
                <w:rFonts w:ascii="Times New Roman" w:hAnsi="Times New Roman"/>
                <w:sz w:val="24"/>
                <w:szCs w:val="24"/>
              </w:rPr>
              <w:t>4</w:t>
            </w:r>
            <w:r w:rsidRPr="00FA2233">
              <w:rPr>
                <w:rFonts w:ascii="Times New Roman" w:hAnsi="Times New Roman"/>
                <w:sz w:val="24"/>
                <w:szCs w:val="24"/>
              </w:rPr>
              <w:t xml:space="preserve">0 proc. </w:t>
            </w:r>
            <w:r>
              <w:rPr>
                <w:rFonts w:ascii="Times New Roman" w:hAnsi="Times New Roman"/>
                <w:sz w:val="24"/>
                <w:szCs w:val="24"/>
              </w:rPr>
              <w:t xml:space="preserve">Sutartyje nustatytame grafike nurodytos </w:t>
            </w:r>
            <w:r w:rsidRPr="00C80475">
              <w:rPr>
                <w:rFonts w:ascii="Times New Roman" w:hAnsi="Times New Roman"/>
                <w:sz w:val="24"/>
                <w:szCs w:val="24"/>
              </w:rPr>
              <w:t>Planuojam</w:t>
            </w:r>
            <w:r>
              <w:rPr>
                <w:rFonts w:ascii="Times New Roman" w:hAnsi="Times New Roman"/>
                <w:sz w:val="24"/>
                <w:szCs w:val="24"/>
              </w:rPr>
              <w:t>os</w:t>
            </w:r>
            <w:r w:rsidRPr="00C80475">
              <w:rPr>
                <w:rFonts w:ascii="Times New Roman" w:hAnsi="Times New Roman"/>
                <w:sz w:val="24"/>
                <w:szCs w:val="24"/>
              </w:rPr>
              <w:t xml:space="preserve"> į Portfelį įtraukti Faktoringo </w:t>
            </w:r>
            <w:r w:rsidRPr="00D03AB7">
              <w:rPr>
                <w:rFonts w:ascii="Times New Roman" w:hAnsi="Times New Roman"/>
                <w:sz w:val="24"/>
                <w:szCs w:val="24"/>
              </w:rPr>
              <w:t>limitų sum</w:t>
            </w:r>
            <w:r>
              <w:rPr>
                <w:rFonts w:ascii="Times New Roman" w:hAnsi="Times New Roman"/>
                <w:sz w:val="24"/>
                <w:szCs w:val="24"/>
              </w:rPr>
              <w:t>os</w:t>
            </w:r>
            <w:r w:rsidRPr="00D03AB7">
              <w:rPr>
                <w:rFonts w:ascii="Times New Roman" w:hAnsi="Times New Roman"/>
                <w:sz w:val="24"/>
                <w:szCs w:val="24"/>
              </w:rPr>
              <w:t xml:space="preserve"> – Sutarto Portfelio dydis gali būti mažinamas iki 50 proc. ir atitinkamai mažinama šiam </w:t>
            </w:r>
            <w:r>
              <w:rPr>
                <w:rFonts w:ascii="Times New Roman" w:hAnsi="Times New Roman"/>
                <w:sz w:val="24"/>
                <w:szCs w:val="24"/>
              </w:rPr>
              <w:t>PGF2</w:t>
            </w:r>
            <w:r w:rsidRPr="00D03AB7">
              <w:rPr>
                <w:rFonts w:ascii="Times New Roman" w:hAnsi="Times New Roman"/>
                <w:sz w:val="24"/>
                <w:szCs w:val="24"/>
              </w:rPr>
              <w:t xml:space="preserve"> </w:t>
            </w:r>
            <w:r w:rsidRPr="00187223">
              <w:rPr>
                <w:rFonts w:ascii="Times New Roman" w:hAnsi="Times New Roman"/>
                <w:sz w:val="24"/>
                <w:szCs w:val="24"/>
              </w:rPr>
              <w:t xml:space="preserve">priemonės </w:t>
            </w:r>
            <w:r w:rsidRPr="00FA2233">
              <w:rPr>
                <w:rFonts w:ascii="Times New Roman" w:hAnsi="Times New Roman"/>
                <w:sz w:val="24"/>
                <w:szCs w:val="24"/>
              </w:rPr>
              <w:t xml:space="preserve">valdytojui </w:t>
            </w:r>
            <w:r>
              <w:rPr>
                <w:rFonts w:ascii="Times New Roman" w:hAnsi="Times New Roman"/>
                <w:sz w:val="24"/>
                <w:szCs w:val="24"/>
              </w:rPr>
              <w:t>PGF2</w:t>
            </w:r>
            <w:r w:rsidRPr="00FA2233">
              <w:rPr>
                <w:rFonts w:ascii="Times New Roman" w:hAnsi="Times New Roman"/>
                <w:sz w:val="24"/>
                <w:szCs w:val="24"/>
              </w:rPr>
              <w:t xml:space="preserve"> </w:t>
            </w:r>
            <w:r w:rsidRPr="00C80475">
              <w:rPr>
                <w:rFonts w:ascii="Times New Roman" w:hAnsi="Times New Roman"/>
                <w:sz w:val="24"/>
                <w:szCs w:val="24"/>
              </w:rPr>
              <w:t>priemonei įgyvendinti skirta lėšų suma</w:t>
            </w:r>
            <w:r>
              <w:rPr>
                <w:rFonts w:ascii="Times New Roman" w:hAnsi="Times New Roman"/>
                <w:sz w:val="24"/>
                <w:szCs w:val="24"/>
              </w:rPr>
              <w:t xml:space="preserve">, </w:t>
            </w:r>
            <w:r w:rsidRPr="0017038C">
              <w:rPr>
                <w:rFonts w:ascii="Times New Roman" w:hAnsi="Times New Roman"/>
                <w:sz w:val="24"/>
                <w:szCs w:val="24"/>
              </w:rPr>
              <w:t>tačiau bet kuriuo atveju ne daugiau kaip iki jau suformuoto Portfelio sumos</w:t>
            </w:r>
            <w:r w:rsidRPr="00C80475">
              <w:rPr>
                <w:rFonts w:ascii="Times New Roman" w:hAnsi="Times New Roman"/>
                <w:sz w:val="24"/>
                <w:szCs w:val="24"/>
              </w:rPr>
              <w:t>;</w:t>
            </w:r>
          </w:p>
          <w:p w14:paraId="0A3C7F4C" w14:textId="77777777" w:rsidR="00035106" w:rsidRPr="003B3B1D" w:rsidRDefault="00035106" w:rsidP="009873E8">
            <w:pPr>
              <w:tabs>
                <w:tab w:val="left" w:pos="459"/>
              </w:tabs>
              <w:autoSpaceDE w:val="0"/>
              <w:autoSpaceDN w:val="0"/>
              <w:spacing w:after="0" w:line="240" w:lineRule="auto"/>
              <w:contextualSpacing/>
              <w:jc w:val="both"/>
              <w:rPr>
                <w:rFonts w:ascii="Times New Roman" w:hAnsi="Times New Roman"/>
                <w:sz w:val="24"/>
                <w:szCs w:val="24"/>
              </w:rPr>
            </w:pPr>
            <w:r w:rsidRPr="009E0565">
              <w:rPr>
                <w:rFonts w:ascii="Times New Roman" w:hAnsi="Times New Roman"/>
                <w:sz w:val="24"/>
                <w:szCs w:val="24"/>
              </w:rPr>
              <w:t>3.</w:t>
            </w:r>
            <w:r w:rsidRPr="009E0565">
              <w:rPr>
                <w:rFonts w:ascii="Times New Roman" w:hAnsi="Times New Roman"/>
                <w:sz w:val="24"/>
                <w:szCs w:val="24"/>
              </w:rPr>
              <w:tab/>
            </w:r>
            <w:r w:rsidRPr="00FA2233">
              <w:rPr>
                <w:rFonts w:ascii="Times New Roman" w:hAnsi="Times New Roman"/>
                <w:sz w:val="24"/>
                <w:szCs w:val="24"/>
              </w:rPr>
              <w:t xml:space="preserve">Jei </w:t>
            </w:r>
            <w:r>
              <w:rPr>
                <w:rFonts w:ascii="Times New Roman" w:hAnsi="Times New Roman"/>
                <w:sz w:val="24"/>
                <w:szCs w:val="24"/>
              </w:rPr>
              <w:t>PGF2</w:t>
            </w:r>
            <w:r w:rsidRPr="00FA2233">
              <w:rPr>
                <w:rFonts w:ascii="Times New Roman" w:hAnsi="Times New Roman"/>
                <w:sz w:val="24"/>
                <w:szCs w:val="24"/>
              </w:rPr>
              <w:t xml:space="preserve"> priemonės valdytojas </w:t>
            </w:r>
            <w:r w:rsidRPr="006C40B9">
              <w:rPr>
                <w:rFonts w:ascii="Times New Roman" w:hAnsi="Times New Roman"/>
                <w:sz w:val="24"/>
                <w:szCs w:val="24"/>
              </w:rPr>
              <w:t>pagal Sutartyje nustatyt</w:t>
            </w:r>
            <w:r>
              <w:rPr>
                <w:rFonts w:ascii="Times New Roman" w:hAnsi="Times New Roman"/>
                <w:sz w:val="24"/>
                <w:szCs w:val="24"/>
              </w:rPr>
              <w:t>ą grafiką</w:t>
            </w:r>
            <w:r w:rsidRPr="006C40B9">
              <w:rPr>
                <w:rFonts w:ascii="Times New Roman" w:hAnsi="Times New Roman"/>
                <w:sz w:val="24"/>
                <w:szCs w:val="24"/>
              </w:rPr>
              <w:t xml:space="preserve"> </w:t>
            </w:r>
            <w:r>
              <w:rPr>
                <w:rFonts w:ascii="Times New Roman" w:hAnsi="Times New Roman"/>
                <w:sz w:val="24"/>
                <w:szCs w:val="24"/>
              </w:rPr>
              <w:t>vėluoja formuoti Portfelį iki 6</w:t>
            </w:r>
            <w:r w:rsidRPr="00FA2233">
              <w:rPr>
                <w:rFonts w:ascii="Times New Roman" w:hAnsi="Times New Roman"/>
                <w:sz w:val="24"/>
                <w:szCs w:val="24"/>
              </w:rPr>
              <w:t xml:space="preserve">0 proc. </w:t>
            </w:r>
            <w:r>
              <w:rPr>
                <w:rFonts w:ascii="Times New Roman" w:hAnsi="Times New Roman"/>
                <w:sz w:val="24"/>
                <w:szCs w:val="24"/>
              </w:rPr>
              <w:t xml:space="preserve">Sutartyje nustatytame grafike nurodytos </w:t>
            </w:r>
            <w:r w:rsidRPr="00C80475">
              <w:rPr>
                <w:rFonts w:ascii="Times New Roman" w:hAnsi="Times New Roman"/>
                <w:sz w:val="24"/>
                <w:szCs w:val="24"/>
              </w:rPr>
              <w:t>Planuojam</w:t>
            </w:r>
            <w:r>
              <w:rPr>
                <w:rFonts w:ascii="Times New Roman" w:hAnsi="Times New Roman"/>
                <w:sz w:val="24"/>
                <w:szCs w:val="24"/>
              </w:rPr>
              <w:t>os</w:t>
            </w:r>
            <w:r w:rsidRPr="00C80475">
              <w:rPr>
                <w:rFonts w:ascii="Times New Roman" w:hAnsi="Times New Roman"/>
                <w:sz w:val="24"/>
                <w:szCs w:val="24"/>
              </w:rPr>
              <w:t xml:space="preserve"> į Portfelį įtraukti Faktoringo </w:t>
            </w:r>
            <w:r w:rsidRPr="00D03AB7">
              <w:rPr>
                <w:rFonts w:ascii="Times New Roman" w:hAnsi="Times New Roman"/>
                <w:sz w:val="24"/>
                <w:szCs w:val="24"/>
              </w:rPr>
              <w:t>limitų sum</w:t>
            </w:r>
            <w:r>
              <w:rPr>
                <w:rFonts w:ascii="Times New Roman" w:hAnsi="Times New Roman"/>
                <w:sz w:val="24"/>
                <w:szCs w:val="24"/>
              </w:rPr>
              <w:t>os</w:t>
            </w:r>
            <w:r w:rsidRPr="00D03AB7">
              <w:rPr>
                <w:rFonts w:ascii="Times New Roman" w:hAnsi="Times New Roman"/>
                <w:sz w:val="24"/>
                <w:szCs w:val="24"/>
              </w:rPr>
              <w:t xml:space="preserve"> – Sutarto Portfelio dydis gali būti mažinamas iki 100</w:t>
            </w:r>
            <w:r w:rsidRPr="00187223">
              <w:rPr>
                <w:rFonts w:ascii="Times New Roman" w:hAnsi="Times New Roman"/>
                <w:sz w:val="24"/>
                <w:szCs w:val="24"/>
              </w:rPr>
              <w:t xml:space="preserve"> proc. ir </w:t>
            </w:r>
            <w:r w:rsidRPr="00FA2233">
              <w:rPr>
                <w:rFonts w:ascii="Times New Roman" w:hAnsi="Times New Roman"/>
                <w:sz w:val="24"/>
                <w:szCs w:val="24"/>
              </w:rPr>
              <w:t xml:space="preserve">atitinkamai </w:t>
            </w:r>
            <w:r w:rsidRPr="00D03AB7">
              <w:rPr>
                <w:rFonts w:ascii="Times New Roman" w:hAnsi="Times New Roman"/>
                <w:sz w:val="24"/>
                <w:szCs w:val="24"/>
              </w:rPr>
              <w:t xml:space="preserve">mažinama šiam </w:t>
            </w:r>
            <w:r>
              <w:rPr>
                <w:rFonts w:ascii="Times New Roman" w:hAnsi="Times New Roman"/>
                <w:sz w:val="24"/>
                <w:szCs w:val="24"/>
              </w:rPr>
              <w:t>PGF2</w:t>
            </w:r>
            <w:r w:rsidRPr="002E6B01">
              <w:rPr>
                <w:rFonts w:ascii="Times New Roman" w:hAnsi="Times New Roman"/>
                <w:sz w:val="24"/>
                <w:szCs w:val="24"/>
              </w:rPr>
              <w:t xml:space="preserve"> priemonės valdytojui </w:t>
            </w:r>
            <w:r>
              <w:rPr>
                <w:rFonts w:ascii="Times New Roman" w:hAnsi="Times New Roman"/>
                <w:sz w:val="24"/>
                <w:szCs w:val="24"/>
              </w:rPr>
              <w:t>PGF2</w:t>
            </w:r>
            <w:r w:rsidRPr="002E6B01">
              <w:rPr>
                <w:rFonts w:ascii="Times New Roman" w:hAnsi="Times New Roman"/>
                <w:sz w:val="24"/>
                <w:szCs w:val="24"/>
              </w:rPr>
              <w:t xml:space="preserve"> priemonei įgyvendinti skirta lėšų suma</w:t>
            </w:r>
            <w:r>
              <w:rPr>
                <w:rFonts w:ascii="Times New Roman" w:hAnsi="Times New Roman"/>
                <w:sz w:val="24"/>
                <w:szCs w:val="24"/>
              </w:rPr>
              <w:t xml:space="preserve">, </w:t>
            </w:r>
            <w:r w:rsidRPr="0017038C">
              <w:rPr>
                <w:rFonts w:ascii="Times New Roman" w:hAnsi="Times New Roman"/>
                <w:sz w:val="24"/>
                <w:szCs w:val="24"/>
              </w:rPr>
              <w:t>tačiau bet kuriuo atveju ne daugiau kaip iki jau suformuoto Portfelio sumos</w:t>
            </w:r>
            <w:r w:rsidRPr="002E6B01">
              <w:rPr>
                <w:rFonts w:ascii="Times New Roman" w:hAnsi="Times New Roman"/>
                <w:sz w:val="24"/>
                <w:szCs w:val="24"/>
              </w:rPr>
              <w:t>.</w:t>
            </w:r>
          </w:p>
          <w:p w14:paraId="4DEC4819" w14:textId="77777777" w:rsidR="00035106" w:rsidRPr="003B3B1D" w:rsidRDefault="00035106" w:rsidP="009873E8">
            <w:pPr>
              <w:autoSpaceDE w:val="0"/>
              <w:autoSpaceDN w:val="0"/>
              <w:spacing w:after="0" w:line="240" w:lineRule="auto"/>
              <w:contextualSpacing/>
              <w:jc w:val="both"/>
              <w:rPr>
                <w:rFonts w:ascii="Times New Roman" w:hAnsi="Times New Roman"/>
                <w:sz w:val="24"/>
                <w:szCs w:val="24"/>
              </w:rPr>
            </w:pPr>
          </w:p>
          <w:p w14:paraId="7C96B77A" w14:textId="77777777" w:rsidR="00035106" w:rsidRPr="0048678D" w:rsidRDefault="00035106" w:rsidP="009873E8">
            <w:pPr>
              <w:autoSpaceDE w:val="0"/>
              <w:autoSpaceDN w:val="0"/>
              <w:spacing w:after="0" w:line="240" w:lineRule="auto"/>
              <w:contextualSpacing/>
              <w:jc w:val="both"/>
              <w:rPr>
                <w:rFonts w:ascii="Times New Roman" w:hAnsi="Times New Roman"/>
                <w:sz w:val="24"/>
              </w:rPr>
            </w:pPr>
            <w:r w:rsidRPr="003B3B1D">
              <w:rPr>
                <w:rFonts w:ascii="Times New Roman" w:hAnsi="Times New Roman"/>
                <w:sz w:val="24"/>
                <w:szCs w:val="24"/>
              </w:rPr>
              <w:t>Vėlavimas formuoti Portfelį bus vertinamas kas</w:t>
            </w:r>
            <w:r>
              <w:rPr>
                <w:rFonts w:ascii="Times New Roman" w:hAnsi="Times New Roman"/>
                <w:sz w:val="24"/>
                <w:szCs w:val="24"/>
              </w:rPr>
              <w:t xml:space="preserve"> </w:t>
            </w:r>
            <w:r w:rsidRPr="00D556B6">
              <w:rPr>
                <w:rFonts w:ascii="Times New Roman" w:eastAsia="Times New Roman" w:hAnsi="Times New Roman"/>
                <w:sz w:val="24"/>
                <w:szCs w:val="24"/>
              </w:rPr>
              <w:t>pusmetį,</w:t>
            </w:r>
            <w:r w:rsidRPr="0078559A">
              <w:rPr>
                <w:rFonts w:ascii="Times New Roman" w:hAnsi="Times New Roman"/>
              </w:rPr>
              <w:t xml:space="preserve"> </w:t>
            </w:r>
            <w:r w:rsidRPr="0078559A">
              <w:rPr>
                <w:rFonts w:ascii="Times New Roman" w:hAnsi="Times New Roman"/>
                <w:sz w:val="24"/>
              </w:rPr>
              <w:t xml:space="preserve">atsižvelgiant į </w:t>
            </w:r>
            <w:r>
              <w:rPr>
                <w:rFonts w:ascii="Times New Roman" w:hAnsi="Times New Roman"/>
              </w:rPr>
              <w:t>PGF2 </w:t>
            </w:r>
            <w:r w:rsidRPr="0078559A">
              <w:rPr>
                <w:rFonts w:ascii="Times New Roman" w:hAnsi="Times New Roman"/>
              </w:rPr>
              <w:t xml:space="preserve">priemonės </w:t>
            </w:r>
            <w:r w:rsidRPr="0078559A">
              <w:rPr>
                <w:rFonts w:ascii="Times New Roman" w:hAnsi="Times New Roman"/>
                <w:sz w:val="24"/>
              </w:rPr>
              <w:t>įgyvendinimo</w:t>
            </w:r>
            <w:r w:rsidRPr="0078559A">
              <w:rPr>
                <w:rFonts w:ascii="Times New Roman" w:hAnsi="Times New Roman"/>
              </w:rPr>
              <w:t xml:space="preserve"> </w:t>
            </w:r>
            <w:r>
              <w:rPr>
                <w:rFonts w:ascii="Times New Roman" w:hAnsi="Times New Roman"/>
                <w:sz w:val="24"/>
              </w:rPr>
              <w:t>grafiką</w:t>
            </w:r>
            <w:r w:rsidRPr="0078559A">
              <w:rPr>
                <w:rFonts w:ascii="Times New Roman" w:hAnsi="Times New Roman"/>
                <w:sz w:val="24"/>
              </w:rPr>
              <w:t>,</w:t>
            </w:r>
            <w:r w:rsidRPr="00D556B6">
              <w:rPr>
                <w:rFonts w:ascii="Times New Roman" w:eastAsia="Times New Roman" w:hAnsi="Times New Roman"/>
                <w:sz w:val="24"/>
                <w:szCs w:val="24"/>
              </w:rPr>
              <w:t xml:space="preserve"> tada, kai yra gautos ataskaitos </w:t>
            </w:r>
            <w:r w:rsidRPr="003B3B1D">
              <w:rPr>
                <w:rFonts w:ascii="Times New Roman" w:hAnsi="Times New Roman"/>
                <w:sz w:val="24"/>
                <w:szCs w:val="24"/>
              </w:rPr>
              <w:t xml:space="preserve">iš </w:t>
            </w:r>
            <w:r>
              <w:rPr>
                <w:rFonts w:ascii="Times New Roman" w:hAnsi="Times New Roman"/>
                <w:sz w:val="24"/>
                <w:szCs w:val="24"/>
              </w:rPr>
              <w:t>PGF2 </w:t>
            </w:r>
            <w:r w:rsidRPr="003B3B1D">
              <w:rPr>
                <w:rFonts w:ascii="Times New Roman" w:hAnsi="Times New Roman"/>
                <w:sz w:val="24"/>
                <w:szCs w:val="24"/>
              </w:rPr>
              <w:t>priemonės valdytojo</w:t>
            </w:r>
            <w:r w:rsidRPr="00D556B6">
              <w:rPr>
                <w:rFonts w:ascii="Times New Roman" w:eastAsia="Times New Roman" w:hAnsi="Times New Roman"/>
                <w:sz w:val="24"/>
                <w:szCs w:val="24"/>
              </w:rPr>
              <w:t xml:space="preserve"> už du pilnus ataskaitinius ketvirčius. </w:t>
            </w:r>
            <w:r w:rsidRPr="003B3B1D">
              <w:rPr>
                <w:rFonts w:ascii="Times New Roman" w:hAnsi="Times New Roman"/>
                <w:sz w:val="24"/>
                <w:szCs w:val="24"/>
              </w:rPr>
              <w:t xml:space="preserve">Kai nusprendžiama Portfelį mažinti aukščiau nurodytomis sąlygomis, </w:t>
            </w:r>
            <w:r>
              <w:rPr>
                <w:rFonts w:ascii="Times New Roman" w:hAnsi="Times New Roman"/>
                <w:sz w:val="24"/>
                <w:szCs w:val="24"/>
              </w:rPr>
              <w:t>PGF2</w:t>
            </w:r>
            <w:r w:rsidRPr="0048678D">
              <w:rPr>
                <w:rFonts w:ascii="Times New Roman" w:hAnsi="Times New Roman"/>
                <w:sz w:val="24"/>
              </w:rPr>
              <w:t xml:space="preserve"> priemonės valdytojas pateikia atnaujintą </w:t>
            </w:r>
            <w:r>
              <w:rPr>
                <w:rFonts w:ascii="Times New Roman" w:hAnsi="Times New Roman"/>
                <w:sz w:val="24"/>
              </w:rPr>
              <w:t>PGF2</w:t>
            </w:r>
            <w:r w:rsidRPr="0048678D">
              <w:rPr>
                <w:rFonts w:ascii="Times New Roman" w:hAnsi="Times New Roman"/>
                <w:sz w:val="24"/>
              </w:rPr>
              <w:t xml:space="preserve"> priemonės įgyvendinimo </w:t>
            </w:r>
            <w:r>
              <w:rPr>
                <w:rFonts w:ascii="Times New Roman" w:hAnsi="Times New Roman"/>
                <w:sz w:val="24"/>
              </w:rPr>
              <w:t>grafiką</w:t>
            </w:r>
          </w:p>
        </w:tc>
      </w:tr>
      <w:tr w:rsidR="00035106" w:rsidRPr="00B751E6" w14:paraId="6F5CC2E0" w14:textId="77777777" w:rsidTr="00D95057">
        <w:tc>
          <w:tcPr>
            <w:tcW w:w="2030" w:type="dxa"/>
            <w:tcBorders>
              <w:bottom w:val="single" w:sz="4" w:space="0" w:color="000000"/>
            </w:tcBorders>
          </w:tcPr>
          <w:p w14:paraId="3A0C23F3" w14:textId="77777777" w:rsidR="00035106" w:rsidRPr="00E7321D" w:rsidRDefault="00035106" w:rsidP="009873E8">
            <w:pPr>
              <w:autoSpaceDE w:val="0"/>
              <w:autoSpaceDN w:val="0"/>
              <w:spacing w:after="0" w:line="240" w:lineRule="auto"/>
              <w:contextualSpacing/>
              <w:rPr>
                <w:rFonts w:ascii="Times New Roman" w:hAnsi="Times New Roman"/>
                <w:b/>
                <w:sz w:val="24"/>
                <w:szCs w:val="24"/>
              </w:rPr>
            </w:pPr>
            <w:r w:rsidRPr="00E7321D">
              <w:rPr>
                <w:rFonts w:ascii="Times New Roman" w:hAnsi="Times New Roman"/>
                <w:b/>
                <w:sz w:val="24"/>
                <w:szCs w:val="24"/>
              </w:rPr>
              <w:t>Maksimal</w:t>
            </w:r>
            <w:r>
              <w:rPr>
                <w:rFonts w:ascii="Times New Roman" w:hAnsi="Times New Roman"/>
                <w:b/>
                <w:sz w:val="24"/>
                <w:szCs w:val="24"/>
              </w:rPr>
              <w:t>i</w:t>
            </w:r>
            <w:r w:rsidRPr="00E7321D">
              <w:rPr>
                <w:rFonts w:ascii="Times New Roman" w:hAnsi="Times New Roman"/>
                <w:b/>
                <w:sz w:val="24"/>
                <w:szCs w:val="24"/>
              </w:rPr>
              <w:t xml:space="preserve"> vieno Faktori</w:t>
            </w:r>
            <w:r>
              <w:rPr>
                <w:rFonts w:ascii="Times New Roman" w:hAnsi="Times New Roman"/>
                <w:b/>
                <w:sz w:val="24"/>
                <w:szCs w:val="24"/>
              </w:rPr>
              <w:t>ngo sandorio vienam MVĮ suma</w:t>
            </w:r>
          </w:p>
        </w:tc>
        <w:tc>
          <w:tcPr>
            <w:tcW w:w="7321" w:type="dxa"/>
            <w:tcBorders>
              <w:bottom w:val="single" w:sz="4" w:space="0" w:color="000000"/>
            </w:tcBorders>
          </w:tcPr>
          <w:p w14:paraId="7ECBE6A8" w14:textId="77777777" w:rsidR="00035106" w:rsidRDefault="00035106" w:rsidP="009873E8">
            <w:pPr>
              <w:pStyle w:val="ListParagraph"/>
              <w:tabs>
                <w:tab w:val="left" w:pos="319"/>
              </w:tabs>
              <w:spacing w:after="0" w:line="240" w:lineRule="auto"/>
              <w:ind w:left="0"/>
              <w:jc w:val="both"/>
            </w:pPr>
            <w:r w:rsidRPr="00D31E95">
              <w:rPr>
                <w:rFonts w:ascii="Times New Roman" w:hAnsi="Times New Roman"/>
                <w:sz w:val="24"/>
                <w:szCs w:val="24"/>
              </w:rPr>
              <w:t>Didžiausia vieno Faktoringo limito vienai MVĮ suma yra ne didesnė nei 1 875</w:t>
            </w:r>
            <w:r>
              <w:rPr>
                <w:rFonts w:ascii="Times New Roman" w:hAnsi="Times New Roman"/>
                <w:sz w:val="24"/>
                <w:szCs w:val="24"/>
              </w:rPr>
              <w:t> </w:t>
            </w:r>
            <w:r w:rsidRPr="00D31E95">
              <w:rPr>
                <w:rFonts w:ascii="Times New Roman" w:hAnsi="Times New Roman"/>
                <w:sz w:val="24"/>
                <w:szCs w:val="24"/>
              </w:rPr>
              <w:t xml:space="preserve">000 Eur </w:t>
            </w:r>
            <w:r w:rsidRPr="000C5A79">
              <w:rPr>
                <w:rFonts w:ascii="Times New Roman" w:hAnsi="Times New Roman"/>
                <w:sz w:val="24"/>
                <w:szCs w:val="24"/>
              </w:rPr>
              <w:t>(vienas milijonas aštuoni šimtai septyniasdešimt penki tūkstančiai eurų), o Faktoringo gavėjų, vykdančių krovinių vežimo keliais veiklą, atveju – 937  500  Eur (devyni šimtai trisdešimt septyni tūkstančiai penki šimtai eurų)</w:t>
            </w:r>
            <w:r w:rsidRPr="00D31E95">
              <w:rPr>
                <w:rFonts w:ascii="Times New Roman" w:hAnsi="Times New Roman"/>
                <w:sz w:val="24"/>
                <w:szCs w:val="24"/>
              </w:rPr>
              <w:t xml:space="preserve">. </w:t>
            </w:r>
            <w:r w:rsidRPr="000C5A79">
              <w:rPr>
                <w:rFonts w:ascii="Times New Roman" w:hAnsi="Times New Roman"/>
                <w:sz w:val="24"/>
                <w:szCs w:val="24"/>
              </w:rPr>
              <w:t xml:space="preserve">Pasibaigus Faktoringo sandorio finansavimo laikotarpiui, su MVĮ gali būti sudaromas naujas Faktoringo sandoris, </w:t>
            </w:r>
            <w:r w:rsidRPr="000C5A79">
              <w:rPr>
                <w:rFonts w:ascii="Times New Roman" w:hAnsi="Times New Roman"/>
                <w:sz w:val="24"/>
                <w:szCs w:val="24"/>
              </w:rPr>
              <w:lastRenderedPageBreak/>
              <w:t xml:space="preserve">tačiau bet kokiu atveju MVĮ pagal Faktoringo sandorio limitą apskaičiuota </w:t>
            </w:r>
            <w:r w:rsidRPr="000C5A79">
              <w:rPr>
                <w:rFonts w:ascii="Times New Roman" w:hAnsi="Times New Roman"/>
                <w:i/>
                <w:sz w:val="24"/>
                <w:szCs w:val="24"/>
              </w:rPr>
              <w:t>de minimis</w:t>
            </w:r>
            <w:r w:rsidRPr="000C5A79">
              <w:rPr>
                <w:rFonts w:ascii="Times New Roman" w:hAnsi="Times New Roman"/>
                <w:sz w:val="24"/>
                <w:szCs w:val="24"/>
              </w:rPr>
              <w:t xml:space="preserve"> pagalbos suma negali būti didesnė </w:t>
            </w:r>
            <w:r w:rsidRPr="00D31E95">
              <w:rPr>
                <w:rFonts w:ascii="Times New Roman" w:hAnsi="Times New Roman"/>
                <w:sz w:val="24"/>
                <w:szCs w:val="24"/>
              </w:rPr>
              <w:t xml:space="preserve">nei pagal Reglamento (ES) Nr. 1407/2013 nuostatas leidžiama didžiausia </w:t>
            </w:r>
            <w:r w:rsidRPr="00D31E95">
              <w:rPr>
                <w:rFonts w:ascii="Times New Roman" w:hAnsi="Times New Roman"/>
                <w:i/>
                <w:sz w:val="24"/>
                <w:szCs w:val="24"/>
              </w:rPr>
              <w:t>de minimis</w:t>
            </w:r>
            <w:r w:rsidRPr="00D31E95">
              <w:rPr>
                <w:rFonts w:ascii="Times New Roman" w:hAnsi="Times New Roman"/>
                <w:sz w:val="24"/>
                <w:szCs w:val="24"/>
              </w:rPr>
              <w:t xml:space="preserve"> pagalbos suma</w:t>
            </w:r>
          </w:p>
        </w:tc>
      </w:tr>
      <w:tr w:rsidR="00035106" w:rsidRPr="00B751E6" w14:paraId="5379BB22" w14:textId="77777777" w:rsidTr="00D95057">
        <w:tc>
          <w:tcPr>
            <w:tcW w:w="2030" w:type="dxa"/>
            <w:tcBorders>
              <w:bottom w:val="single" w:sz="4" w:space="0" w:color="000000"/>
            </w:tcBorders>
          </w:tcPr>
          <w:p w14:paraId="54ACF15A"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lastRenderedPageBreak/>
              <w:t>Garantija</w:t>
            </w:r>
          </w:p>
        </w:tc>
        <w:tc>
          <w:tcPr>
            <w:tcW w:w="7321" w:type="dxa"/>
            <w:tcBorders>
              <w:bottom w:val="single" w:sz="4" w:space="0" w:color="000000"/>
            </w:tcBorders>
          </w:tcPr>
          <w:p w14:paraId="09B3EBC8"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Į</w:t>
            </w:r>
            <w:r w:rsidRPr="00A93232">
              <w:rPr>
                <w:rFonts w:ascii="Times New Roman" w:hAnsi="Times New Roman"/>
                <w:sz w:val="24"/>
                <w:szCs w:val="24"/>
              </w:rPr>
              <w:t xml:space="preserve">sipareigojimas padengti </w:t>
            </w:r>
            <w:r>
              <w:rPr>
                <w:rFonts w:ascii="Times New Roman" w:hAnsi="Times New Roman"/>
                <w:sz w:val="24"/>
                <w:szCs w:val="24"/>
              </w:rPr>
              <w:t>PGF2 priemonės valdytojui</w:t>
            </w:r>
            <w:r w:rsidRPr="00A93232">
              <w:rPr>
                <w:rFonts w:ascii="Times New Roman" w:hAnsi="Times New Roman"/>
                <w:sz w:val="24"/>
                <w:szCs w:val="24"/>
              </w:rPr>
              <w:t xml:space="preserve"> </w:t>
            </w:r>
            <w:r>
              <w:rPr>
                <w:rFonts w:ascii="Times New Roman" w:hAnsi="Times New Roman"/>
                <w:sz w:val="24"/>
                <w:szCs w:val="24"/>
              </w:rPr>
              <w:t>Probleminio Faktoringo sandorio N</w:t>
            </w:r>
            <w:r w:rsidRPr="00A93232">
              <w:rPr>
                <w:rFonts w:ascii="Times New Roman" w:hAnsi="Times New Roman"/>
                <w:sz w:val="24"/>
                <w:szCs w:val="24"/>
              </w:rPr>
              <w:t>uostolį</w:t>
            </w:r>
            <w:r>
              <w:rPr>
                <w:rFonts w:ascii="Times New Roman" w:hAnsi="Times New Roman"/>
                <w:sz w:val="24"/>
                <w:szCs w:val="24"/>
              </w:rPr>
              <w:t>.</w:t>
            </w:r>
          </w:p>
          <w:p w14:paraId="56690237"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B801F9">
              <w:rPr>
                <w:rFonts w:ascii="Times New Roman" w:hAnsi="Times New Roman"/>
                <w:sz w:val="24"/>
                <w:szCs w:val="24"/>
              </w:rPr>
              <w:t>Kiekviena</w:t>
            </w:r>
            <w:r>
              <w:rPr>
                <w:rFonts w:ascii="Times New Roman" w:hAnsi="Times New Roman"/>
                <w:sz w:val="24"/>
                <w:szCs w:val="24"/>
              </w:rPr>
              <w:t>s</w:t>
            </w:r>
            <w:r w:rsidRPr="00B801F9">
              <w:rPr>
                <w:rFonts w:ascii="Times New Roman" w:hAnsi="Times New Roman"/>
                <w:sz w:val="24"/>
                <w:szCs w:val="24"/>
              </w:rPr>
              <w:t xml:space="preserve"> į Portfel</w:t>
            </w:r>
            <w:r>
              <w:rPr>
                <w:rFonts w:ascii="Times New Roman" w:hAnsi="Times New Roman"/>
                <w:sz w:val="24"/>
                <w:szCs w:val="24"/>
              </w:rPr>
              <w:t>į</w:t>
            </w:r>
            <w:r w:rsidRPr="00B801F9">
              <w:rPr>
                <w:rFonts w:ascii="Times New Roman" w:hAnsi="Times New Roman"/>
                <w:sz w:val="24"/>
                <w:szCs w:val="24"/>
              </w:rPr>
              <w:t xml:space="preserve"> įtraukiama</w:t>
            </w:r>
            <w:r>
              <w:rPr>
                <w:rFonts w:ascii="Times New Roman" w:hAnsi="Times New Roman"/>
                <w:sz w:val="24"/>
                <w:szCs w:val="24"/>
              </w:rPr>
              <w:t>s Faktoringo sandoris</w:t>
            </w:r>
            <w:r w:rsidRPr="00B801F9">
              <w:rPr>
                <w:rFonts w:ascii="Times New Roman" w:hAnsi="Times New Roman"/>
                <w:sz w:val="24"/>
                <w:szCs w:val="24"/>
              </w:rPr>
              <w:t xml:space="preserve"> garantuojama</w:t>
            </w:r>
            <w:r>
              <w:rPr>
                <w:rFonts w:ascii="Times New Roman" w:hAnsi="Times New Roman"/>
                <w:sz w:val="24"/>
                <w:szCs w:val="24"/>
              </w:rPr>
              <w:t>s 80 </w:t>
            </w:r>
            <w:r w:rsidRPr="00B801F9">
              <w:rPr>
                <w:rFonts w:ascii="Times New Roman" w:hAnsi="Times New Roman"/>
                <w:sz w:val="24"/>
                <w:szCs w:val="24"/>
              </w:rPr>
              <w:t>proc.</w:t>
            </w:r>
            <w:r>
              <w:rPr>
                <w:rFonts w:ascii="Times New Roman" w:hAnsi="Times New Roman"/>
                <w:sz w:val="24"/>
                <w:szCs w:val="24"/>
              </w:rPr>
              <w:t xml:space="preserve"> Faktoringo sandorio Nuostolio, t</w:t>
            </w:r>
            <w:r w:rsidRPr="00B801F9">
              <w:rPr>
                <w:rFonts w:ascii="Times New Roman" w:hAnsi="Times New Roman"/>
                <w:sz w:val="24"/>
                <w:szCs w:val="24"/>
              </w:rPr>
              <w:t xml:space="preserve">ačiau bendra </w:t>
            </w:r>
            <w:r>
              <w:rPr>
                <w:rFonts w:ascii="Times New Roman" w:hAnsi="Times New Roman"/>
                <w:sz w:val="24"/>
                <w:szCs w:val="24"/>
              </w:rPr>
              <w:t>I</w:t>
            </w:r>
            <w:r w:rsidRPr="00B801F9">
              <w:rPr>
                <w:rFonts w:ascii="Times New Roman" w:hAnsi="Times New Roman"/>
                <w:sz w:val="24"/>
                <w:szCs w:val="24"/>
              </w:rPr>
              <w:t>šmok</w:t>
            </w:r>
            <w:r>
              <w:rPr>
                <w:rFonts w:ascii="Times New Roman" w:hAnsi="Times New Roman"/>
                <w:sz w:val="24"/>
                <w:szCs w:val="24"/>
              </w:rPr>
              <w:t>ų</w:t>
            </w:r>
            <w:r w:rsidRPr="00B801F9">
              <w:rPr>
                <w:rFonts w:ascii="Times New Roman" w:hAnsi="Times New Roman"/>
                <w:sz w:val="24"/>
                <w:szCs w:val="24"/>
              </w:rPr>
              <w:t xml:space="preserve"> suma negali viršyti </w:t>
            </w:r>
            <w:r>
              <w:rPr>
                <w:rFonts w:ascii="Times New Roman" w:hAnsi="Times New Roman"/>
                <w:sz w:val="24"/>
                <w:szCs w:val="24"/>
              </w:rPr>
              <w:t>D</w:t>
            </w:r>
            <w:r w:rsidRPr="00B801F9">
              <w:rPr>
                <w:rFonts w:ascii="Times New Roman" w:hAnsi="Times New Roman"/>
                <w:sz w:val="24"/>
                <w:szCs w:val="24"/>
              </w:rPr>
              <w:t>idžiausios išmokų</w:t>
            </w:r>
            <w:r>
              <w:rPr>
                <w:rFonts w:ascii="Times New Roman" w:hAnsi="Times New Roman"/>
                <w:sz w:val="24"/>
                <w:szCs w:val="24"/>
              </w:rPr>
              <w:t xml:space="preserve"> pagal </w:t>
            </w:r>
            <w:r w:rsidRPr="008A0D89">
              <w:rPr>
                <w:rFonts w:ascii="Times New Roman" w:hAnsi="Times New Roman"/>
                <w:sz w:val="24"/>
                <w:szCs w:val="24"/>
              </w:rPr>
              <w:t>Faktoringo sandorį sumos ir</w:t>
            </w:r>
            <w:r w:rsidRPr="00B801F9">
              <w:rPr>
                <w:rFonts w:ascii="Times New Roman" w:hAnsi="Times New Roman"/>
                <w:sz w:val="24"/>
                <w:szCs w:val="24"/>
              </w:rPr>
              <w:t xml:space="preserve"> yra ribojama </w:t>
            </w:r>
            <w:r>
              <w:rPr>
                <w:rFonts w:ascii="Times New Roman" w:hAnsi="Times New Roman"/>
                <w:sz w:val="24"/>
                <w:szCs w:val="24"/>
              </w:rPr>
              <w:t>V</w:t>
            </w:r>
            <w:r w:rsidRPr="00B801F9">
              <w:rPr>
                <w:rFonts w:ascii="Times New Roman" w:hAnsi="Times New Roman"/>
                <w:sz w:val="24"/>
                <w:szCs w:val="24"/>
              </w:rPr>
              <w:t>iršutin</w:t>
            </w:r>
            <w:r>
              <w:rPr>
                <w:rFonts w:ascii="Times New Roman" w:hAnsi="Times New Roman"/>
                <w:sz w:val="24"/>
                <w:szCs w:val="24"/>
              </w:rPr>
              <w:t>ės</w:t>
            </w:r>
            <w:r w:rsidRPr="00B801F9">
              <w:rPr>
                <w:rFonts w:ascii="Times New Roman" w:hAnsi="Times New Roman"/>
                <w:sz w:val="24"/>
                <w:szCs w:val="24"/>
              </w:rPr>
              <w:t xml:space="preserve"> ribos norm</w:t>
            </w:r>
            <w:r>
              <w:rPr>
                <w:rFonts w:ascii="Times New Roman" w:hAnsi="Times New Roman"/>
                <w:sz w:val="24"/>
                <w:szCs w:val="24"/>
              </w:rPr>
              <w:t>os dydžio.</w:t>
            </w:r>
          </w:p>
          <w:p w14:paraId="1586D86B"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PGF2</w:t>
            </w:r>
            <w:r w:rsidRPr="00B801F9">
              <w:rPr>
                <w:rFonts w:ascii="Times New Roman" w:hAnsi="Times New Roman"/>
                <w:sz w:val="24"/>
                <w:szCs w:val="24"/>
              </w:rPr>
              <w:t xml:space="preserve"> priemonės valdytojui</w:t>
            </w:r>
            <w:r>
              <w:rPr>
                <w:rFonts w:ascii="Times New Roman" w:hAnsi="Times New Roman"/>
                <w:sz w:val="24"/>
                <w:szCs w:val="24"/>
              </w:rPr>
              <w:t xml:space="preserve"> MVĮ</w:t>
            </w:r>
            <w:r w:rsidRPr="00B801F9">
              <w:rPr>
                <w:rFonts w:ascii="Times New Roman" w:hAnsi="Times New Roman"/>
                <w:sz w:val="24"/>
                <w:szCs w:val="24"/>
              </w:rPr>
              <w:t xml:space="preserve"> nesumokėti</w:t>
            </w:r>
            <w:r>
              <w:rPr>
                <w:rFonts w:ascii="Times New Roman" w:hAnsi="Times New Roman"/>
                <w:sz w:val="24"/>
                <w:szCs w:val="24"/>
              </w:rPr>
              <w:t xml:space="preserve"> </w:t>
            </w:r>
            <w:r w:rsidRPr="00B801F9">
              <w:rPr>
                <w:rFonts w:ascii="Times New Roman" w:hAnsi="Times New Roman"/>
                <w:sz w:val="24"/>
                <w:szCs w:val="24"/>
              </w:rPr>
              <w:t xml:space="preserve">mokesčiai, </w:t>
            </w:r>
            <w:r>
              <w:rPr>
                <w:rFonts w:ascii="Times New Roman" w:hAnsi="Times New Roman"/>
                <w:sz w:val="24"/>
                <w:szCs w:val="24"/>
              </w:rPr>
              <w:t>palūkanos,</w:t>
            </w:r>
            <w:r w:rsidRPr="00B801F9">
              <w:rPr>
                <w:rFonts w:ascii="Times New Roman" w:hAnsi="Times New Roman"/>
                <w:sz w:val="24"/>
                <w:szCs w:val="24"/>
              </w:rPr>
              <w:t xml:space="preserve"> netesybos ir delspinigiai bei kitos sąnaudos nėra kompensuojamos.</w:t>
            </w:r>
          </w:p>
          <w:p w14:paraId="71292B94" w14:textId="77777777" w:rsidR="00035106" w:rsidRPr="003B3B1D" w:rsidRDefault="00035106" w:rsidP="009873E8">
            <w:pPr>
              <w:keepNext/>
              <w:autoSpaceDE w:val="0"/>
              <w:autoSpaceDN w:val="0"/>
              <w:spacing w:after="0" w:line="240" w:lineRule="auto"/>
              <w:contextualSpacing/>
              <w:jc w:val="both"/>
              <w:rPr>
                <w:rFonts w:ascii="Times New Roman" w:hAnsi="Times New Roman"/>
                <w:sz w:val="24"/>
                <w:szCs w:val="24"/>
              </w:rPr>
            </w:pPr>
            <w:r w:rsidRPr="00B801F9">
              <w:rPr>
                <w:rFonts w:ascii="Times New Roman" w:hAnsi="Times New Roman"/>
                <w:sz w:val="24"/>
                <w:szCs w:val="24"/>
              </w:rPr>
              <w:t xml:space="preserve">Garantija, suteikta pagal šią priemonę, nėra </w:t>
            </w:r>
            <w:r>
              <w:rPr>
                <w:rFonts w:ascii="Times New Roman" w:hAnsi="Times New Roman"/>
                <w:sz w:val="24"/>
                <w:szCs w:val="24"/>
              </w:rPr>
              <w:t>MVĮ</w:t>
            </w:r>
            <w:r w:rsidRPr="00B801F9">
              <w:rPr>
                <w:rFonts w:ascii="Times New Roman" w:hAnsi="Times New Roman"/>
                <w:sz w:val="24"/>
                <w:szCs w:val="24"/>
              </w:rPr>
              <w:t xml:space="preserve"> prievolių užtikrinimo garantija Lietuvos Respublikos civilinio kodekso 6.90 straipsnio prasme. Garantijos suteikimas ir panaudojimas nekeičia </w:t>
            </w:r>
            <w:r>
              <w:rPr>
                <w:rFonts w:ascii="Times New Roman" w:hAnsi="Times New Roman"/>
                <w:sz w:val="24"/>
                <w:szCs w:val="24"/>
              </w:rPr>
              <w:t>MVĮ</w:t>
            </w:r>
            <w:r w:rsidRPr="00B801F9">
              <w:rPr>
                <w:rFonts w:ascii="Times New Roman" w:hAnsi="Times New Roman"/>
                <w:sz w:val="24"/>
                <w:szCs w:val="24"/>
              </w:rPr>
              <w:t xml:space="preserve"> prievolių </w:t>
            </w:r>
            <w:r>
              <w:rPr>
                <w:rFonts w:ascii="Times New Roman" w:hAnsi="Times New Roman"/>
                <w:sz w:val="24"/>
                <w:szCs w:val="24"/>
              </w:rPr>
              <w:t>PGF2 priemonės valdytojui</w:t>
            </w:r>
            <w:r w:rsidRPr="00B801F9">
              <w:rPr>
                <w:rFonts w:ascii="Times New Roman" w:hAnsi="Times New Roman"/>
                <w:sz w:val="24"/>
                <w:szCs w:val="24"/>
              </w:rPr>
              <w:t xml:space="preserve"> apimties, turinio ir vykdymo sąlygų</w:t>
            </w:r>
            <w:r>
              <w:rPr>
                <w:rFonts w:ascii="Times New Roman" w:hAnsi="Times New Roman"/>
                <w:sz w:val="24"/>
                <w:szCs w:val="24"/>
              </w:rPr>
              <w:t>, t. y. PGF2 priemonės valdytojas privalo vykdyti skolos pagal visą Faktoringo sandorį, už kurį išmokėta Garantijos išmoka, išsiieškojimo veiksmus iš MVĮ (žr. „Portfelio priežiūra ir skolų išieškojimas“)</w:t>
            </w:r>
          </w:p>
        </w:tc>
      </w:tr>
      <w:tr w:rsidR="00035106" w:rsidRPr="00B751E6" w14:paraId="19CF5AAB" w14:textId="77777777" w:rsidTr="00D95057">
        <w:tc>
          <w:tcPr>
            <w:tcW w:w="2030" w:type="dxa"/>
            <w:tcBorders>
              <w:bottom w:val="single" w:sz="4" w:space="0" w:color="000000"/>
            </w:tcBorders>
          </w:tcPr>
          <w:p w14:paraId="000CF6A0"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color w:val="000000"/>
                <w:sz w:val="24"/>
                <w:szCs w:val="24"/>
              </w:rPr>
              <w:t>PGF2</w:t>
            </w:r>
            <w:r w:rsidRPr="004045A2">
              <w:rPr>
                <w:rFonts w:ascii="Times New Roman" w:hAnsi="Times New Roman"/>
                <w:b/>
                <w:color w:val="000000"/>
                <w:sz w:val="24"/>
                <w:szCs w:val="24"/>
              </w:rPr>
              <w:t xml:space="preserve"> priemonės valdytojo iš </w:t>
            </w:r>
            <w:r>
              <w:rPr>
                <w:rFonts w:ascii="Times New Roman" w:hAnsi="Times New Roman"/>
                <w:b/>
                <w:color w:val="000000"/>
                <w:sz w:val="24"/>
                <w:szCs w:val="24"/>
              </w:rPr>
              <w:t>MVĮ</w:t>
            </w:r>
            <w:r w:rsidRPr="004045A2">
              <w:rPr>
                <w:rFonts w:ascii="Times New Roman" w:hAnsi="Times New Roman"/>
                <w:b/>
                <w:color w:val="000000"/>
                <w:sz w:val="24"/>
                <w:szCs w:val="24"/>
              </w:rPr>
              <w:t xml:space="preserve"> reikalaujamas užstato dydis</w:t>
            </w:r>
          </w:p>
        </w:tc>
        <w:tc>
          <w:tcPr>
            <w:tcW w:w="7321" w:type="dxa"/>
            <w:tcBorders>
              <w:bottom w:val="single" w:sz="4" w:space="0" w:color="000000"/>
            </w:tcBorders>
          </w:tcPr>
          <w:p w14:paraId="0C5E017D" w14:textId="77777777" w:rsidR="00035106" w:rsidRPr="00DC4C42" w:rsidRDefault="00035106" w:rsidP="009873E8">
            <w:pPr>
              <w:keepNext/>
              <w:autoSpaceDE w:val="0"/>
              <w:autoSpaceDN w:val="0"/>
              <w:spacing w:after="0" w:line="240" w:lineRule="auto"/>
              <w:contextualSpacing/>
              <w:jc w:val="both"/>
              <w:rPr>
                <w:rFonts w:ascii="Times New Roman" w:hAnsi="Times New Roman"/>
                <w:sz w:val="24"/>
                <w:szCs w:val="24"/>
              </w:rPr>
            </w:pPr>
            <w:r w:rsidRPr="00064A90">
              <w:rPr>
                <w:rFonts w:ascii="Times New Roman" w:hAnsi="Times New Roman"/>
                <w:sz w:val="24"/>
                <w:szCs w:val="24"/>
              </w:rPr>
              <w:t xml:space="preserve">Bet kuriuo </w:t>
            </w:r>
            <w:r w:rsidRPr="00D31E95">
              <w:rPr>
                <w:rFonts w:ascii="Times New Roman" w:hAnsi="Times New Roman"/>
                <w:sz w:val="24"/>
                <w:szCs w:val="24"/>
              </w:rPr>
              <w:t xml:space="preserve">Portfelio vertinimo metu Faktoringo sandorių užstatų </w:t>
            </w:r>
            <w:r w:rsidRPr="0019061E">
              <w:rPr>
                <w:rFonts w:ascii="Times New Roman" w:hAnsi="Times New Roman"/>
                <w:sz w:val="24"/>
                <w:szCs w:val="24"/>
              </w:rPr>
              <w:t>vertė</w:t>
            </w:r>
            <w:r w:rsidRPr="00AB1EBE">
              <w:rPr>
                <w:rFonts w:ascii="Times New Roman" w:hAnsi="Times New Roman"/>
                <w:sz w:val="24"/>
                <w:szCs w:val="24"/>
              </w:rPr>
              <w:t xml:space="preserve"> </w:t>
            </w:r>
            <w:r w:rsidRPr="00EF4989">
              <w:rPr>
                <w:rFonts w:ascii="Times New Roman" w:hAnsi="Times New Roman"/>
                <w:sz w:val="24"/>
                <w:szCs w:val="24"/>
              </w:rPr>
              <w:t>neturi viršyti 20 (dvidešimt) proc. nuo faktin</w:t>
            </w:r>
            <w:r w:rsidRPr="00DC4C42">
              <w:rPr>
                <w:rFonts w:ascii="Times New Roman" w:hAnsi="Times New Roman"/>
                <w:sz w:val="24"/>
                <w:szCs w:val="24"/>
              </w:rPr>
              <w:t xml:space="preserve">io </w:t>
            </w:r>
            <w:r w:rsidRPr="00D31E95">
              <w:rPr>
                <w:rFonts w:ascii="Times New Roman" w:hAnsi="Times New Roman"/>
                <w:sz w:val="24"/>
                <w:szCs w:val="24"/>
              </w:rPr>
              <w:t xml:space="preserve">Portfelio dydžio (užstato vertė nustatoma pagal </w:t>
            </w:r>
            <w:r>
              <w:rPr>
                <w:rFonts w:ascii="Times New Roman" w:hAnsi="Times New Roman"/>
                <w:sz w:val="24"/>
                <w:szCs w:val="24"/>
              </w:rPr>
              <w:t>PGF2</w:t>
            </w:r>
            <w:r w:rsidRPr="00D31E95">
              <w:rPr>
                <w:rFonts w:ascii="Times New Roman" w:hAnsi="Times New Roman"/>
                <w:sz w:val="24"/>
                <w:szCs w:val="24"/>
              </w:rPr>
              <w:t xml:space="preserve"> priemonės valdytojo patvirtintas vidines tvarkas; faktinis Portfelio dydis čia ir toliau suprantamas kaip t</w:t>
            </w:r>
            <w:r w:rsidRPr="000C5A79">
              <w:rPr>
                <w:rFonts w:ascii="Times New Roman" w:hAnsi="Times New Roman"/>
                <w:sz w:val="24"/>
                <w:szCs w:val="24"/>
              </w:rPr>
              <w:t>am tikru momentu apskaičiuotas Portfelio dydis; Portfelio dydis suprantamas kaip Portfelyje esančių Faktoringo sandorių limitų suma)</w:t>
            </w:r>
            <w:r w:rsidRPr="00D31E95">
              <w:rPr>
                <w:rFonts w:ascii="Times New Roman" w:hAnsi="Times New Roman"/>
                <w:sz w:val="24"/>
                <w:szCs w:val="24"/>
              </w:rPr>
              <w:t xml:space="preserve">. </w:t>
            </w:r>
            <w:r w:rsidRPr="000C5A79">
              <w:rPr>
                <w:rFonts w:ascii="Times New Roman" w:hAnsi="Times New Roman"/>
                <w:sz w:val="24"/>
                <w:szCs w:val="24"/>
              </w:rPr>
              <w:t>Vertinant skaičiuojamas santykis tarp į faktinį Portfelį įtrauktų Faktoringo sandorių bendros užstatų vertės, nustatytos Faktoringo sandorių suteikimo metu, ir faktinio Portfelio dydžio.</w:t>
            </w:r>
          </w:p>
          <w:p w14:paraId="0D6BD615" w14:textId="77777777" w:rsidR="00035106" w:rsidRPr="00D31E95" w:rsidRDefault="00035106" w:rsidP="009873E8">
            <w:pPr>
              <w:keepNext/>
              <w:autoSpaceDE w:val="0"/>
              <w:autoSpaceDN w:val="0"/>
              <w:spacing w:after="0" w:line="240" w:lineRule="auto"/>
              <w:contextualSpacing/>
              <w:jc w:val="both"/>
              <w:rPr>
                <w:rFonts w:ascii="Times New Roman" w:hAnsi="Times New Roman"/>
                <w:sz w:val="24"/>
                <w:szCs w:val="24"/>
              </w:rPr>
            </w:pPr>
          </w:p>
          <w:p w14:paraId="7D009133"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D31E95">
              <w:rPr>
                <w:rFonts w:ascii="Times New Roman" w:hAnsi="Times New Roman"/>
                <w:sz w:val="24"/>
                <w:szCs w:val="24"/>
              </w:rPr>
              <w:t xml:space="preserve">Jei vertinimo metu </w:t>
            </w:r>
            <w:r w:rsidRPr="000A7F8E">
              <w:rPr>
                <w:rFonts w:ascii="Times New Roman" w:hAnsi="Times New Roman"/>
                <w:sz w:val="24"/>
                <w:szCs w:val="24"/>
              </w:rPr>
              <w:t>Faktoringo sandorių</w:t>
            </w:r>
            <w:r w:rsidRPr="00D31E95">
              <w:rPr>
                <w:rFonts w:ascii="Times New Roman" w:hAnsi="Times New Roman"/>
                <w:sz w:val="24"/>
                <w:szCs w:val="24"/>
              </w:rPr>
              <w:t xml:space="preserve"> užstato vertė būtų nustatyta didesnė nei 20 proc. faktinio Portfelio dydžio, </w:t>
            </w:r>
            <w:r>
              <w:rPr>
                <w:rFonts w:ascii="Times New Roman" w:hAnsi="Times New Roman"/>
                <w:sz w:val="24"/>
                <w:szCs w:val="24"/>
              </w:rPr>
              <w:t>„</w:t>
            </w:r>
            <w:r w:rsidRPr="00D31E95">
              <w:rPr>
                <w:rFonts w:ascii="Times New Roman" w:hAnsi="Times New Roman"/>
                <w:sz w:val="24"/>
                <w:szCs w:val="24"/>
              </w:rPr>
              <w:t>Invega“ turi teisę stabdyti tolimesnį Faktoringo sandorių įtraukimą į Portfelį</w:t>
            </w:r>
          </w:p>
        </w:tc>
      </w:tr>
      <w:tr w:rsidR="00035106" w:rsidRPr="00B751E6" w14:paraId="6C3617D9" w14:textId="77777777" w:rsidTr="00D95057">
        <w:tc>
          <w:tcPr>
            <w:tcW w:w="2030" w:type="dxa"/>
            <w:tcBorders>
              <w:bottom w:val="single" w:sz="4" w:space="0" w:color="000000"/>
            </w:tcBorders>
          </w:tcPr>
          <w:p w14:paraId="42D60D3D"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Nuostolis</w:t>
            </w:r>
          </w:p>
        </w:tc>
        <w:tc>
          <w:tcPr>
            <w:tcW w:w="7321" w:type="dxa"/>
            <w:tcBorders>
              <w:bottom w:val="single" w:sz="4" w:space="0" w:color="000000"/>
            </w:tcBorders>
          </w:tcPr>
          <w:p w14:paraId="28C6C310"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B801F9">
              <w:rPr>
                <w:rFonts w:ascii="Times New Roman" w:hAnsi="Times New Roman"/>
                <w:sz w:val="24"/>
                <w:szCs w:val="24"/>
              </w:rPr>
              <w:t>Nuos</w:t>
            </w:r>
            <w:r>
              <w:rPr>
                <w:rFonts w:ascii="Times New Roman" w:hAnsi="Times New Roman"/>
                <w:sz w:val="24"/>
                <w:szCs w:val="24"/>
              </w:rPr>
              <w:t xml:space="preserve">tolį sudaro negrąžintų Faktoringo </w:t>
            </w:r>
            <w:r w:rsidRPr="00D31E95">
              <w:rPr>
                <w:rFonts w:ascii="Times New Roman" w:hAnsi="Times New Roman"/>
                <w:sz w:val="24"/>
                <w:szCs w:val="24"/>
              </w:rPr>
              <w:t>avansų pagal Faktoringo sandorį suma</w:t>
            </w:r>
            <w:r w:rsidRPr="00C84EA3">
              <w:rPr>
                <w:rFonts w:ascii="Times New Roman" w:hAnsi="Times New Roman"/>
                <w:sz w:val="24"/>
                <w:szCs w:val="24"/>
              </w:rPr>
              <w:t xml:space="preserve">. </w:t>
            </w:r>
            <w:r w:rsidRPr="000C5A79">
              <w:rPr>
                <w:rFonts w:ascii="Times New Roman" w:hAnsi="Times New Roman"/>
                <w:sz w:val="24"/>
                <w:szCs w:val="24"/>
              </w:rPr>
              <w:t xml:space="preserve">Į Nuostolį nėra įskaičiuojami ir nėra kompensuojami Faktoringo gavėjo </w:t>
            </w:r>
            <w:r>
              <w:rPr>
                <w:rFonts w:ascii="Times New Roman" w:hAnsi="Times New Roman"/>
                <w:sz w:val="24"/>
                <w:szCs w:val="24"/>
              </w:rPr>
              <w:t>PGF2</w:t>
            </w:r>
            <w:r w:rsidRPr="000C5A79">
              <w:rPr>
                <w:rFonts w:ascii="Times New Roman" w:hAnsi="Times New Roman"/>
                <w:sz w:val="24"/>
                <w:szCs w:val="24"/>
              </w:rPr>
              <w:t xml:space="preserve"> priemonės valdytojui nesumokėti mokesčiai, netesybos ir delspinigiai bei kitos sąnaudos</w:t>
            </w:r>
          </w:p>
        </w:tc>
      </w:tr>
      <w:tr w:rsidR="00035106" w:rsidRPr="00B751E6" w14:paraId="695DE7EC" w14:textId="77777777" w:rsidTr="00D95057">
        <w:tc>
          <w:tcPr>
            <w:tcW w:w="2030" w:type="dxa"/>
            <w:tcBorders>
              <w:bottom w:val="single" w:sz="4" w:space="0" w:color="000000"/>
            </w:tcBorders>
          </w:tcPr>
          <w:p w14:paraId="723DD445"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Didžiausia išmokos pagal Faktoringo sandorį suma</w:t>
            </w:r>
          </w:p>
        </w:tc>
        <w:tc>
          <w:tcPr>
            <w:tcW w:w="7321" w:type="dxa"/>
            <w:tcBorders>
              <w:bottom w:val="single" w:sz="4" w:space="0" w:color="000000"/>
            </w:tcBorders>
          </w:tcPr>
          <w:p w14:paraId="49053F65" w14:textId="77777777" w:rsidR="00035106" w:rsidRPr="002172F3" w:rsidRDefault="00035106" w:rsidP="009873E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Pagal </w:t>
            </w:r>
            <w:r w:rsidRPr="001E3056">
              <w:rPr>
                <w:rFonts w:ascii="Times New Roman" w:hAnsi="Times New Roman"/>
                <w:bCs/>
                <w:sz w:val="24"/>
                <w:szCs w:val="24"/>
              </w:rPr>
              <w:t>sukontraktuot</w:t>
            </w:r>
            <w:r>
              <w:rPr>
                <w:rFonts w:ascii="Times New Roman" w:hAnsi="Times New Roman"/>
                <w:bCs/>
                <w:sz w:val="24"/>
                <w:szCs w:val="24"/>
              </w:rPr>
              <w:t>ą</w:t>
            </w:r>
            <w:r w:rsidRPr="001E3056">
              <w:rPr>
                <w:rFonts w:ascii="Times New Roman" w:hAnsi="Times New Roman"/>
                <w:bCs/>
                <w:sz w:val="24"/>
                <w:szCs w:val="24"/>
              </w:rPr>
              <w:t xml:space="preserve"> </w:t>
            </w:r>
            <w:r>
              <w:rPr>
                <w:rFonts w:ascii="Times New Roman" w:hAnsi="Times New Roman"/>
                <w:bCs/>
                <w:sz w:val="24"/>
                <w:szCs w:val="24"/>
              </w:rPr>
              <w:t xml:space="preserve">ir į Portfelį įtrauktą Faktoringo sandorį išmokėta MVĮ Faktoringo avansų suma, neviršijanti </w:t>
            </w:r>
            <w:r w:rsidRPr="008A0D89">
              <w:rPr>
                <w:rFonts w:ascii="Times New Roman" w:hAnsi="Times New Roman"/>
                <w:bCs/>
                <w:sz w:val="24"/>
                <w:szCs w:val="24"/>
              </w:rPr>
              <w:t>Faktoringo limito, padauginta</w:t>
            </w:r>
            <w:r>
              <w:rPr>
                <w:rFonts w:ascii="Times New Roman" w:hAnsi="Times New Roman"/>
                <w:bCs/>
                <w:sz w:val="24"/>
                <w:szCs w:val="24"/>
              </w:rPr>
              <w:t xml:space="preserve"> iš Garantijos dydžio </w:t>
            </w:r>
            <w:r w:rsidRPr="001E3056">
              <w:rPr>
                <w:rFonts w:ascii="Times New Roman" w:hAnsi="Times New Roman"/>
                <w:bCs/>
                <w:sz w:val="24"/>
                <w:szCs w:val="24"/>
              </w:rPr>
              <w:t>(80</w:t>
            </w:r>
            <w:r>
              <w:rPr>
                <w:rFonts w:ascii="Times New Roman" w:hAnsi="Times New Roman"/>
                <w:bCs/>
                <w:sz w:val="24"/>
                <w:szCs w:val="24"/>
              </w:rPr>
              <w:t xml:space="preserve"> proc.), tačiau ši suma negali </w:t>
            </w:r>
            <w:r w:rsidRPr="00761076">
              <w:rPr>
                <w:rFonts w:ascii="Times New Roman" w:hAnsi="Times New Roman"/>
                <w:color w:val="000000"/>
                <w:sz w:val="24"/>
                <w:szCs w:val="24"/>
              </w:rPr>
              <w:t xml:space="preserve">viršyti </w:t>
            </w:r>
            <w:r>
              <w:rPr>
                <w:rFonts w:ascii="Times New Roman" w:hAnsi="Times New Roman"/>
                <w:color w:val="000000"/>
                <w:sz w:val="24"/>
                <w:szCs w:val="24"/>
              </w:rPr>
              <w:t>D</w:t>
            </w:r>
            <w:r w:rsidRPr="00761076">
              <w:rPr>
                <w:rFonts w:ascii="Times New Roman" w:hAnsi="Times New Roman"/>
                <w:color w:val="000000"/>
                <w:sz w:val="24"/>
                <w:szCs w:val="24"/>
              </w:rPr>
              <w:t xml:space="preserve">idžiausios išmokų sumos, ribojamos </w:t>
            </w:r>
            <w:r>
              <w:rPr>
                <w:rFonts w:ascii="Times New Roman" w:hAnsi="Times New Roman"/>
                <w:color w:val="000000"/>
                <w:sz w:val="24"/>
                <w:szCs w:val="24"/>
              </w:rPr>
              <w:t>V</w:t>
            </w:r>
            <w:r w:rsidRPr="00761076">
              <w:rPr>
                <w:rFonts w:ascii="Times New Roman" w:hAnsi="Times New Roman"/>
                <w:color w:val="000000"/>
                <w:sz w:val="24"/>
                <w:szCs w:val="24"/>
              </w:rPr>
              <w:t>iršutinės ribos norm</w:t>
            </w:r>
            <w:r>
              <w:rPr>
                <w:rFonts w:ascii="Times New Roman" w:hAnsi="Times New Roman"/>
                <w:color w:val="000000"/>
                <w:sz w:val="24"/>
                <w:szCs w:val="24"/>
              </w:rPr>
              <w:t>os dydžio</w:t>
            </w:r>
          </w:p>
        </w:tc>
      </w:tr>
      <w:tr w:rsidR="00035106" w:rsidRPr="00B751E6" w14:paraId="4A1FEFF7" w14:textId="77777777" w:rsidTr="00D95057">
        <w:tc>
          <w:tcPr>
            <w:tcW w:w="2030" w:type="dxa"/>
            <w:tcBorders>
              <w:bottom w:val="single" w:sz="4" w:space="0" w:color="000000"/>
            </w:tcBorders>
          </w:tcPr>
          <w:p w14:paraId="52972798" w14:textId="77777777" w:rsidR="00035106"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t>Garantijos dydis</w:t>
            </w:r>
          </w:p>
        </w:tc>
        <w:tc>
          <w:tcPr>
            <w:tcW w:w="7321" w:type="dxa"/>
            <w:tcBorders>
              <w:bottom w:val="single" w:sz="4" w:space="0" w:color="000000"/>
            </w:tcBorders>
          </w:tcPr>
          <w:p w14:paraId="0BD6CA6A"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color w:val="000000"/>
                <w:sz w:val="24"/>
                <w:szCs w:val="24"/>
              </w:rPr>
              <w:t>80 </w:t>
            </w:r>
            <w:r w:rsidRPr="00761076">
              <w:rPr>
                <w:rFonts w:ascii="Times New Roman" w:hAnsi="Times New Roman"/>
                <w:color w:val="000000"/>
                <w:sz w:val="24"/>
                <w:szCs w:val="24"/>
              </w:rPr>
              <w:t>proc.</w:t>
            </w:r>
            <w:r>
              <w:rPr>
                <w:rFonts w:ascii="Times New Roman" w:hAnsi="Times New Roman"/>
                <w:color w:val="000000"/>
                <w:sz w:val="24"/>
                <w:szCs w:val="24"/>
              </w:rPr>
              <w:t xml:space="preserve"> </w:t>
            </w:r>
          </w:p>
        </w:tc>
      </w:tr>
      <w:tr w:rsidR="00035106" w:rsidRPr="00B751E6" w14:paraId="16586DD4" w14:textId="77777777" w:rsidTr="00D95057">
        <w:tc>
          <w:tcPr>
            <w:tcW w:w="2030" w:type="dxa"/>
            <w:tcBorders>
              <w:bottom w:val="single" w:sz="4" w:space="0" w:color="000000"/>
            </w:tcBorders>
          </w:tcPr>
          <w:p w14:paraId="4645BE0E"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t>Garantijos valiuta</w:t>
            </w:r>
          </w:p>
        </w:tc>
        <w:tc>
          <w:tcPr>
            <w:tcW w:w="7321" w:type="dxa"/>
            <w:tcBorders>
              <w:bottom w:val="single" w:sz="4" w:space="0" w:color="000000"/>
            </w:tcBorders>
          </w:tcPr>
          <w:p w14:paraId="7C990B6E" w14:textId="77777777" w:rsidR="00035106" w:rsidRDefault="00035106" w:rsidP="009873E8">
            <w:pPr>
              <w:keepNext/>
              <w:autoSpaceDE w:val="0"/>
              <w:autoSpaceDN w:val="0"/>
              <w:spacing w:after="0" w:line="240" w:lineRule="auto"/>
              <w:contextualSpacing/>
              <w:jc w:val="both"/>
              <w:rPr>
                <w:rFonts w:ascii="Times New Roman" w:hAnsi="Times New Roman"/>
                <w:color w:val="000000"/>
                <w:sz w:val="24"/>
                <w:szCs w:val="24"/>
              </w:rPr>
            </w:pPr>
            <w:r w:rsidRPr="00897B4B">
              <w:rPr>
                <w:rFonts w:ascii="Times New Roman" w:hAnsi="Times New Roman"/>
                <w:sz w:val="24"/>
                <w:szCs w:val="24"/>
              </w:rPr>
              <w:t xml:space="preserve">Visos sumos išreikštos eurais. Visi mokėjimai pagal </w:t>
            </w:r>
            <w:r>
              <w:rPr>
                <w:rFonts w:ascii="Times New Roman" w:hAnsi="Times New Roman"/>
                <w:sz w:val="24"/>
                <w:szCs w:val="24"/>
              </w:rPr>
              <w:t>S</w:t>
            </w:r>
            <w:r w:rsidRPr="005A4BD6">
              <w:rPr>
                <w:rFonts w:ascii="Times New Roman" w:hAnsi="Times New Roman"/>
                <w:sz w:val="24"/>
                <w:szCs w:val="24"/>
              </w:rPr>
              <w:t xml:space="preserve">utartį atliekami eurais. Pasikeitus </w:t>
            </w:r>
            <w:r>
              <w:rPr>
                <w:rFonts w:ascii="Times New Roman" w:hAnsi="Times New Roman"/>
                <w:sz w:val="24"/>
                <w:szCs w:val="24"/>
              </w:rPr>
              <w:t>valiutai</w:t>
            </w:r>
            <w:r w:rsidRPr="005A4BD6">
              <w:rPr>
                <w:rFonts w:ascii="Times New Roman" w:hAnsi="Times New Roman"/>
                <w:sz w:val="24"/>
                <w:szCs w:val="24"/>
              </w:rPr>
              <w:t xml:space="preserve"> – nauja nacionaline valiuta ir (ar) eurais</w:t>
            </w:r>
          </w:p>
        </w:tc>
      </w:tr>
      <w:tr w:rsidR="00035106" w:rsidRPr="00B751E6" w14:paraId="0F36AA5A" w14:textId="77777777" w:rsidTr="00D95057">
        <w:tc>
          <w:tcPr>
            <w:tcW w:w="2030" w:type="dxa"/>
            <w:tcBorders>
              <w:bottom w:val="single" w:sz="4" w:space="0" w:color="000000"/>
            </w:tcBorders>
          </w:tcPr>
          <w:p w14:paraId="597A2306"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t>Garantijos mokestis</w:t>
            </w:r>
          </w:p>
        </w:tc>
        <w:tc>
          <w:tcPr>
            <w:tcW w:w="7321" w:type="dxa"/>
            <w:tcBorders>
              <w:bottom w:val="single" w:sz="4" w:space="0" w:color="000000"/>
            </w:tcBorders>
          </w:tcPr>
          <w:p w14:paraId="3D9E822F"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Garantijos mokestis </w:t>
            </w:r>
            <w:r>
              <w:rPr>
                <w:rFonts w:ascii="Times New Roman" w:hAnsi="Times New Roman"/>
                <w:sz w:val="24"/>
                <w:szCs w:val="24"/>
              </w:rPr>
              <w:t xml:space="preserve">yra </w:t>
            </w:r>
            <w:r w:rsidRPr="007E78D7">
              <w:rPr>
                <w:rFonts w:ascii="Times New Roman" w:hAnsi="Times New Roman"/>
                <w:sz w:val="24"/>
                <w:szCs w:val="24"/>
              </w:rPr>
              <w:t xml:space="preserve">mokamas už kiekvieną į Portfelį įtraukiamą </w:t>
            </w:r>
            <w:r>
              <w:rPr>
                <w:rFonts w:ascii="Times New Roman" w:hAnsi="Times New Roman"/>
                <w:sz w:val="24"/>
                <w:szCs w:val="24"/>
              </w:rPr>
              <w:t>arba keičiamą Faktoringo sandorį</w:t>
            </w:r>
            <w:r w:rsidRPr="007E78D7">
              <w:rPr>
                <w:rFonts w:ascii="Times New Roman" w:hAnsi="Times New Roman"/>
                <w:sz w:val="24"/>
                <w:szCs w:val="24"/>
              </w:rPr>
              <w:t>.</w:t>
            </w:r>
          </w:p>
          <w:p w14:paraId="04F51939"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Garantijos mokestis </w:t>
            </w:r>
            <w:r>
              <w:rPr>
                <w:rFonts w:ascii="Times New Roman" w:hAnsi="Times New Roman"/>
                <w:sz w:val="24"/>
                <w:szCs w:val="24"/>
              </w:rPr>
              <w:t xml:space="preserve">už vieną Faktoringo sandorį </w:t>
            </w:r>
            <w:r w:rsidRPr="007E78D7">
              <w:rPr>
                <w:rFonts w:ascii="Times New Roman" w:hAnsi="Times New Roman"/>
                <w:sz w:val="24"/>
                <w:szCs w:val="24"/>
              </w:rPr>
              <w:t xml:space="preserve">yra vienkartinis. Tuo atveju, jei </w:t>
            </w:r>
            <w:r>
              <w:rPr>
                <w:rFonts w:ascii="Times New Roman" w:hAnsi="Times New Roman"/>
                <w:sz w:val="24"/>
                <w:szCs w:val="24"/>
              </w:rPr>
              <w:t>ilginamas Maksimalus mokėjimo atidėjimo pirkėjams terminas,</w:t>
            </w:r>
            <w:r w:rsidRPr="007E78D7">
              <w:rPr>
                <w:rFonts w:ascii="Times New Roman" w:hAnsi="Times New Roman"/>
                <w:sz w:val="24"/>
                <w:szCs w:val="24"/>
              </w:rPr>
              <w:t xml:space="preserve"> ar </w:t>
            </w:r>
            <w:r w:rsidRPr="008A0D89">
              <w:rPr>
                <w:rFonts w:ascii="Times New Roman" w:hAnsi="Times New Roman"/>
                <w:sz w:val="24"/>
                <w:szCs w:val="24"/>
              </w:rPr>
              <w:t>didinamas Faktoringo limitas</w:t>
            </w:r>
            <w:r>
              <w:rPr>
                <w:rFonts w:ascii="Times New Roman" w:hAnsi="Times New Roman"/>
                <w:sz w:val="24"/>
                <w:szCs w:val="24"/>
              </w:rPr>
              <w:t>, ar ilginamas Faktoringo sandorio finansavimo laikotarpis</w:t>
            </w:r>
            <w:r w:rsidRPr="008A0D89">
              <w:rPr>
                <w:rFonts w:ascii="Times New Roman" w:hAnsi="Times New Roman"/>
                <w:sz w:val="24"/>
                <w:szCs w:val="24"/>
              </w:rPr>
              <w:t>, atliekama garantijos mokesčio priemoka.</w:t>
            </w:r>
            <w:r>
              <w:rPr>
                <w:rFonts w:ascii="Times New Roman" w:hAnsi="Times New Roman"/>
                <w:sz w:val="24"/>
                <w:szCs w:val="24"/>
              </w:rPr>
              <w:t xml:space="preserve"> </w:t>
            </w:r>
            <w:r w:rsidRPr="00B54BEA">
              <w:rPr>
                <w:rFonts w:ascii="Times New Roman" w:hAnsi="Times New Roman"/>
                <w:sz w:val="24"/>
                <w:szCs w:val="24"/>
              </w:rPr>
              <w:t xml:space="preserve">Garantijos mokestį </w:t>
            </w:r>
            <w:r>
              <w:rPr>
                <w:rFonts w:ascii="Times New Roman" w:hAnsi="Times New Roman"/>
                <w:sz w:val="24"/>
                <w:szCs w:val="24"/>
              </w:rPr>
              <w:t xml:space="preserve">ir (ar) garantijos mokesčio priemoką </w:t>
            </w:r>
            <w:r w:rsidRPr="00B54BEA">
              <w:rPr>
                <w:rFonts w:ascii="Times New Roman" w:hAnsi="Times New Roman"/>
                <w:sz w:val="24"/>
                <w:szCs w:val="24"/>
              </w:rPr>
              <w:t xml:space="preserve">kas ketvirtį </w:t>
            </w:r>
            <w:r>
              <w:rPr>
                <w:rFonts w:ascii="Times New Roman" w:hAnsi="Times New Roman"/>
                <w:sz w:val="24"/>
                <w:szCs w:val="24"/>
              </w:rPr>
              <w:lastRenderedPageBreak/>
              <w:t xml:space="preserve">INVEGOS </w:t>
            </w:r>
            <w:r w:rsidRPr="00B54BEA">
              <w:rPr>
                <w:rFonts w:ascii="Times New Roman" w:hAnsi="Times New Roman"/>
                <w:sz w:val="24"/>
                <w:szCs w:val="24"/>
              </w:rPr>
              <w:t>fond</w:t>
            </w:r>
            <w:r>
              <w:rPr>
                <w:rFonts w:ascii="Times New Roman" w:hAnsi="Times New Roman"/>
                <w:sz w:val="24"/>
                <w:szCs w:val="24"/>
              </w:rPr>
              <w:t>ui</w:t>
            </w:r>
            <w:r w:rsidRPr="00B54BEA">
              <w:rPr>
                <w:rFonts w:ascii="Times New Roman" w:hAnsi="Times New Roman"/>
                <w:sz w:val="24"/>
                <w:szCs w:val="24"/>
              </w:rPr>
              <w:t xml:space="preserve"> perveda </w:t>
            </w:r>
            <w:r>
              <w:rPr>
                <w:rFonts w:ascii="Times New Roman" w:hAnsi="Times New Roman"/>
                <w:sz w:val="24"/>
                <w:szCs w:val="24"/>
              </w:rPr>
              <w:t>PGF2 p</w:t>
            </w:r>
            <w:r w:rsidRPr="00B54BEA">
              <w:rPr>
                <w:rFonts w:ascii="Times New Roman" w:hAnsi="Times New Roman"/>
                <w:sz w:val="24"/>
                <w:szCs w:val="24"/>
              </w:rPr>
              <w:t>riemonės valdytojas</w:t>
            </w:r>
            <w:r>
              <w:rPr>
                <w:rFonts w:ascii="Times New Roman" w:hAnsi="Times New Roman"/>
                <w:sz w:val="24"/>
                <w:szCs w:val="24"/>
              </w:rPr>
              <w:t xml:space="preserve"> už per ketvirtį į Portfelį įtrauktus ir (ar) pakeistus Faktoringo sandorius</w:t>
            </w:r>
            <w:r w:rsidRPr="00B54BEA">
              <w:rPr>
                <w:rFonts w:ascii="Times New Roman" w:hAnsi="Times New Roman"/>
                <w:sz w:val="24"/>
                <w:szCs w:val="24"/>
              </w:rPr>
              <w:t>.</w:t>
            </w:r>
            <w:r>
              <w:t xml:space="preserve"> </w:t>
            </w:r>
          </w:p>
          <w:p w14:paraId="49D55282"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Garantijos mokestis nėra grąžinamas</w:t>
            </w:r>
            <w:r>
              <w:rPr>
                <w:rFonts w:ascii="Times New Roman" w:hAnsi="Times New Roman"/>
                <w:sz w:val="24"/>
                <w:szCs w:val="24"/>
              </w:rPr>
              <w:t xml:space="preserve"> ir </w:t>
            </w:r>
            <w:r w:rsidRPr="008A0D89">
              <w:rPr>
                <w:rFonts w:ascii="Times New Roman" w:hAnsi="Times New Roman"/>
                <w:sz w:val="24"/>
                <w:szCs w:val="24"/>
              </w:rPr>
              <w:t xml:space="preserve">perskaičiuojamas, kai </w:t>
            </w:r>
            <w:r>
              <w:rPr>
                <w:rFonts w:ascii="Times New Roman" w:hAnsi="Times New Roman"/>
                <w:sz w:val="24"/>
                <w:szCs w:val="24"/>
              </w:rPr>
              <w:t>Maksimalus mokėjimo atidėjimo pirkėjams terminas</w:t>
            </w:r>
            <w:r w:rsidRPr="008A0D89">
              <w:rPr>
                <w:rFonts w:ascii="Times New Roman" w:hAnsi="Times New Roman"/>
                <w:sz w:val="24"/>
                <w:szCs w:val="24"/>
              </w:rPr>
              <w:t xml:space="preserve"> trumpinamas arba mažinamas Faktoringo limitas</w:t>
            </w:r>
            <w:r>
              <w:rPr>
                <w:rFonts w:ascii="Times New Roman" w:hAnsi="Times New Roman"/>
                <w:sz w:val="24"/>
                <w:szCs w:val="24"/>
              </w:rPr>
              <w:t>, arba trumpinamas Faktoringo sandorio finansavimo laikotarpis</w:t>
            </w:r>
            <w:r w:rsidRPr="008A0D89">
              <w:rPr>
                <w:rFonts w:ascii="Times New Roman" w:hAnsi="Times New Roman"/>
                <w:sz w:val="24"/>
                <w:szCs w:val="24"/>
              </w:rPr>
              <w:t xml:space="preserve">. Išimtis taikoma tik tuo atveju, jei į praėjusio ketvirčio </w:t>
            </w:r>
            <w:r>
              <w:rPr>
                <w:rFonts w:ascii="Times New Roman" w:hAnsi="Times New Roman"/>
                <w:sz w:val="24"/>
                <w:szCs w:val="24"/>
              </w:rPr>
              <w:t>PGF2</w:t>
            </w:r>
            <w:r w:rsidRPr="008A0D89">
              <w:rPr>
                <w:rFonts w:ascii="Times New Roman" w:hAnsi="Times New Roman"/>
                <w:sz w:val="24"/>
                <w:szCs w:val="24"/>
              </w:rPr>
              <w:t xml:space="preserve"> priemonės valdytojo ataskaitą klaidingai buvo įtraukti</w:t>
            </w:r>
            <w:r>
              <w:rPr>
                <w:rFonts w:ascii="Times New Roman" w:hAnsi="Times New Roman"/>
                <w:sz w:val="24"/>
                <w:szCs w:val="24"/>
              </w:rPr>
              <w:t xml:space="preserve"> Faktoringo sandoriai.</w:t>
            </w:r>
            <w:r w:rsidRPr="007E78D7">
              <w:rPr>
                <w:rFonts w:ascii="Times New Roman" w:hAnsi="Times New Roman"/>
                <w:sz w:val="24"/>
                <w:szCs w:val="24"/>
              </w:rPr>
              <w:t xml:space="preserve"> </w:t>
            </w:r>
            <w:r>
              <w:rPr>
                <w:rFonts w:ascii="Times New Roman" w:hAnsi="Times New Roman"/>
                <w:sz w:val="24"/>
                <w:szCs w:val="24"/>
              </w:rPr>
              <w:t>M</w:t>
            </w:r>
            <w:r w:rsidRPr="007E78D7">
              <w:rPr>
                <w:rFonts w:ascii="Times New Roman" w:hAnsi="Times New Roman"/>
                <w:sz w:val="24"/>
                <w:szCs w:val="24"/>
              </w:rPr>
              <w:t>okestis grąžinamas arba užskaitomas su einamojo ketvirčio garantij</w:t>
            </w:r>
            <w:r>
              <w:rPr>
                <w:rFonts w:ascii="Times New Roman" w:hAnsi="Times New Roman"/>
                <w:sz w:val="24"/>
                <w:szCs w:val="24"/>
              </w:rPr>
              <w:t>os</w:t>
            </w:r>
            <w:r w:rsidRPr="007E78D7">
              <w:rPr>
                <w:rFonts w:ascii="Times New Roman" w:hAnsi="Times New Roman"/>
                <w:sz w:val="24"/>
                <w:szCs w:val="24"/>
              </w:rPr>
              <w:t xml:space="preserve"> mokesčio mokėjimu.</w:t>
            </w:r>
          </w:p>
          <w:p w14:paraId="17CB24EA"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Garantijos mokesčio suma </w:t>
            </w:r>
            <w:r>
              <w:rPr>
                <w:rFonts w:ascii="Times New Roman" w:hAnsi="Times New Roman"/>
                <w:sz w:val="24"/>
                <w:szCs w:val="24"/>
              </w:rPr>
              <w:t>ap</w:t>
            </w:r>
            <w:r w:rsidRPr="007E78D7">
              <w:rPr>
                <w:rFonts w:ascii="Times New Roman" w:hAnsi="Times New Roman"/>
                <w:sz w:val="24"/>
                <w:szCs w:val="24"/>
              </w:rPr>
              <w:t>skaičiuojama naudojant formulę:</w:t>
            </w:r>
          </w:p>
          <w:p w14:paraId="6753D6C2"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M = F</w:t>
            </w:r>
            <w:r w:rsidRPr="007E78D7">
              <w:rPr>
                <w:rFonts w:ascii="Times New Roman" w:hAnsi="Times New Roman"/>
                <w:sz w:val="24"/>
                <w:szCs w:val="24"/>
              </w:rPr>
              <w:t xml:space="preserve"> x G x P x </w:t>
            </w:r>
            <w:r>
              <w:rPr>
                <w:rFonts w:ascii="Times New Roman" w:hAnsi="Times New Roman"/>
                <w:sz w:val="24"/>
                <w:szCs w:val="24"/>
              </w:rPr>
              <w:t>T</w:t>
            </w:r>
            <w:r w:rsidRPr="007E78D7">
              <w:rPr>
                <w:rFonts w:ascii="Times New Roman" w:hAnsi="Times New Roman"/>
                <w:sz w:val="24"/>
                <w:szCs w:val="24"/>
              </w:rPr>
              <w:t xml:space="preserve">, </w:t>
            </w:r>
          </w:p>
          <w:p w14:paraId="1662C1B2"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kur:</w:t>
            </w:r>
          </w:p>
          <w:p w14:paraId="65AD8EBF"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M – </w:t>
            </w:r>
            <w:r>
              <w:rPr>
                <w:rFonts w:ascii="Times New Roman" w:hAnsi="Times New Roman"/>
                <w:sz w:val="24"/>
                <w:szCs w:val="24"/>
              </w:rPr>
              <w:t>g</w:t>
            </w:r>
            <w:r w:rsidRPr="007E78D7">
              <w:rPr>
                <w:rFonts w:ascii="Times New Roman" w:hAnsi="Times New Roman"/>
                <w:sz w:val="24"/>
                <w:szCs w:val="24"/>
              </w:rPr>
              <w:t>arantijos mokesčio suma;</w:t>
            </w:r>
          </w:p>
          <w:p w14:paraId="4E4A215C"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w:t>
            </w:r>
            <w:r w:rsidRPr="007E78D7">
              <w:rPr>
                <w:rFonts w:ascii="Times New Roman" w:hAnsi="Times New Roman"/>
                <w:sz w:val="24"/>
                <w:szCs w:val="24"/>
              </w:rPr>
              <w:t xml:space="preserve"> </w:t>
            </w:r>
            <w:r w:rsidRPr="008A0D89">
              <w:rPr>
                <w:rFonts w:ascii="Times New Roman" w:hAnsi="Times New Roman"/>
                <w:sz w:val="24"/>
                <w:szCs w:val="24"/>
              </w:rPr>
              <w:t>– Faktoringo limitas;</w:t>
            </w:r>
          </w:p>
          <w:p w14:paraId="0CEE9673"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G –</w:t>
            </w:r>
            <w:r w:rsidRPr="00915252">
              <w:rPr>
                <w:rFonts w:ascii="Times New Roman" w:hAnsi="Times New Roman"/>
                <w:sz w:val="24"/>
                <w:szCs w:val="24"/>
              </w:rPr>
              <w:t xml:space="preserve"> </w:t>
            </w:r>
            <w:r>
              <w:rPr>
                <w:rFonts w:ascii="Times New Roman" w:hAnsi="Times New Roman"/>
                <w:sz w:val="24"/>
                <w:szCs w:val="24"/>
              </w:rPr>
              <w:t>Garantijos dydis (</w:t>
            </w:r>
            <w:r w:rsidRPr="007E78D7">
              <w:rPr>
                <w:rFonts w:ascii="Times New Roman" w:hAnsi="Times New Roman"/>
                <w:sz w:val="24"/>
                <w:szCs w:val="24"/>
              </w:rPr>
              <w:t>80</w:t>
            </w:r>
            <w:r>
              <w:rPr>
                <w:rFonts w:ascii="Times New Roman" w:hAnsi="Times New Roman"/>
                <w:sz w:val="24"/>
                <w:szCs w:val="24"/>
              </w:rPr>
              <w:t> </w:t>
            </w:r>
            <w:r w:rsidRPr="007E78D7">
              <w:rPr>
                <w:rFonts w:ascii="Times New Roman" w:hAnsi="Times New Roman"/>
                <w:sz w:val="24"/>
                <w:szCs w:val="24"/>
              </w:rPr>
              <w:t>proc.);</w:t>
            </w:r>
          </w:p>
          <w:p w14:paraId="380E6CF4"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P – Garantijos mokesčio </w:t>
            </w:r>
            <w:r>
              <w:rPr>
                <w:rFonts w:ascii="Times New Roman" w:hAnsi="Times New Roman"/>
                <w:sz w:val="24"/>
                <w:szCs w:val="24"/>
              </w:rPr>
              <w:t xml:space="preserve">procentinis </w:t>
            </w:r>
            <w:r w:rsidRPr="007E78D7">
              <w:rPr>
                <w:rFonts w:ascii="Times New Roman" w:hAnsi="Times New Roman"/>
                <w:sz w:val="24"/>
                <w:szCs w:val="24"/>
              </w:rPr>
              <w:t>dydis (</w:t>
            </w:r>
            <w:r>
              <w:rPr>
                <w:rFonts w:ascii="Times New Roman" w:hAnsi="Times New Roman"/>
                <w:sz w:val="24"/>
                <w:szCs w:val="24"/>
              </w:rPr>
              <w:t xml:space="preserve">X </w:t>
            </w:r>
            <w:r w:rsidRPr="007E78D7">
              <w:rPr>
                <w:rFonts w:ascii="Times New Roman" w:hAnsi="Times New Roman"/>
                <w:sz w:val="24"/>
                <w:szCs w:val="24"/>
              </w:rPr>
              <w:t>proc.)</w:t>
            </w:r>
          </w:p>
          <w:p w14:paraId="1C76A8CE"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T </w:t>
            </w:r>
            <w:r w:rsidRPr="007E78D7">
              <w:rPr>
                <w:rFonts w:ascii="Times New Roman" w:hAnsi="Times New Roman"/>
                <w:sz w:val="24"/>
                <w:szCs w:val="24"/>
              </w:rPr>
              <w:t>–</w:t>
            </w:r>
            <w:r>
              <w:rPr>
                <w:rFonts w:ascii="Times New Roman" w:hAnsi="Times New Roman"/>
                <w:sz w:val="24"/>
                <w:szCs w:val="24"/>
              </w:rPr>
              <w:t xml:space="preserve"> Faktoringo sandorio finansavimo laikotarpio koeficientas (Y)</w:t>
            </w:r>
          </w:p>
        </w:tc>
      </w:tr>
      <w:tr w:rsidR="00035106" w:rsidRPr="00B751E6" w14:paraId="7C87CA8D" w14:textId="77777777" w:rsidTr="00D95057">
        <w:tc>
          <w:tcPr>
            <w:tcW w:w="2030" w:type="dxa"/>
            <w:tcBorders>
              <w:bottom w:val="single" w:sz="4" w:space="0" w:color="000000"/>
            </w:tcBorders>
          </w:tcPr>
          <w:p w14:paraId="3F31E50F"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sidRPr="00824F72">
              <w:rPr>
                <w:rFonts w:ascii="Times New Roman" w:hAnsi="Times New Roman"/>
                <w:b/>
                <w:sz w:val="24"/>
                <w:szCs w:val="24"/>
              </w:rPr>
              <w:lastRenderedPageBreak/>
              <w:t>Garantijos mokesčio lėšų šaltinis</w:t>
            </w:r>
          </w:p>
        </w:tc>
        <w:tc>
          <w:tcPr>
            <w:tcW w:w="7321" w:type="dxa"/>
            <w:tcBorders>
              <w:bottom w:val="single" w:sz="4" w:space="0" w:color="000000"/>
            </w:tcBorders>
          </w:tcPr>
          <w:p w14:paraId="782D4A49" w14:textId="77777777" w:rsidR="00035106" w:rsidRPr="00DE6667" w:rsidRDefault="00035106" w:rsidP="009873E8">
            <w:pPr>
              <w:keepNext/>
              <w:autoSpaceDE w:val="0"/>
              <w:autoSpaceDN w:val="0"/>
              <w:spacing w:after="0" w:line="240" w:lineRule="auto"/>
              <w:contextualSpacing/>
              <w:jc w:val="both"/>
              <w:rPr>
                <w:rFonts w:ascii="Times New Roman" w:hAnsi="Times New Roman"/>
                <w:i/>
                <w:color w:val="17365D"/>
                <w:sz w:val="24"/>
                <w:szCs w:val="24"/>
              </w:rPr>
            </w:pPr>
            <w:r>
              <w:rPr>
                <w:rFonts w:ascii="Times New Roman" w:hAnsi="Times New Roman"/>
                <w:sz w:val="24"/>
                <w:szCs w:val="24"/>
              </w:rPr>
              <w:t>MVĮ</w:t>
            </w:r>
            <w:r w:rsidRPr="002341CA">
              <w:rPr>
                <w:rFonts w:ascii="Times New Roman" w:hAnsi="Times New Roman"/>
                <w:sz w:val="24"/>
                <w:szCs w:val="24"/>
              </w:rPr>
              <w:t xml:space="preserve"> </w:t>
            </w:r>
            <w:r>
              <w:rPr>
                <w:rFonts w:ascii="Times New Roman" w:hAnsi="Times New Roman"/>
                <w:sz w:val="24"/>
                <w:szCs w:val="24"/>
              </w:rPr>
              <w:t>sumoka Garantijos mokestį</w:t>
            </w:r>
            <w:r w:rsidRPr="002341CA">
              <w:rPr>
                <w:rFonts w:ascii="Times New Roman" w:hAnsi="Times New Roman"/>
                <w:sz w:val="24"/>
                <w:szCs w:val="24"/>
              </w:rPr>
              <w:t xml:space="preserve"> </w:t>
            </w:r>
            <w:r>
              <w:rPr>
                <w:rFonts w:ascii="Times New Roman" w:hAnsi="Times New Roman"/>
                <w:sz w:val="24"/>
                <w:szCs w:val="24"/>
              </w:rPr>
              <w:t>PGF2 priemonės valdytojui, kuris, Sutartyje nustatyta tvarka, jį perveda „Invegai“</w:t>
            </w:r>
          </w:p>
        </w:tc>
      </w:tr>
      <w:tr w:rsidR="00035106" w:rsidRPr="00B751E6" w14:paraId="1F032946" w14:textId="77777777" w:rsidTr="00D95057">
        <w:tc>
          <w:tcPr>
            <w:tcW w:w="2030" w:type="dxa"/>
            <w:tcBorders>
              <w:bottom w:val="single" w:sz="4" w:space="0" w:color="000000"/>
            </w:tcBorders>
          </w:tcPr>
          <w:p w14:paraId="00728321" w14:textId="77777777" w:rsidR="00035106" w:rsidRPr="00824F72"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t>Garantijos mokesčio procentinis dydis</w:t>
            </w:r>
          </w:p>
        </w:tc>
        <w:tc>
          <w:tcPr>
            <w:tcW w:w="7321" w:type="dxa"/>
            <w:tcBorders>
              <w:bottom w:val="single" w:sz="4" w:space="0" w:color="000000"/>
            </w:tcBorders>
          </w:tcPr>
          <w:p w14:paraId="441D3EDD" w14:textId="77777777" w:rsidR="00035106" w:rsidRPr="007E78D7" w:rsidRDefault="00035106" w:rsidP="009873E8">
            <w:pPr>
              <w:spacing w:after="0" w:line="240" w:lineRule="auto"/>
              <w:jc w:val="both"/>
              <w:rPr>
                <w:rFonts w:ascii="Times New Roman" w:hAnsi="Times New Roman"/>
                <w:sz w:val="24"/>
                <w:szCs w:val="24"/>
              </w:rPr>
            </w:pPr>
            <w:r w:rsidRPr="007E78D7">
              <w:rPr>
                <w:rFonts w:ascii="Times New Roman" w:hAnsi="Times New Roman"/>
                <w:sz w:val="24"/>
                <w:szCs w:val="24"/>
              </w:rPr>
              <w:t>1.</w:t>
            </w:r>
            <w:r>
              <w:rPr>
                <w:rFonts w:ascii="Times New Roman" w:hAnsi="Times New Roman"/>
                <w:sz w:val="24"/>
                <w:szCs w:val="24"/>
              </w:rPr>
              <w:t> </w:t>
            </w:r>
            <w:r w:rsidRPr="007E78D7">
              <w:rPr>
                <w:rFonts w:ascii="Times New Roman" w:hAnsi="Times New Roman"/>
                <w:sz w:val="24"/>
                <w:szCs w:val="24"/>
              </w:rPr>
              <w:t xml:space="preserve">0,5 proc. </w:t>
            </w:r>
            <w:r>
              <w:rPr>
                <w:rFonts w:ascii="Times New Roman" w:hAnsi="Times New Roman"/>
                <w:sz w:val="24"/>
                <w:szCs w:val="24"/>
              </w:rPr>
              <w:t>Faktoringo sandoriams</w:t>
            </w:r>
            <w:r w:rsidRPr="007E78D7">
              <w:rPr>
                <w:rFonts w:ascii="Times New Roman" w:hAnsi="Times New Roman"/>
                <w:sz w:val="24"/>
                <w:szCs w:val="24"/>
              </w:rPr>
              <w:t xml:space="preserve">, </w:t>
            </w:r>
            <w:r>
              <w:rPr>
                <w:rFonts w:ascii="Times New Roman" w:hAnsi="Times New Roman"/>
                <w:sz w:val="24"/>
                <w:szCs w:val="24"/>
              </w:rPr>
              <w:t>kuriuose Maksimalūs mokėjimo atidėjimo visiems pirkėjams terminai yra ne ilgesni kaip 90 kalendorinių dienų;</w:t>
            </w:r>
          </w:p>
          <w:p w14:paraId="31016EC4" w14:textId="77777777" w:rsidR="00035106" w:rsidRPr="002341CA" w:rsidRDefault="00035106" w:rsidP="009873E8">
            <w:pPr>
              <w:spacing w:after="0" w:line="240" w:lineRule="auto"/>
              <w:jc w:val="both"/>
              <w:rPr>
                <w:rFonts w:ascii="Times New Roman" w:hAnsi="Times New Roman"/>
                <w:sz w:val="24"/>
                <w:szCs w:val="24"/>
              </w:rPr>
            </w:pPr>
            <w:r w:rsidRPr="007E78D7">
              <w:rPr>
                <w:rFonts w:ascii="Times New Roman" w:hAnsi="Times New Roman"/>
                <w:sz w:val="24"/>
                <w:szCs w:val="24"/>
              </w:rPr>
              <w:t>2.</w:t>
            </w:r>
            <w:r>
              <w:rPr>
                <w:rFonts w:ascii="Times New Roman" w:hAnsi="Times New Roman"/>
                <w:sz w:val="24"/>
                <w:szCs w:val="24"/>
              </w:rPr>
              <w:t> </w:t>
            </w:r>
            <w:r w:rsidRPr="007E78D7">
              <w:rPr>
                <w:rFonts w:ascii="Times New Roman" w:hAnsi="Times New Roman"/>
                <w:sz w:val="24"/>
                <w:szCs w:val="24"/>
              </w:rPr>
              <w:t xml:space="preserve">1 proc. </w:t>
            </w:r>
            <w:r>
              <w:rPr>
                <w:rFonts w:ascii="Times New Roman" w:hAnsi="Times New Roman"/>
                <w:sz w:val="24"/>
                <w:szCs w:val="24"/>
              </w:rPr>
              <w:t>Faktoringo sandoriams</w:t>
            </w:r>
            <w:r w:rsidRPr="007E78D7">
              <w:rPr>
                <w:rFonts w:ascii="Times New Roman" w:hAnsi="Times New Roman"/>
                <w:sz w:val="24"/>
                <w:szCs w:val="24"/>
              </w:rPr>
              <w:t xml:space="preserve">, </w:t>
            </w:r>
            <w:r>
              <w:rPr>
                <w:rFonts w:ascii="Times New Roman" w:hAnsi="Times New Roman"/>
                <w:sz w:val="24"/>
                <w:szCs w:val="24"/>
              </w:rPr>
              <w:t>kuriuose maksimalūs Mokėjimo atidėjimo pirkėjams terminai (arba bent vienas iš jų) yra ne trumpesni kaip 90 kalendorinių dienų ir ne ilgesni kaip 180 kalendorinių dienų</w:t>
            </w:r>
          </w:p>
        </w:tc>
      </w:tr>
      <w:tr w:rsidR="00035106" w:rsidRPr="00B751E6" w14:paraId="2A5A5C44" w14:textId="77777777" w:rsidTr="00D95057">
        <w:tc>
          <w:tcPr>
            <w:tcW w:w="2030" w:type="dxa"/>
            <w:tcBorders>
              <w:bottom w:val="single" w:sz="4" w:space="0" w:color="000000"/>
            </w:tcBorders>
          </w:tcPr>
          <w:p w14:paraId="575334A0"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Faktoringo sandorio finansavimo laikotarpio koeficientas</w:t>
            </w:r>
          </w:p>
        </w:tc>
        <w:tc>
          <w:tcPr>
            <w:tcW w:w="7321" w:type="dxa"/>
            <w:tcBorders>
              <w:bottom w:val="single" w:sz="4" w:space="0" w:color="000000"/>
            </w:tcBorders>
          </w:tcPr>
          <w:p w14:paraId="2E16C1EE" w14:textId="77777777" w:rsidR="00035106" w:rsidRPr="003C5475" w:rsidRDefault="00035106" w:rsidP="009873E8">
            <w:pPr>
              <w:spacing w:after="0" w:line="240" w:lineRule="auto"/>
              <w:jc w:val="both"/>
              <w:rPr>
                <w:rFonts w:ascii="Times New Roman" w:hAnsi="Times New Roman"/>
                <w:sz w:val="24"/>
                <w:szCs w:val="24"/>
              </w:rPr>
            </w:pPr>
            <w:r>
              <w:rPr>
                <w:rFonts w:ascii="Times New Roman" w:hAnsi="Times New Roman"/>
                <w:sz w:val="24"/>
                <w:szCs w:val="24"/>
              </w:rPr>
              <w:t>1. 1,</w:t>
            </w:r>
            <w:r w:rsidRPr="003C5475">
              <w:rPr>
                <w:rFonts w:ascii="Times New Roman" w:hAnsi="Times New Roman"/>
                <w:sz w:val="24"/>
                <w:szCs w:val="24"/>
              </w:rPr>
              <w:t xml:space="preserve"> kai Faktoringo sandorio finansavimo laikotarpis yra </w:t>
            </w:r>
            <w:r>
              <w:rPr>
                <w:rFonts w:ascii="Times New Roman" w:hAnsi="Times New Roman"/>
                <w:sz w:val="24"/>
                <w:szCs w:val="24"/>
              </w:rPr>
              <w:t>trumpesnis</w:t>
            </w:r>
            <w:r w:rsidRPr="003C5475">
              <w:rPr>
                <w:rFonts w:ascii="Times New Roman" w:hAnsi="Times New Roman"/>
                <w:sz w:val="24"/>
                <w:szCs w:val="24"/>
              </w:rPr>
              <w:t xml:space="preserve"> arba lygus 6</w:t>
            </w:r>
            <w:r>
              <w:rPr>
                <w:rFonts w:ascii="Times New Roman" w:hAnsi="Times New Roman"/>
                <w:sz w:val="24"/>
                <w:szCs w:val="24"/>
              </w:rPr>
              <w:t> </w:t>
            </w:r>
            <w:r w:rsidRPr="003C5475">
              <w:rPr>
                <w:rFonts w:ascii="Times New Roman" w:hAnsi="Times New Roman"/>
                <w:sz w:val="24"/>
                <w:szCs w:val="24"/>
              </w:rPr>
              <w:t>mėnesiams;</w:t>
            </w:r>
          </w:p>
          <w:p w14:paraId="3A1A9F34" w14:textId="77777777" w:rsidR="00035106" w:rsidRPr="003C5475" w:rsidRDefault="00035106" w:rsidP="009873E8">
            <w:pPr>
              <w:spacing w:after="0" w:line="240" w:lineRule="auto"/>
              <w:jc w:val="both"/>
              <w:rPr>
                <w:rFonts w:ascii="Times New Roman" w:hAnsi="Times New Roman"/>
                <w:sz w:val="24"/>
                <w:szCs w:val="24"/>
              </w:rPr>
            </w:pPr>
            <w:r>
              <w:rPr>
                <w:rFonts w:ascii="Times New Roman" w:hAnsi="Times New Roman"/>
                <w:sz w:val="24"/>
                <w:szCs w:val="24"/>
              </w:rPr>
              <w:t xml:space="preserve">2. 1,6, kai </w:t>
            </w:r>
            <w:r w:rsidRPr="00837F9D">
              <w:rPr>
                <w:rFonts w:ascii="Times New Roman" w:hAnsi="Times New Roman"/>
                <w:sz w:val="24"/>
                <w:szCs w:val="24"/>
              </w:rPr>
              <w:t>Faktoringo sandorio finansavimo laikotarpis yra</w:t>
            </w:r>
            <w:r>
              <w:rPr>
                <w:rFonts w:ascii="Times New Roman" w:hAnsi="Times New Roman"/>
                <w:sz w:val="24"/>
                <w:szCs w:val="24"/>
              </w:rPr>
              <w:t xml:space="preserve"> ilgesnis nei 6 mėnesiai, bet trumpesnis arba lygus 12</w:t>
            </w:r>
            <w:r w:rsidRPr="00837F9D">
              <w:rPr>
                <w:rFonts w:ascii="Times New Roman" w:hAnsi="Times New Roman"/>
                <w:sz w:val="24"/>
                <w:szCs w:val="24"/>
              </w:rPr>
              <w:t xml:space="preserve"> mėnesi</w:t>
            </w:r>
            <w:r>
              <w:rPr>
                <w:rFonts w:ascii="Times New Roman" w:hAnsi="Times New Roman"/>
                <w:sz w:val="24"/>
                <w:szCs w:val="24"/>
              </w:rPr>
              <w:t>ų</w:t>
            </w:r>
          </w:p>
        </w:tc>
      </w:tr>
      <w:tr w:rsidR="00035106" w:rsidRPr="00B751E6" w14:paraId="15806B3B" w14:textId="77777777" w:rsidTr="00D95057">
        <w:tc>
          <w:tcPr>
            <w:tcW w:w="2030" w:type="dxa"/>
            <w:tcBorders>
              <w:bottom w:val="single" w:sz="4" w:space="0" w:color="000000"/>
            </w:tcBorders>
          </w:tcPr>
          <w:p w14:paraId="67927664"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Garantuotas portfelis</w:t>
            </w:r>
          </w:p>
        </w:tc>
        <w:tc>
          <w:tcPr>
            <w:tcW w:w="7321" w:type="dxa"/>
            <w:tcBorders>
              <w:bottom w:val="single" w:sz="4" w:space="0" w:color="000000"/>
            </w:tcBorders>
          </w:tcPr>
          <w:p w14:paraId="78D4C46C" w14:textId="77777777" w:rsidR="00035106" w:rsidRPr="007E78D7" w:rsidRDefault="00035106" w:rsidP="009873E8">
            <w:pPr>
              <w:spacing w:after="0" w:line="240" w:lineRule="auto"/>
              <w:jc w:val="both"/>
              <w:rPr>
                <w:rFonts w:ascii="Times New Roman" w:hAnsi="Times New Roman"/>
                <w:sz w:val="24"/>
                <w:szCs w:val="24"/>
              </w:rPr>
            </w:pPr>
            <w:r>
              <w:rPr>
                <w:rFonts w:ascii="Times New Roman" w:hAnsi="Times New Roman"/>
                <w:sz w:val="24"/>
                <w:szCs w:val="24"/>
              </w:rPr>
              <w:t>Portfelis, į kurį įtrauktiems Faktoringo sandoriams yra suteikta garantija, užtikrinanti į Portfelį įtrauktų Faktoringo sandorių, atitinkančių Tinkamumo sąlygas, nustatytos reikalavimų dalies sumokėjimą</w:t>
            </w:r>
          </w:p>
        </w:tc>
      </w:tr>
      <w:tr w:rsidR="00035106" w:rsidRPr="00B751E6" w14:paraId="09F5ABEB" w14:textId="77777777" w:rsidTr="00D95057">
        <w:tc>
          <w:tcPr>
            <w:tcW w:w="2030" w:type="dxa"/>
            <w:tcBorders>
              <w:bottom w:val="single" w:sz="4" w:space="0" w:color="000000"/>
            </w:tcBorders>
          </w:tcPr>
          <w:p w14:paraId="7A9E83FB"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t xml:space="preserve">Viršutinės ribos </w:t>
            </w:r>
            <w:r w:rsidRPr="000471E2">
              <w:rPr>
                <w:rFonts w:ascii="Times New Roman" w:hAnsi="Times New Roman"/>
                <w:b/>
                <w:sz w:val="24"/>
              </w:rPr>
              <w:t xml:space="preserve">norma </w:t>
            </w:r>
            <w:r w:rsidRPr="000471E2">
              <w:rPr>
                <w:rFonts w:ascii="Times New Roman" w:hAnsi="Times New Roman"/>
                <w:b/>
                <w:sz w:val="24"/>
                <w:szCs w:val="24"/>
              </w:rPr>
              <w:t>(angl. „Cap rate“)</w:t>
            </w:r>
          </w:p>
        </w:tc>
        <w:tc>
          <w:tcPr>
            <w:tcW w:w="7321" w:type="dxa"/>
            <w:tcBorders>
              <w:bottom w:val="single" w:sz="4" w:space="0" w:color="000000"/>
            </w:tcBorders>
          </w:tcPr>
          <w:p w14:paraId="2E3A3450" w14:textId="77777777" w:rsidR="00035106" w:rsidRPr="0019061E" w:rsidRDefault="00035106" w:rsidP="009873E8">
            <w:pPr>
              <w:spacing w:line="240" w:lineRule="auto"/>
              <w:jc w:val="both"/>
              <w:rPr>
                <w:rFonts w:ascii="Times New Roman" w:hAnsi="Times New Roman"/>
                <w:sz w:val="24"/>
                <w:szCs w:val="24"/>
              </w:rPr>
            </w:pPr>
            <w:r>
              <w:rPr>
                <w:rFonts w:ascii="Times New Roman" w:hAnsi="Times New Roman"/>
                <w:sz w:val="24"/>
                <w:szCs w:val="24"/>
              </w:rPr>
              <w:t>D</w:t>
            </w:r>
            <w:r w:rsidRPr="000C5A79">
              <w:rPr>
                <w:rFonts w:ascii="Times New Roman" w:hAnsi="Times New Roman"/>
                <w:sz w:val="24"/>
                <w:szCs w:val="24"/>
              </w:rPr>
              <w:t>idžiausias Išmok</w:t>
            </w:r>
            <w:r w:rsidRPr="000C5A79">
              <w:rPr>
                <w:rFonts w:ascii="Times New Roman" w:hAnsi="Times New Roman" w:hint="eastAsia"/>
                <w:sz w:val="24"/>
                <w:szCs w:val="24"/>
              </w:rPr>
              <w:t>ų</w:t>
            </w:r>
            <w:r w:rsidRPr="000C5A79">
              <w:rPr>
                <w:rFonts w:ascii="Times New Roman" w:hAnsi="Times New Roman"/>
                <w:sz w:val="24"/>
                <w:szCs w:val="24"/>
              </w:rPr>
              <w:t xml:space="preserve">, kurias „Invega“ kaip INVEGOS fondo valdytoja gali išmokėti </w:t>
            </w:r>
            <w:r>
              <w:rPr>
                <w:rFonts w:ascii="Times New Roman" w:hAnsi="Times New Roman"/>
                <w:sz w:val="24"/>
                <w:szCs w:val="24"/>
              </w:rPr>
              <w:t>PGF2</w:t>
            </w:r>
            <w:r w:rsidRPr="000C5A79">
              <w:rPr>
                <w:rFonts w:ascii="Times New Roman" w:hAnsi="Times New Roman"/>
                <w:sz w:val="24"/>
                <w:szCs w:val="24"/>
              </w:rPr>
              <w:t xml:space="preserve"> priemonės valdytojui, dydis, t. y. 20 (dvidešimt) proc. nuo garantuotos Portfelio sumos</w:t>
            </w:r>
          </w:p>
        </w:tc>
      </w:tr>
      <w:tr w:rsidR="00035106" w:rsidRPr="00B751E6" w14:paraId="4EC4B18F" w14:textId="77777777" w:rsidTr="00D95057">
        <w:tc>
          <w:tcPr>
            <w:tcW w:w="2030" w:type="dxa"/>
            <w:tcBorders>
              <w:bottom w:val="single" w:sz="4" w:space="0" w:color="000000"/>
            </w:tcBorders>
          </w:tcPr>
          <w:p w14:paraId="30D11B75" w14:textId="77777777" w:rsidR="00035106" w:rsidRPr="00C0749C" w:rsidRDefault="00035106" w:rsidP="009873E8">
            <w:pPr>
              <w:autoSpaceDE w:val="0"/>
              <w:autoSpaceDN w:val="0"/>
              <w:spacing w:after="0" w:line="240" w:lineRule="auto"/>
              <w:contextualSpacing/>
              <w:rPr>
                <w:rFonts w:ascii="Times New Roman" w:hAnsi="Times New Roman"/>
                <w:b/>
                <w:sz w:val="24"/>
                <w:szCs w:val="24"/>
              </w:rPr>
            </w:pPr>
            <w:r w:rsidRPr="00C0749C">
              <w:rPr>
                <w:rFonts w:ascii="Times New Roman" w:hAnsi="Times New Roman"/>
                <w:b/>
                <w:sz w:val="24"/>
                <w:szCs w:val="24"/>
              </w:rPr>
              <w:t>Sutartis</w:t>
            </w:r>
          </w:p>
        </w:tc>
        <w:tc>
          <w:tcPr>
            <w:tcW w:w="7321" w:type="dxa"/>
            <w:tcBorders>
              <w:bottom w:val="single" w:sz="4" w:space="0" w:color="000000"/>
            </w:tcBorders>
          </w:tcPr>
          <w:p w14:paraId="61171D1C" w14:textId="77777777" w:rsidR="00035106" w:rsidRPr="00C0749C" w:rsidRDefault="00035106" w:rsidP="009873E8">
            <w:pPr>
              <w:spacing w:after="0" w:line="240" w:lineRule="auto"/>
              <w:jc w:val="both"/>
              <w:rPr>
                <w:rFonts w:ascii="Times New Roman" w:hAnsi="Times New Roman"/>
                <w:sz w:val="24"/>
                <w:szCs w:val="24"/>
              </w:rPr>
            </w:pPr>
            <w:r>
              <w:rPr>
                <w:rFonts w:ascii="Times New Roman" w:hAnsi="Times New Roman"/>
                <w:sz w:val="24"/>
                <w:szCs w:val="24"/>
              </w:rPr>
              <w:t>S</w:t>
            </w:r>
            <w:r w:rsidRPr="00C0749C">
              <w:rPr>
                <w:rFonts w:ascii="Times New Roman" w:hAnsi="Times New Roman"/>
                <w:sz w:val="24"/>
                <w:szCs w:val="24"/>
              </w:rPr>
              <w:t>utartis</w:t>
            </w:r>
            <w:r>
              <w:rPr>
                <w:rFonts w:ascii="Times New Roman" w:hAnsi="Times New Roman"/>
                <w:sz w:val="24"/>
                <w:szCs w:val="24"/>
              </w:rPr>
              <w:t>,</w:t>
            </w:r>
            <w:r w:rsidRPr="00C0749C">
              <w:rPr>
                <w:rFonts w:ascii="Times New Roman" w:hAnsi="Times New Roman"/>
                <w:sz w:val="24"/>
                <w:szCs w:val="24"/>
              </w:rPr>
              <w:t xml:space="preserve"> pasirašyta „Invegos“ su atrinktu </w:t>
            </w:r>
            <w:r>
              <w:rPr>
                <w:rFonts w:ascii="Times New Roman" w:hAnsi="Times New Roman"/>
                <w:sz w:val="24"/>
                <w:szCs w:val="24"/>
              </w:rPr>
              <w:t>PGF2</w:t>
            </w:r>
            <w:r w:rsidRPr="00C0749C">
              <w:rPr>
                <w:rFonts w:ascii="Times New Roman" w:hAnsi="Times New Roman"/>
                <w:sz w:val="24"/>
                <w:szCs w:val="24"/>
              </w:rPr>
              <w:t xml:space="preserve"> priemonės valdytoju</w:t>
            </w:r>
          </w:p>
        </w:tc>
      </w:tr>
      <w:tr w:rsidR="00035106" w:rsidRPr="00B751E6" w14:paraId="4BD0063A" w14:textId="77777777" w:rsidTr="00D95057">
        <w:tc>
          <w:tcPr>
            <w:tcW w:w="2030" w:type="dxa"/>
            <w:tcBorders>
              <w:bottom w:val="single" w:sz="4" w:space="0" w:color="000000"/>
            </w:tcBorders>
          </w:tcPr>
          <w:p w14:paraId="6ADC947C"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Sutarties nuostolingumas, proc.</w:t>
            </w:r>
          </w:p>
        </w:tc>
        <w:tc>
          <w:tcPr>
            <w:tcW w:w="7321" w:type="dxa"/>
            <w:tcBorders>
              <w:bottom w:val="single" w:sz="4" w:space="0" w:color="000000"/>
            </w:tcBorders>
          </w:tcPr>
          <w:p w14:paraId="2B395B93"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Sutarties nuostolingumas (proc.) skaičiuojamas kaip faktiškai PGF2 priemonės valdytojui sumokėtų Išmokų sumos </w:t>
            </w:r>
            <w:r>
              <w:rPr>
                <w:rFonts w:ascii="Times New Roman" w:hAnsi="Times New Roman"/>
                <w:bCs/>
                <w:sz w:val="24"/>
                <w:szCs w:val="24"/>
              </w:rPr>
              <w:t xml:space="preserve">ir į Portfelį faktiškai įtrauktų Faktoringo sandorių išmokėtos </w:t>
            </w:r>
            <w:r w:rsidRPr="008A0D89">
              <w:rPr>
                <w:rFonts w:ascii="Times New Roman" w:hAnsi="Times New Roman"/>
                <w:bCs/>
                <w:sz w:val="24"/>
                <w:szCs w:val="24"/>
              </w:rPr>
              <w:t>Faktoringo avansų MVĮ sum</w:t>
            </w:r>
            <w:r>
              <w:rPr>
                <w:rFonts w:ascii="Times New Roman" w:hAnsi="Times New Roman"/>
                <w:bCs/>
                <w:sz w:val="24"/>
                <w:szCs w:val="24"/>
              </w:rPr>
              <w:t>os</w:t>
            </w:r>
            <w:r w:rsidRPr="008A0D89">
              <w:rPr>
                <w:rFonts w:ascii="Times New Roman" w:hAnsi="Times New Roman"/>
                <w:bCs/>
                <w:sz w:val="24"/>
                <w:szCs w:val="24"/>
              </w:rPr>
              <w:t>, neviršijan</w:t>
            </w:r>
            <w:r>
              <w:rPr>
                <w:rFonts w:ascii="Times New Roman" w:hAnsi="Times New Roman"/>
                <w:bCs/>
                <w:sz w:val="24"/>
                <w:szCs w:val="24"/>
              </w:rPr>
              <w:t>čios</w:t>
            </w:r>
            <w:r w:rsidRPr="008A0D89">
              <w:rPr>
                <w:rFonts w:ascii="Times New Roman" w:hAnsi="Times New Roman"/>
                <w:bCs/>
                <w:sz w:val="24"/>
                <w:szCs w:val="24"/>
              </w:rPr>
              <w:t xml:space="preserve"> Faktoringo limito,</w:t>
            </w:r>
            <w:r w:rsidRPr="008A0D89">
              <w:rPr>
                <w:rFonts w:ascii="Times New Roman" w:hAnsi="Times New Roman"/>
                <w:sz w:val="24"/>
                <w:szCs w:val="24"/>
              </w:rPr>
              <w:t xml:space="preserve"> santykis p</w:t>
            </w:r>
            <w:r>
              <w:rPr>
                <w:rFonts w:ascii="Times New Roman" w:hAnsi="Times New Roman"/>
                <w:sz w:val="24"/>
                <w:szCs w:val="24"/>
              </w:rPr>
              <w:t>adaugintas iš 100 proc.</w:t>
            </w:r>
          </w:p>
          <w:p w14:paraId="527ADA10"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Sutarties nuostolingumas (proc.) apskaičiuojamas </w:t>
            </w:r>
            <w:r w:rsidRPr="002D5666">
              <w:rPr>
                <w:rFonts w:ascii="Times New Roman" w:hAnsi="Times New Roman"/>
                <w:sz w:val="24"/>
                <w:szCs w:val="24"/>
              </w:rPr>
              <w:t>naudojant formulę:</w:t>
            </w:r>
          </w:p>
          <w:p w14:paraId="4E0C727A" w14:textId="77777777" w:rsidR="00035106" w:rsidRPr="00565CDE" w:rsidRDefault="00035106" w:rsidP="009873E8">
            <w:pPr>
              <w:autoSpaceDE w:val="0"/>
              <w:autoSpaceDN w:val="0"/>
              <w:spacing w:after="0" w:line="240" w:lineRule="auto"/>
              <w:contextualSpacing/>
              <w:jc w:val="both"/>
              <w:rPr>
                <w:rFonts w:ascii="Times New Roman" w:hAnsi="Times New Roman"/>
                <w:sz w:val="24"/>
                <w:szCs w:val="24"/>
              </w:rPr>
            </w:pPr>
            <w:r w:rsidRPr="00565CDE">
              <w:rPr>
                <w:rFonts w:ascii="Times New Roman" w:hAnsi="Times New Roman"/>
                <w:sz w:val="24"/>
                <w:szCs w:val="24"/>
              </w:rPr>
              <w:t>N = IF / AF x 100 proc.,</w:t>
            </w:r>
          </w:p>
          <w:p w14:paraId="4E9083EB" w14:textId="77777777" w:rsidR="00035106" w:rsidRPr="00565CDE" w:rsidRDefault="00035106" w:rsidP="009873E8">
            <w:pPr>
              <w:autoSpaceDE w:val="0"/>
              <w:autoSpaceDN w:val="0"/>
              <w:spacing w:after="0" w:line="240" w:lineRule="auto"/>
              <w:contextualSpacing/>
              <w:jc w:val="both"/>
              <w:rPr>
                <w:rFonts w:ascii="Times New Roman" w:hAnsi="Times New Roman"/>
                <w:sz w:val="24"/>
                <w:szCs w:val="24"/>
              </w:rPr>
            </w:pPr>
            <w:r w:rsidRPr="00565CDE">
              <w:rPr>
                <w:rFonts w:ascii="Times New Roman" w:hAnsi="Times New Roman"/>
                <w:sz w:val="24"/>
                <w:szCs w:val="24"/>
              </w:rPr>
              <w:t>kur:</w:t>
            </w:r>
          </w:p>
          <w:p w14:paraId="1921A0CB"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sidRPr="00461CB4">
              <w:rPr>
                <w:rFonts w:ascii="Times New Roman" w:hAnsi="Times New Roman"/>
                <w:sz w:val="24"/>
                <w:szCs w:val="24"/>
              </w:rPr>
              <w:t xml:space="preserve">N – </w:t>
            </w:r>
            <w:r>
              <w:rPr>
                <w:rFonts w:ascii="Times New Roman" w:hAnsi="Times New Roman"/>
                <w:sz w:val="24"/>
                <w:szCs w:val="24"/>
              </w:rPr>
              <w:t>Sutarties nuostolingumas (proc.);</w:t>
            </w:r>
          </w:p>
          <w:p w14:paraId="3A225E18"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IF – nuo Sutarties pasirašymo dienos PGF2 priemonės valdytojui faktiškai sumokėta išmokų suma;</w:t>
            </w:r>
          </w:p>
          <w:p w14:paraId="53808A19" w14:textId="77777777" w:rsidR="00035106" w:rsidRPr="002D566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AF – nuo Sutarties pasirašymo dienos pagal </w:t>
            </w:r>
            <w:r>
              <w:rPr>
                <w:rFonts w:ascii="Times New Roman" w:hAnsi="Times New Roman"/>
                <w:bCs/>
                <w:sz w:val="24"/>
                <w:szCs w:val="24"/>
              </w:rPr>
              <w:t xml:space="preserve">į Portfelį faktiškai įtrauktus Faktoringo sandorius išmokėta </w:t>
            </w:r>
            <w:r w:rsidRPr="008A0D89">
              <w:rPr>
                <w:rFonts w:ascii="Times New Roman" w:hAnsi="Times New Roman"/>
                <w:bCs/>
                <w:sz w:val="24"/>
                <w:szCs w:val="24"/>
              </w:rPr>
              <w:t>Faktoringo avansų MVĮ sum</w:t>
            </w:r>
            <w:r>
              <w:rPr>
                <w:rFonts w:ascii="Times New Roman" w:hAnsi="Times New Roman"/>
                <w:bCs/>
                <w:sz w:val="24"/>
                <w:szCs w:val="24"/>
              </w:rPr>
              <w:t>a</w:t>
            </w:r>
            <w:r w:rsidRPr="008A0D89">
              <w:rPr>
                <w:rFonts w:ascii="Times New Roman" w:hAnsi="Times New Roman"/>
                <w:bCs/>
                <w:sz w:val="24"/>
                <w:szCs w:val="24"/>
              </w:rPr>
              <w:t>, neviršijan</w:t>
            </w:r>
            <w:r>
              <w:rPr>
                <w:rFonts w:ascii="Times New Roman" w:hAnsi="Times New Roman"/>
                <w:bCs/>
                <w:sz w:val="24"/>
                <w:szCs w:val="24"/>
              </w:rPr>
              <w:t>ti</w:t>
            </w:r>
            <w:r w:rsidRPr="008A0D89">
              <w:rPr>
                <w:rFonts w:ascii="Times New Roman" w:hAnsi="Times New Roman"/>
                <w:bCs/>
                <w:sz w:val="24"/>
                <w:szCs w:val="24"/>
              </w:rPr>
              <w:t xml:space="preserve"> Faktoringo limito</w:t>
            </w:r>
            <w:r>
              <w:rPr>
                <w:rFonts w:ascii="Times New Roman" w:hAnsi="Times New Roman"/>
                <w:bCs/>
                <w:sz w:val="24"/>
                <w:szCs w:val="24"/>
              </w:rPr>
              <w:t>.</w:t>
            </w:r>
          </w:p>
          <w:p w14:paraId="053EB096"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Sutarties nuostolingumas praėjus vieneriems metams po Sutarties pasirašymo negali būti didesnis nei 9 proc. Tikrinimas atliekamas remiantis gautos 4 (ketvirtos) ketvirtinės ataskaitos duomenimis.</w:t>
            </w:r>
          </w:p>
          <w:p w14:paraId="51091341"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sidRPr="00763546">
              <w:rPr>
                <w:rFonts w:ascii="Times New Roman" w:hAnsi="Times New Roman"/>
                <w:sz w:val="24"/>
                <w:szCs w:val="24"/>
              </w:rPr>
              <w:t>Sutarties nuostolingumas praėjus</w:t>
            </w:r>
            <w:r>
              <w:rPr>
                <w:rFonts w:ascii="Times New Roman" w:hAnsi="Times New Roman"/>
                <w:sz w:val="24"/>
                <w:szCs w:val="24"/>
              </w:rPr>
              <w:t xml:space="preserve"> dvejiems</w:t>
            </w:r>
            <w:r w:rsidRPr="00763546">
              <w:rPr>
                <w:rFonts w:ascii="Times New Roman" w:hAnsi="Times New Roman"/>
                <w:sz w:val="24"/>
                <w:szCs w:val="24"/>
              </w:rPr>
              <w:t xml:space="preserve"> metams po </w:t>
            </w:r>
            <w:r>
              <w:rPr>
                <w:rFonts w:ascii="Times New Roman" w:hAnsi="Times New Roman"/>
                <w:sz w:val="24"/>
                <w:szCs w:val="24"/>
              </w:rPr>
              <w:t>S</w:t>
            </w:r>
            <w:r w:rsidRPr="00763546">
              <w:rPr>
                <w:rFonts w:ascii="Times New Roman" w:hAnsi="Times New Roman"/>
                <w:sz w:val="24"/>
                <w:szCs w:val="24"/>
              </w:rPr>
              <w:t>utarties pasirašym</w:t>
            </w:r>
            <w:r>
              <w:rPr>
                <w:rFonts w:ascii="Times New Roman" w:hAnsi="Times New Roman"/>
                <w:sz w:val="24"/>
                <w:szCs w:val="24"/>
              </w:rPr>
              <w:t>o</w:t>
            </w:r>
            <w:r w:rsidRPr="00763546">
              <w:rPr>
                <w:rFonts w:ascii="Times New Roman" w:hAnsi="Times New Roman"/>
                <w:sz w:val="24"/>
                <w:szCs w:val="24"/>
              </w:rPr>
              <w:t xml:space="preserve"> negali būti didesnis nei</w:t>
            </w:r>
            <w:r>
              <w:rPr>
                <w:rFonts w:ascii="Times New Roman" w:hAnsi="Times New Roman"/>
                <w:sz w:val="24"/>
                <w:szCs w:val="24"/>
              </w:rPr>
              <w:t xml:space="preserve"> 12</w:t>
            </w:r>
            <w:r w:rsidRPr="00763546">
              <w:rPr>
                <w:rFonts w:ascii="Times New Roman" w:hAnsi="Times New Roman"/>
                <w:sz w:val="24"/>
                <w:szCs w:val="24"/>
              </w:rPr>
              <w:t xml:space="preserve"> proc.</w:t>
            </w:r>
            <w:r>
              <w:rPr>
                <w:rFonts w:ascii="Times New Roman" w:hAnsi="Times New Roman"/>
                <w:sz w:val="24"/>
                <w:szCs w:val="24"/>
              </w:rPr>
              <w:t xml:space="preserve"> Tikrinimas atliekamas remiantis gautos 8 (aštuntos) ketvirtinės ataskaitos duomenimis.</w:t>
            </w:r>
          </w:p>
          <w:p w14:paraId="64347742" w14:textId="77777777" w:rsidR="00035106" w:rsidRDefault="00035106" w:rsidP="009873E8">
            <w:pPr>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Jei nustatytais terminais Sutarties nuostolingumo rodiklis viršytų nustatytus dydžius, būtų stabdomas tolimesnis Faktoringo sandorių įtraukimas į Portfelį</w:t>
            </w:r>
          </w:p>
        </w:tc>
      </w:tr>
      <w:tr w:rsidR="00035106" w:rsidRPr="00B751E6" w14:paraId="162D92E6" w14:textId="77777777" w:rsidTr="00D95057">
        <w:tc>
          <w:tcPr>
            <w:tcW w:w="2030" w:type="dxa"/>
            <w:tcBorders>
              <w:bottom w:val="single" w:sz="4" w:space="0" w:color="000000"/>
            </w:tcBorders>
          </w:tcPr>
          <w:p w14:paraId="068BC474" w14:textId="77777777" w:rsidR="00035106" w:rsidRPr="006F3FC1" w:rsidRDefault="00035106" w:rsidP="009873E8">
            <w:pPr>
              <w:autoSpaceDE w:val="0"/>
              <w:autoSpaceDN w:val="0"/>
              <w:spacing w:after="0" w:line="240" w:lineRule="auto"/>
              <w:contextualSpacing/>
              <w:rPr>
                <w:rFonts w:ascii="Times New Roman" w:hAnsi="Times New Roman"/>
                <w:b/>
                <w:color w:val="000000"/>
                <w:sz w:val="24"/>
                <w:szCs w:val="24"/>
              </w:rPr>
            </w:pPr>
            <w:r w:rsidRPr="006F3FC1">
              <w:rPr>
                <w:rFonts w:ascii="Times New Roman" w:hAnsi="Times New Roman"/>
                <w:b/>
                <w:color w:val="000000"/>
                <w:sz w:val="24"/>
                <w:szCs w:val="24"/>
              </w:rPr>
              <w:lastRenderedPageBreak/>
              <w:t>Faktoringo sandorio užtikrinimo priemonės</w:t>
            </w:r>
          </w:p>
        </w:tc>
        <w:tc>
          <w:tcPr>
            <w:tcW w:w="7321" w:type="dxa"/>
            <w:tcBorders>
              <w:bottom w:val="single" w:sz="4" w:space="0" w:color="000000"/>
            </w:tcBorders>
          </w:tcPr>
          <w:p w14:paraId="3AFC4067" w14:textId="77777777" w:rsidR="00035106" w:rsidRDefault="00035106" w:rsidP="009873E8">
            <w:pPr>
              <w:autoSpaceDE w:val="0"/>
              <w:autoSpaceDN w:val="0"/>
              <w:spacing w:after="0" w:line="240" w:lineRule="auto"/>
              <w:contextualSpacing/>
              <w:jc w:val="both"/>
              <w:rPr>
                <w:rFonts w:ascii="Times New Roman" w:hAnsi="Times New Roman"/>
                <w:color w:val="000000"/>
                <w:sz w:val="24"/>
                <w:szCs w:val="24"/>
              </w:rPr>
            </w:pPr>
            <w:r w:rsidRPr="009E2445">
              <w:rPr>
                <w:rFonts w:ascii="Times New Roman" w:hAnsi="Times New Roman"/>
                <w:color w:val="000000"/>
                <w:sz w:val="24"/>
                <w:szCs w:val="24"/>
              </w:rPr>
              <w:t xml:space="preserve">Visi </w:t>
            </w:r>
            <w:r>
              <w:rPr>
                <w:rFonts w:ascii="Times New Roman" w:hAnsi="Times New Roman"/>
                <w:color w:val="000000"/>
                <w:sz w:val="24"/>
                <w:szCs w:val="24"/>
              </w:rPr>
              <w:t>PGF2</w:t>
            </w:r>
            <w:r w:rsidRPr="009E2445">
              <w:rPr>
                <w:rFonts w:ascii="Times New Roman" w:hAnsi="Times New Roman"/>
                <w:color w:val="000000"/>
                <w:sz w:val="24"/>
                <w:szCs w:val="24"/>
              </w:rPr>
              <w:t xml:space="preserve"> priemonės valdytojo į Portfelį įtraukiami Faktoringo sandoriai turi būti su regresu į Faktoringo sandorio gavėją</w:t>
            </w:r>
            <w:r>
              <w:rPr>
                <w:rFonts w:ascii="Times New Roman" w:hAnsi="Times New Roman"/>
                <w:color w:val="000000"/>
                <w:sz w:val="24"/>
                <w:szCs w:val="24"/>
              </w:rPr>
              <w:t>.</w:t>
            </w:r>
          </w:p>
          <w:p w14:paraId="7A3F73F9" w14:textId="77777777" w:rsidR="00035106" w:rsidRDefault="00035106" w:rsidP="009873E8">
            <w:pPr>
              <w:autoSpaceDE w:val="0"/>
              <w:autoSpaceDN w:val="0"/>
              <w:spacing w:after="0" w:line="240" w:lineRule="auto"/>
              <w:contextualSpacing/>
              <w:jc w:val="both"/>
              <w:rPr>
                <w:rFonts w:ascii="Times New Roman" w:hAnsi="Times New Roman"/>
                <w:color w:val="000000"/>
                <w:sz w:val="24"/>
                <w:szCs w:val="24"/>
              </w:rPr>
            </w:pPr>
          </w:p>
          <w:p w14:paraId="6F511F60" w14:textId="77777777" w:rsidR="00035106" w:rsidRPr="00F7467F" w:rsidRDefault="00035106" w:rsidP="009873E8">
            <w:pPr>
              <w:autoSpaceDE w:val="0"/>
              <w:autoSpaceDN w:val="0"/>
              <w:spacing w:after="0" w:line="240" w:lineRule="auto"/>
              <w:contextualSpacing/>
              <w:jc w:val="both"/>
              <w:rPr>
                <w:rFonts w:ascii="Times New Roman" w:hAnsi="Times New Roman"/>
                <w:i/>
                <w:color w:val="000000"/>
                <w:sz w:val="24"/>
                <w:szCs w:val="24"/>
              </w:rPr>
            </w:pPr>
            <w:r w:rsidRPr="00F7467F">
              <w:rPr>
                <w:rFonts w:ascii="Times New Roman" w:hAnsi="Times New Roman"/>
                <w:i/>
                <w:color w:val="000000"/>
                <w:sz w:val="24"/>
                <w:szCs w:val="24"/>
              </w:rPr>
              <w:t xml:space="preserve">Regresas – </w:t>
            </w:r>
            <w:r>
              <w:rPr>
                <w:rFonts w:ascii="Times New Roman" w:hAnsi="Times New Roman"/>
                <w:i/>
                <w:color w:val="000000"/>
                <w:sz w:val="24"/>
                <w:szCs w:val="24"/>
              </w:rPr>
              <w:t>PGF2</w:t>
            </w:r>
            <w:r w:rsidRPr="00F7467F">
              <w:rPr>
                <w:rFonts w:ascii="Times New Roman" w:hAnsi="Times New Roman"/>
                <w:i/>
                <w:color w:val="000000"/>
                <w:sz w:val="24"/>
                <w:szCs w:val="24"/>
              </w:rPr>
              <w:t xml:space="preserve"> priemonės valdytojo teisė pagal sąskaitą</w:t>
            </w:r>
            <w:r>
              <w:rPr>
                <w:rFonts w:ascii="Times New Roman" w:hAnsi="Times New Roman"/>
                <w:sz w:val="24"/>
                <w:szCs w:val="24"/>
              </w:rPr>
              <w:t xml:space="preserve"> </w:t>
            </w:r>
            <w:r w:rsidRPr="00F7467F">
              <w:rPr>
                <w:rFonts w:ascii="Times New Roman" w:hAnsi="Times New Roman"/>
                <w:i/>
                <w:color w:val="000000"/>
                <w:sz w:val="24"/>
                <w:szCs w:val="24"/>
              </w:rPr>
              <w:t>faktūrą perimtą reikalavimą į pirkėjo įsiskolinimą grąžinti MVĮ, kuri be išlygų privalo grąžintą Reikalavimą priimti ir įvykdyti visus su Reikalavimo grąžinimu susijusius įsipareigojimus</w:t>
            </w:r>
          </w:p>
        </w:tc>
      </w:tr>
      <w:tr w:rsidR="00035106" w:rsidRPr="00B751E6" w14:paraId="5E1B087E" w14:textId="77777777" w:rsidTr="00D95057">
        <w:tc>
          <w:tcPr>
            <w:tcW w:w="2030" w:type="dxa"/>
            <w:tcBorders>
              <w:bottom w:val="single" w:sz="4" w:space="0" w:color="000000"/>
            </w:tcBorders>
          </w:tcPr>
          <w:p w14:paraId="6D69401E" w14:textId="77777777" w:rsidR="00035106" w:rsidRDefault="00035106" w:rsidP="009873E8">
            <w:pPr>
              <w:autoSpaceDE w:val="0"/>
              <w:autoSpaceDN w:val="0"/>
              <w:spacing w:after="0" w:line="240" w:lineRule="auto"/>
              <w:contextualSpacing/>
              <w:rPr>
                <w:rFonts w:ascii="Times New Roman" w:hAnsi="Times New Roman"/>
                <w:b/>
                <w:color w:val="000000"/>
                <w:sz w:val="24"/>
                <w:szCs w:val="24"/>
              </w:rPr>
            </w:pPr>
            <w:r>
              <w:rPr>
                <w:rFonts w:ascii="Times New Roman" w:hAnsi="Times New Roman"/>
                <w:b/>
                <w:color w:val="000000"/>
                <w:sz w:val="24"/>
                <w:szCs w:val="24"/>
              </w:rPr>
              <w:t>Probleminis Faktoringo sandoris</w:t>
            </w:r>
          </w:p>
        </w:tc>
        <w:tc>
          <w:tcPr>
            <w:tcW w:w="7321" w:type="dxa"/>
            <w:tcBorders>
              <w:bottom w:val="single" w:sz="4" w:space="0" w:color="000000"/>
            </w:tcBorders>
          </w:tcPr>
          <w:p w14:paraId="79CDB26F" w14:textId="77777777" w:rsidR="00035106" w:rsidRPr="00B801F9"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Faktoringo sandoris</w:t>
            </w:r>
            <w:r w:rsidRPr="00B801F9">
              <w:rPr>
                <w:rFonts w:ascii="Times New Roman" w:hAnsi="Times New Roman"/>
                <w:sz w:val="24"/>
                <w:szCs w:val="24"/>
              </w:rPr>
              <w:t xml:space="preserve"> laikoma</w:t>
            </w:r>
            <w:r>
              <w:rPr>
                <w:rFonts w:ascii="Times New Roman" w:hAnsi="Times New Roman"/>
                <w:sz w:val="24"/>
                <w:szCs w:val="24"/>
              </w:rPr>
              <w:t>s</w:t>
            </w:r>
            <w:r w:rsidRPr="00B801F9">
              <w:rPr>
                <w:rFonts w:ascii="Times New Roman" w:hAnsi="Times New Roman"/>
                <w:sz w:val="24"/>
                <w:szCs w:val="24"/>
              </w:rPr>
              <w:t xml:space="preserve"> </w:t>
            </w:r>
            <w:r>
              <w:rPr>
                <w:rFonts w:ascii="Times New Roman" w:hAnsi="Times New Roman"/>
                <w:sz w:val="24"/>
                <w:szCs w:val="24"/>
              </w:rPr>
              <w:t>Probleminiu Faktoringo sandoriu</w:t>
            </w:r>
            <w:r w:rsidRPr="00B801F9">
              <w:rPr>
                <w:rFonts w:ascii="Times New Roman" w:hAnsi="Times New Roman"/>
                <w:sz w:val="24"/>
                <w:szCs w:val="24"/>
              </w:rPr>
              <w:t xml:space="preserve"> </w:t>
            </w:r>
            <w:r>
              <w:rPr>
                <w:rFonts w:ascii="Times New Roman" w:hAnsi="Times New Roman"/>
                <w:sz w:val="24"/>
                <w:szCs w:val="24"/>
              </w:rPr>
              <w:t>tada</w:t>
            </w:r>
            <w:r w:rsidRPr="00B801F9">
              <w:rPr>
                <w:rFonts w:ascii="Times New Roman" w:hAnsi="Times New Roman"/>
                <w:sz w:val="24"/>
                <w:szCs w:val="24"/>
              </w:rPr>
              <w:t>, kai:</w:t>
            </w:r>
          </w:p>
          <w:p w14:paraId="6343501F" w14:textId="77777777" w:rsidR="00035106" w:rsidRDefault="00035106" w:rsidP="00035106">
            <w:pPr>
              <w:keepNext/>
              <w:numPr>
                <w:ilvl w:val="0"/>
                <w:numId w:val="18"/>
              </w:numPr>
              <w:tabs>
                <w:tab w:val="left" w:pos="359"/>
              </w:tabs>
              <w:autoSpaceDE w:val="0"/>
              <w:autoSpaceDN w:val="0"/>
              <w:spacing w:after="0" w:line="240" w:lineRule="auto"/>
              <w:ind w:left="0" w:firstLine="0"/>
              <w:contextualSpacing/>
              <w:jc w:val="both"/>
              <w:rPr>
                <w:rFonts w:ascii="Times New Roman" w:hAnsi="Times New Roman"/>
                <w:sz w:val="24"/>
                <w:szCs w:val="24"/>
              </w:rPr>
            </w:pPr>
            <w:r w:rsidRPr="00C84EA3">
              <w:rPr>
                <w:rFonts w:ascii="Times New Roman" w:hAnsi="Times New Roman"/>
                <w:sz w:val="24"/>
                <w:szCs w:val="24"/>
              </w:rPr>
              <w:t>pirkėjui pagal sąskaitą faktūrą</w:t>
            </w:r>
            <w:r>
              <w:rPr>
                <w:rFonts w:ascii="Times New Roman" w:hAnsi="Times New Roman"/>
                <w:sz w:val="24"/>
                <w:szCs w:val="24"/>
              </w:rPr>
              <w:t xml:space="preserve">, pagal kurią </w:t>
            </w:r>
            <w:r w:rsidRPr="00A132D6">
              <w:rPr>
                <w:rFonts w:ascii="Times New Roman" w:hAnsi="Times New Roman"/>
                <w:sz w:val="24"/>
                <w:szCs w:val="24"/>
              </w:rPr>
              <w:t xml:space="preserve">reikalavimo teisės yra perleistos </w:t>
            </w:r>
            <w:r>
              <w:rPr>
                <w:rFonts w:ascii="Times New Roman" w:hAnsi="Times New Roman"/>
                <w:sz w:val="24"/>
                <w:szCs w:val="24"/>
              </w:rPr>
              <w:t>PGF2</w:t>
            </w:r>
            <w:r w:rsidRPr="00A132D6">
              <w:rPr>
                <w:rFonts w:ascii="Times New Roman" w:hAnsi="Times New Roman"/>
                <w:sz w:val="24"/>
                <w:szCs w:val="24"/>
              </w:rPr>
              <w:t xml:space="preserve"> priemonės valdytojui, </w:t>
            </w:r>
            <w:r w:rsidRPr="00C84EA3">
              <w:rPr>
                <w:rFonts w:ascii="Times New Roman" w:hAnsi="Times New Roman"/>
                <w:sz w:val="24"/>
                <w:szCs w:val="24"/>
              </w:rPr>
              <w:t xml:space="preserve">neatsiskaičius su </w:t>
            </w:r>
            <w:r>
              <w:rPr>
                <w:rFonts w:ascii="Times New Roman" w:hAnsi="Times New Roman"/>
                <w:sz w:val="24"/>
                <w:szCs w:val="24"/>
              </w:rPr>
              <w:t>PGF2</w:t>
            </w:r>
            <w:r w:rsidRPr="00C84EA3">
              <w:rPr>
                <w:rFonts w:ascii="Times New Roman" w:hAnsi="Times New Roman"/>
                <w:sz w:val="24"/>
                <w:szCs w:val="24"/>
              </w:rPr>
              <w:t xml:space="preserve"> priemonės valdytoju </w:t>
            </w:r>
            <w:r>
              <w:rPr>
                <w:rFonts w:ascii="Times New Roman" w:hAnsi="Times New Roman"/>
                <w:sz w:val="24"/>
                <w:szCs w:val="24"/>
              </w:rPr>
              <w:t xml:space="preserve">per </w:t>
            </w:r>
            <w:r w:rsidRPr="00A132D6">
              <w:rPr>
                <w:rFonts w:ascii="Times New Roman" w:hAnsi="Times New Roman"/>
                <w:sz w:val="24"/>
                <w:szCs w:val="24"/>
              </w:rPr>
              <w:t xml:space="preserve">apmokėjimo terminą, kuris negali būti ilgesnis nei Maksimalus mokėjimo atidėjimo pirkėjams terminas, </w:t>
            </w:r>
            <w:r w:rsidRPr="00BB7A7D">
              <w:rPr>
                <w:rFonts w:ascii="Times New Roman" w:hAnsi="Times New Roman"/>
                <w:sz w:val="24"/>
                <w:szCs w:val="24"/>
              </w:rPr>
              <w:t xml:space="preserve">ir </w:t>
            </w:r>
            <w:r>
              <w:rPr>
                <w:rFonts w:ascii="Times New Roman" w:hAnsi="Times New Roman"/>
                <w:sz w:val="24"/>
                <w:szCs w:val="24"/>
              </w:rPr>
              <w:t>PGF2</w:t>
            </w:r>
            <w:r w:rsidRPr="00BB7A7D">
              <w:rPr>
                <w:rFonts w:ascii="Times New Roman" w:hAnsi="Times New Roman"/>
                <w:sz w:val="24"/>
                <w:szCs w:val="24"/>
              </w:rPr>
              <w:t xml:space="preserve"> priemonės valdytojui kreipusis raštu į MVĮ dėl regreso, MVĮ neatsiskaito su </w:t>
            </w:r>
            <w:r>
              <w:rPr>
                <w:rFonts w:ascii="Times New Roman" w:hAnsi="Times New Roman"/>
                <w:sz w:val="24"/>
                <w:szCs w:val="24"/>
              </w:rPr>
              <w:t>PGF2</w:t>
            </w:r>
            <w:r w:rsidRPr="00BB7A7D">
              <w:rPr>
                <w:rFonts w:ascii="Times New Roman" w:hAnsi="Times New Roman"/>
                <w:sz w:val="24"/>
                <w:szCs w:val="24"/>
              </w:rPr>
              <w:t> priemonės</w:t>
            </w:r>
            <w:r w:rsidRPr="00DD7066">
              <w:rPr>
                <w:rFonts w:ascii="Times New Roman" w:hAnsi="Times New Roman"/>
                <w:sz w:val="24"/>
                <w:szCs w:val="24"/>
              </w:rPr>
              <w:t xml:space="preserve"> valdytoju per 90 kalendorinių dienų po šio kreipimosi; ir (arba)</w:t>
            </w:r>
          </w:p>
          <w:p w14:paraId="2865A295" w14:textId="77777777" w:rsidR="00035106" w:rsidRPr="00DD7066" w:rsidRDefault="00035106" w:rsidP="00035106">
            <w:pPr>
              <w:keepNext/>
              <w:numPr>
                <w:ilvl w:val="0"/>
                <w:numId w:val="18"/>
              </w:numPr>
              <w:tabs>
                <w:tab w:val="left" w:pos="359"/>
              </w:tabs>
              <w:autoSpaceDE w:val="0"/>
              <w:autoSpaceDN w:val="0"/>
              <w:spacing w:after="0" w:line="240" w:lineRule="auto"/>
              <w:ind w:left="-45" w:firstLine="0"/>
              <w:contextualSpacing/>
              <w:jc w:val="both"/>
              <w:rPr>
                <w:rFonts w:ascii="Times New Roman" w:hAnsi="Times New Roman"/>
                <w:sz w:val="24"/>
                <w:szCs w:val="24"/>
              </w:rPr>
            </w:pPr>
            <w:r>
              <w:rPr>
                <w:rFonts w:ascii="Times New Roman" w:hAnsi="Times New Roman"/>
                <w:sz w:val="24"/>
                <w:szCs w:val="24"/>
              </w:rPr>
              <w:t>PGF2</w:t>
            </w:r>
            <w:r w:rsidRPr="00DD7066">
              <w:rPr>
                <w:rFonts w:ascii="Times New Roman" w:hAnsi="Times New Roman"/>
                <w:sz w:val="24"/>
                <w:szCs w:val="24"/>
              </w:rPr>
              <w:t xml:space="preserve"> priemonės valdytojas, veikdamas pagal vidaus taisykles ir Faktoringo sandorio sutarties nuostatas, nustato riziką, kad MVĮ nesugebės atsiskaityti su </w:t>
            </w:r>
            <w:r>
              <w:rPr>
                <w:rFonts w:ascii="Times New Roman" w:hAnsi="Times New Roman"/>
                <w:sz w:val="24"/>
                <w:szCs w:val="24"/>
              </w:rPr>
              <w:t>PGF2</w:t>
            </w:r>
            <w:r w:rsidRPr="00DD7066">
              <w:rPr>
                <w:rFonts w:ascii="Times New Roman" w:hAnsi="Times New Roman"/>
                <w:sz w:val="24"/>
                <w:szCs w:val="24"/>
              </w:rPr>
              <w:t xml:space="preserve"> priemonės valdytoju, ir, </w:t>
            </w:r>
            <w:r>
              <w:rPr>
                <w:rFonts w:ascii="Times New Roman" w:hAnsi="Times New Roman"/>
                <w:sz w:val="24"/>
                <w:szCs w:val="24"/>
              </w:rPr>
              <w:t>PGF2</w:t>
            </w:r>
            <w:r w:rsidRPr="00DD7066">
              <w:rPr>
                <w:rFonts w:ascii="Times New Roman" w:hAnsi="Times New Roman"/>
                <w:sz w:val="24"/>
                <w:szCs w:val="24"/>
              </w:rPr>
              <w:t xml:space="preserve"> priemonės valdytojui raštu kreipusis į MVĮ dėl regreso, MVĮ neatsiskaito su </w:t>
            </w:r>
            <w:r>
              <w:rPr>
                <w:rFonts w:ascii="Times New Roman" w:hAnsi="Times New Roman"/>
                <w:sz w:val="24"/>
                <w:szCs w:val="24"/>
              </w:rPr>
              <w:t>PGF2</w:t>
            </w:r>
            <w:r w:rsidRPr="00DD7066">
              <w:rPr>
                <w:rFonts w:ascii="Times New Roman" w:hAnsi="Times New Roman"/>
                <w:sz w:val="24"/>
                <w:szCs w:val="24"/>
              </w:rPr>
              <w:t xml:space="preserve"> priemonės valdytoju per 90 kalendorinių dienų po šio kreipimosi</w:t>
            </w:r>
          </w:p>
        </w:tc>
      </w:tr>
      <w:tr w:rsidR="00035106" w:rsidRPr="00B751E6" w14:paraId="136C54DE" w14:textId="77777777" w:rsidTr="00D95057">
        <w:tc>
          <w:tcPr>
            <w:tcW w:w="2030" w:type="dxa"/>
            <w:tcBorders>
              <w:bottom w:val="single" w:sz="4" w:space="0" w:color="000000"/>
            </w:tcBorders>
          </w:tcPr>
          <w:p w14:paraId="4E21A5DC" w14:textId="77777777" w:rsidR="00035106" w:rsidRPr="00F34D71" w:rsidRDefault="00035106" w:rsidP="009873E8">
            <w:pPr>
              <w:autoSpaceDE w:val="0"/>
              <w:autoSpaceDN w:val="0"/>
              <w:spacing w:after="0" w:line="240" w:lineRule="auto"/>
              <w:contextualSpacing/>
              <w:rPr>
                <w:rFonts w:ascii="Times New Roman" w:hAnsi="Times New Roman"/>
                <w:b/>
                <w:color w:val="000000"/>
                <w:sz w:val="24"/>
                <w:szCs w:val="24"/>
              </w:rPr>
            </w:pPr>
            <w:r w:rsidRPr="00F34D71">
              <w:rPr>
                <w:rFonts w:ascii="Times New Roman" w:hAnsi="Times New Roman"/>
                <w:b/>
                <w:color w:val="000000"/>
                <w:sz w:val="24"/>
                <w:szCs w:val="24"/>
              </w:rPr>
              <w:t>M</w:t>
            </w:r>
            <w:r w:rsidRPr="00F34D71">
              <w:rPr>
                <w:rFonts w:ascii="Times New Roman" w:hAnsi="Times New Roman"/>
                <w:b/>
                <w:sz w:val="24"/>
                <w:szCs w:val="24"/>
              </w:rPr>
              <w:t>aksimalus mokėjimo atidėjimo pirkėjams terminas</w:t>
            </w:r>
          </w:p>
        </w:tc>
        <w:tc>
          <w:tcPr>
            <w:tcW w:w="7321" w:type="dxa"/>
            <w:tcBorders>
              <w:bottom w:val="single" w:sz="4" w:space="0" w:color="000000"/>
            </w:tcBorders>
          </w:tcPr>
          <w:p w14:paraId="7BE4CBD3"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Mokėjimo atidėjimo pirkėjui terminas ne ilgesnis </w:t>
            </w:r>
            <w:r w:rsidRPr="00246B9F">
              <w:rPr>
                <w:rFonts w:ascii="Times New Roman" w:hAnsi="Times New Roman"/>
                <w:sz w:val="24"/>
                <w:szCs w:val="24"/>
              </w:rPr>
              <w:t xml:space="preserve">kaip </w:t>
            </w:r>
            <w:r w:rsidRPr="00246B9F">
              <w:rPr>
                <w:rFonts w:ascii="Times New Roman" w:hAnsi="Times New Roman"/>
                <w:sz w:val="24"/>
              </w:rPr>
              <w:t>180 kalendorinių dienų</w:t>
            </w:r>
          </w:p>
        </w:tc>
      </w:tr>
      <w:tr w:rsidR="00035106" w:rsidRPr="00B751E6" w14:paraId="6A272758" w14:textId="77777777" w:rsidTr="00D95057">
        <w:tc>
          <w:tcPr>
            <w:tcW w:w="2030" w:type="dxa"/>
            <w:tcBorders>
              <w:bottom w:val="single" w:sz="4" w:space="0" w:color="000000"/>
            </w:tcBorders>
          </w:tcPr>
          <w:p w14:paraId="3E007BD3" w14:textId="77777777" w:rsidR="00035106" w:rsidRPr="00D339E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Išmoka</w:t>
            </w:r>
          </w:p>
        </w:tc>
        <w:tc>
          <w:tcPr>
            <w:tcW w:w="7321" w:type="dxa"/>
            <w:tcBorders>
              <w:bottom w:val="single" w:sz="4" w:space="0" w:color="000000"/>
            </w:tcBorders>
          </w:tcPr>
          <w:p w14:paraId="339B29D1"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Pagal Probleminį Faktoringo sandorį PGF2 priemonės valdytojui apskaičiuota ir išmokama garantuota </w:t>
            </w:r>
            <w:r w:rsidRPr="00B801F9">
              <w:rPr>
                <w:rFonts w:ascii="Times New Roman" w:hAnsi="Times New Roman"/>
                <w:sz w:val="24"/>
                <w:szCs w:val="24"/>
              </w:rPr>
              <w:t>Nuos</w:t>
            </w:r>
            <w:r>
              <w:rPr>
                <w:rFonts w:ascii="Times New Roman" w:hAnsi="Times New Roman"/>
                <w:sz w:val="24"/>
                <w:szCs w:val="24"/>
              </w:rPr>
              <w:t>tolio dalis.</w:t>
            </w:r>
          </w:p>
          <w:p w14:paraId="629FFA6F"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PGF2</w:t>
            </w:r>
            <w:r w:rsidRPr="009C379F">
              <w:rPr>
                <w:rFonts w:ascii="Times New Roman" w:hAnsi="Times New Roman"/>
                <w:sz w:val="24"/>
                <w:szCs w:val="24"/>
              </w:rPr>
              <w:t xml:space="preserve"> priemonės valdytojas </w:t>
            </w:r>
            <w:r>
              <w:rPr>
                <w:rFonts w:ascii="Times New Roman" w:hAnsi="Times New Roman"/>
                <w:sz w:val="24"/>
                <w:szCs w:val="24"/>
              </w:rPr>
              <w:t>dėl I</w:t>
            </w:r>
            <w:r w:rsidRPr="009C379F">
              <w:rPr>
                <w:rFonts w:ascii="Times New Roman" w:hAnsi="Times New Roman"/>
                <w:sz w:val="24"/>
                <w:szCs w:val="24"/>
              </w:rPr>
              <w:t xml:space="preserve">šmokos gali kreiptis į „Invegą“ </w:t>
            </w:r>
            <w:r>
              <w:rPr>
                <w:rFonts w:ascii="Times New Roman" w:hAnsi="Times New Roman"/>
                <w:sz w:val="24"/>
                <w:szCs w:val="24"/>
              </w:rPr>
              <w:t>pagal</w:t>
            </w:r>
            <w:r w:rsidRPr="009C379F">
              <w:rPr>
                <w:rFonts w:ascii="Times New Roman" w:hAnsi="Times New Roman"/>
                <w:sz w:val="24"/>
                <w:szCs w:val="24"/>
              </w:rPr>
              <w:t xml:space="preserve"> kiekvien</w:t>
            </w:r>
            <w:r>
              <w:rPr>
                <w:rFonts w:ascii="Times New Roman" w:hAnsi="Times New Roman"/>
                <w:sz w:val="24"/>
                <w:szCs w:val="24"/>
              </w:rPr>
              <w:t>ą</w:t>
            </w:r>
            <w:r w:rsidRPr="009C379F">
              <w:rPr>
                <w:rFonts w:ascii="Times New Roman" w:hAnsi="Times New Roman"/>
                <w:sz w:val="24"/>
                <w:szCs w:val="24"/>
              </w:rPr>
              <w:t xml:space="preserve"> Problemin</w:t>
            </w:r>
            <w:r>
              <w:rPr>
                <w:rFonts w:ascii="Times New Roman" w:hAnsi="Times New Roman"/>
                <w:sz w:val="24"/>
                <w:szCs w:val="24"/>
              </w:rPr>
              <w:t>į</w:t>
            </w:r>
            <w:r w:rsidRPr="009C379F">
              <w:rPr>
                <w:rFonts w:ascii="Times New Roman" w:hAnsi="Times New Roman"/>
                <w:sz w:val="24"/>
                <w:szCs w:val="24"/>
              </w:rPr>
              <w:t xml:space="preserve"> </w:t>
            </w:r>
            <w:r>
              <w:rPr>
                <w:rFonts w:ascii="Times New Roman" w:hAnsi="Times New Roman"/>
                <w:sz w:val="24"/>
                <w:szCs w:val="24"/>
              </w:rPr>
              <w:t xml:space="preserve">Faktoringo sandorį praėjus </w:t>
            </w:r>
            <w:r w:rsidRPr="00ED6389">
              <w:rPr>
                <w:rFonts w:ascii="Times New Roman" w:hAnsi="Times New Roman"/>
                <w:sz w:val="24"/>
              </w:rPr>
              <w:t xml:space="preserve">90 </w:t>
            </w:r>
            <w:r>
              <w:rPr>
                <w:rFonts w:ascii="Times New Roman" w:hAnsi="Times New Roman"/>
                <w:sz w:val="24"/>
              </w:rPr>
              <w:t xml:space="preserve">kalendorinių </w:t>
            </w:r>
            <w:r>
              <w:rPr>
                <w:rFonts w:ascii="Times New Roman" w:hAnsi="Times New Roman"/>
                <w:sz w:val="24"/>
                <w:szCs w:val="24"/>
              </w:rPr>
              <w:t>dienų nuo kreipimosi raštu į MVĮ dėl skolos sumokėjimo.</w:t>
            </w:r>
          </w:p>
          <w:p w14:paraId="2E57676A" w14:textId="04A74128"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PGF2</w:t>
            </w:r>
            <w:r w:rsidRPr="009C379F">
              <w:rPr>
                <w:rFonts w:ascii="Times New Roman" w:hAnsi="Times New Roman"/>
                <w:sz w:val="24"/>
                <w:szCs w:val="24"/>
              </w:rPr>
              <w:t xml:space="preserve"> priemonės valdytojui pateikus prašymą mokėti išmoką, išmoka atliekama </w:t>
            </w:r>
            <w:r w:rsidRPr="00246B9F">
              <w:rPr>
                <w:rFonts w:ascii="Times New Roman" w:hAnsi="Times New Roman"/>
                <w:sz w:val="24"/>
                <w:szCs w:val="24"/>
              </w:rPr>
              <w:t xml:space="preserve">per </w:t>
            </w:r>
            <w:r w:rsidRPr="00216161">
              <w:rPr>
                <w:rFonts w:ascii="Times New Roman" w:hAnsi="Times New Roman"/>
                <w:sz w:val="24"/>
              </w:rPr>
              <w:t>3</w:t>
            </w:r>
            <w:r w:rsidRPr="00246B9F">
              <w:rPr>
                <w:rFonts w:ascii="Times New Roman" w:hAnsi="Times New Roman"/>
                <w:sz w:val="24"/>
              </w:rPr>
              <w:t>0 kalendorinių dienų</w:t>
            </w:r>
            <w:r w:rsidRPr="009C379F">
              <w:rPr>
                <w:rFonts w:ascii="Times New Roman" w:hAnsi="Times New Roman"/>
                <w:sz w:val="24"/>
                <w:szCs w:val="24"/>
              </w:rPr>
              <w:t xml:space="preserve"> nuo </w:t>
            </w:r>
            <w:r w:rsidR="0076382D">
              <w:rPr>
                <w:rFonts w:ascii="Times New Roman" w:hAnsi="Times New Roman"/>
                <w:sz w:val="24"/>
                <w:szCs w:val="24"/>
              </w:rPr>
              <w:t xml:space="preserve">el. būdu atsiųsto pasirašyto </w:t>
            </w:r>
            <w:r w:rsidRPr="009C379F">
              <w:rPr>
                <w:rFonts w:ascii="Times New Roman" w:hAnsi="Times New Roman"/>
                <w:sz w:val="24"/>
                <w:szCs w:val="24"/>
              </w:rPr>
              <w:t>prašymo</w:t>
            </w:r>
            <w:r w:rsidR="0076382D">
              <w:rPr>
                <w:rFonts w:ascii="Times New Roman" w:hAnsi="Times New Roman"/>
                <w:sz w:val="24"/>
                <w:szCs w:val="24"/>
              </w:rPr>
              <w:t>,</w:t>
            </w:r>
            <w:r w:rsidRPr="009C379F">
              <w:rPr>
                <w:rFonts w:ascii="Times New Roman" w:hAnsi="Times New Roman"/>
                <w:sz w:val="24"/>
                <w:szCs w:val="24"/>
              </w:rPr>
              <w:t xml:space="preserve"> gavimo dienos „Invegoje“</w:t>
            </w:r>
            <w:r>
              <w:rPr>
                <w:rFonts w:ascii="Times New Roman" w:hAnsi="Times New Roman"/>
                <w:sz w:val="24"/>
                <w:szCs w:val="24"/>
              </w:rPr>
              <w:t xml:space="preserve"> </w:t>
            </w:r>
          </w:p>
        </w:tc>
      </w:tr>
      <w:tr w:rsidR="00035106" w:rsidRPr="00B751E6" w14:paraId="458D737D" w14:textId="77777777" w:rsidTr="00D95057">
        <w:tc>
          <w:tcPr>
            <w:tcW w:w="2030" w:type="dxa"/>
            <w:tcBorders>
              <w:bottom w:val="single" w:sz="4" w:space="0" w:color="000000"/>
            </w:tcBorders>
          </w:tcPr>
          <w:p w14:paraId="7B1D5300" w14:textId="77777777" w:rsidR="00035106"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lastRenderedPageBreak/>
              <w:t>Didžiausia išmokų suma</w:t>
            </w:r>
          </w:p>
        </w:tc>
        <w:tc>
          <w:tcPr>
            <w:tcW w:w="7321" w:type="dxa"/>
            <w:tcBorders>
              <w:bottom w:val="single" w:sz="4" w:space="0" w:color="000000"/>
            </w:tcBorders>
          </w:tcPr>
          <w:p w14:paraId="2F0626C1"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Didžiausia išmokų suma, kurią atrinktas PGF2 priemonės valdytojas galėtų gauti pagal sutartį, sudarytą su „Invega“.</w:t>
            </w:r>
          </w:p>
          <w:p w14:paraId="1A09886A"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Suma </w:t>
            </w:r>
            <w:r>
              <w:rPr>
                <w:rFonts w:ascii="Times New Roman" w:hAnsi="Times New Roman"/>
                <w:sz w:val="24"/>
                <w:szCs w:val="24"/>
              </w:rPr>
              <w:t>ap</w:t>
            </w:r>
            <w:r w:rsidRPr="007E78D7">
              <w:rPr>
                <w:rFonts w:ascii="Times New Roman" w:hAnsi="Times New Roman"/>
                <w:sz w:val="24"/>
                <w:szCs w:val="24"/>
              </w:rPr>
              <w:t>skaičiuojama naudojant formulę:</w:t>
            </w:r>
          </w:p>
          <w:p w14:paraId="7AC31D3A"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I = </w:t>
            </w:r>
            <w:r>
              <w:rPr>
                <w:rFonts w:ascii="Times New Roman" w:hAnsi="Times New Roman"/>
                <w:sz w:val="24"/>
                <w:szCs w:val="24"/>
              </w:rPr>
              <w:t>A</w:t>
            </w:r>
            <w:r w:rsidRPr="007E78D7">
              <w:rPr>
                <w:rFonts w:ascii="Times New Roman" w:hAnsi="Times New Roman"/>
                <w:sz w:val="24"/>
                <w:szCs w:val="24"/>
              </w:rPr>
              <w:t xml:space="preserve"> x G x </w:t>
            </w:r>
            <w:r>
              <w:rPr>
                <w:rFonts w:ascii="Times New Roman" w:hAnsi="Times New Roman"/>
                <w:sz w:val="24"/>
                <w:szCs w:val="24"/>
              </w:rPr>
              <w:t>R</w:t>
            </w:r>
            <w:r w:rsidRPr="007E78D7">
              <w:rPr>
                <w:rFonts w:ascii="Times New Roman" w:hAnsi="Times New Roman"/>
                <w:sz w:val="24"/>
                <w:szCs w:val="24"/>
              </w:rPr>
              <w:t>, kur:</w:t>
            </w:r>
          </w:p>
          <w:p w14:paraId="2A45284B"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I – Didžiausia išmokų suma;</w:t>
            </w:r>
          </w:p>
          <w:p w14:paraId="3A278037" w14:textId="77777777" w:rsidR="00035106" w:rsidRPr="008A0D89"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A</w:t>
            </w:r>
            <w:r w:rsidRPr="007E78D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Cs/>
                <w:sz w:val="24"/>
                <w:szCs w:val="24"/>
              </w:rPr>
              <w:t xml:space="preserve">į Portfelį faktiškai įtrauktų Faktoringo sandorių Faktoringo avansų suma, išmokėta MVĮ, neviršijanti </w:t>
            </w:r>
            <w:r w:rsidRPr="008A0D89">
              <w:rPr>
                <w:rFonts w:ascii="Times New Roman" w:hAnsi="Times New Roman"/>
                <w:bCs/>
                <w:sz w:val="24"/>
                <w:szCs w:val="24"/>
              </w:rPr>
              <w:t>Faktoringo limit</w:t>
            </w:r>
            <w:r>
              <w:rPr>
                <w:rFonts w:ascii="Times New Roman" w:hAnsi="Times New Roman"/>
                <w:bCs/>
                <w:sz w:val="24"/>
                <w:szCs w:val="24"/>
              </w:rPr>
              <w:t>ų</w:t>
            </w:r>
            <w:r w:rsidRPr="008A0D89">
              <w:rPr>
                <w:rFonts w:ascii="Times New Roman" w:hAnsi="Times New Roman"/>
                <w:sz w:val="24"/>
                <w:szCs w:val="24"/>
              </w:rPr>
              <w:t>;</w:t>
            </w:r>
          </w:p>
          <w:p w14:paraId="186E95F3" w14:textId="77777777" w:rsidR="00035106" w:rsidRPr="007E78D7" w:rsidRDefault="00035106" w:rsidP="009873E8">
            <w:pPr>
              <w:keepNext/>
              <w:autoSpaceDE w:val="0"/>
              <w:autoSpaceDN w:val="0"/>
              <w:spacing w:after="0" w:line="240" w:lineRule="auto"/>
              <w:contextualSpacing/>
              <w:jc w:val="both"/>
              <w:rPr>
                <w:rFonts w:ascii="Times New Roman" w:hAnsi="Times New Roman"/>
                <w:sz w:val="24"/>
                <w:szCs w:val="24"/>
              </w:rPr>
            </w:pPr>
            <w:r w:rsidRPr="008A0D89">
              <w:rPr>
                <w:rFonts w:ascii="Times New Roman" w:hAnsi="Times New Roman"/>
                <w:sz w:val="24"/>
                <w:szCs w:val="24"/>
              </w:rPr>
              <w:t>G – Garantijos dydis (80 proc.);</w:t>
            </w:r>
          </w:p>
          <w:p w14:paraId="657B4831"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R</w:t>
            </w:r>
            <w:r w:rsidRPr="007E78D7">
              <w:rPr>
                <w:rFonts w:ascii="Times New Roman" w:hAnsi="Times New Roman"/>
                <w:sz w:val="24"/>
                <w:szCs w:val="24"/>
              </w:rPr>
              <w:t xml:space="preserve"> –</w:t>
            </w:r>
            <w:r>
              <w:rPr>
                <w:rFonts w:ascii="Times New Roman" w:hAnsi="Times New Roman"/>
                <w:sz w:val="24"/>
                <w:szCs w:val="24"/>
              </w:rPr>
              <w:t xml:space="preserve"> V</w:t>
            </w:r>
            <w:r w:rsidRPr="007E78D7">
              <w:rPr>
                <w:rFonts w:ascii="Times New Roman" w:hAnsi="Times New Roman"/>
                <w:sz w:val="24"/>
                <w:szCs w:val="24"/>
              </w:rPr>
              <w:t>iršutinės ribos norm</w:t>
            </w:r>
            <w:r>
              <w:rPr>
                <w:rFonts w:ascii="Times New Roman" w:hAnsi="Times New Roman"/>
                <w:sz w:val="24"/>
                <w:szCs w:val="24"/>
              </w:rPr>
              <w:t>os dydis (20 </w:t>
            </w:r>
            <w:r w:rsidRPr="007E78D7">
              <w:rPr>
                <w:rFonts w:ascii="Times New Roman" w:hAnsi="Times New Roman"/>
                <w:sz w:val="24"/>
                <w:szCs w:val="24"/>
              </w:rPr>
              <w:t>proc.)</w:t>
            </w:r>
          </w:p>
        </w:tc>
      </w:tr>
      <w:tr w:rsidR="00035106" w:rsidRPr="00B751E6" w14:paraId="40ECA153" w14:textId="77777777" w:rsidTr="00D95057">
        <w:tc>
          <w:tcPr>
            <w:tcW w:w="2030" w:type="dxa"/>
            <w:tcBorders>
              <w:bottom w:val="single" w:sz="4" w:space="0" w:color="000000"/>
            </w:tcBorders>
          </w:tcPr>
          <w:p w14:paraId="5E946DA2"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sidRPr="007E78D7">
              <w:rPr>
                <w:rFonts w:ascii="Times New Roman" w:hAnsi="Times New Roman"/>
                <w:b/>
                <w:sz w:val="24"/>
                <w:szCs w:val="24"/>
              </w:rPr>
              <w:t>Portfelio priežiūra ir skolų išieškojimas</w:t>
            </w:r>
          </w:p>
        </w:tc>
        <w:tc>
          <w:tcPr>
            <w:tcW w:w="7321" w:type="dxa"/>
            <w:tcBorders>
              <w:bottom w:val="single" w:sz="4" w:space="0" w:color="000000"/>
            </w:tcBorders>
          </w:tcPr>
          <w:p w14:paraId="7F3EB6EA" w14:textId="77777777" w:rsidR="00035106" w:rsidRPr="005771B8"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PGF2</w:t>
            </w:r>
            <w:r w:rsidRPr="007E78D7">
              <w:rPr>
                <w:rFonts w:ascii="Times New Roman" w:hAnsi="Times New Roman"/>
                <w:sz w:val="24"/>
                <w:szCs w:val="24"/>
              </w:rPr>
              <w:t xml:space="preserve"> priemonės valdytojas vykdo Portfelio priežiūrą, stebėseną ir skolų iš</w:t>
            </w:r>
            <w:r>
              <w:rPr>
                <w:rFonts w:ascii="Times New Roman" w:hAnsi="Times New Roman"/>
                <w:sz w:val="24"/>
                <w:szCs w:val="24"/>
              </w:rPr>
              <w:t>ieškojimą. Skolų išieškojimą PGF2</w:t>
            </w:r>
            <w:r w:rsidRPr="007E78D7">
              <w:rPr>
                <w:rFonts w:ascii="Times New Roman" w:hAnsi="Times New Roman"/>
                <w:sz w:val="24"/>
                <w:szCs w:val="24"/>
              </w:rPr>
              <w:t xml:space="preserve"> priemonės valdytojas atlieka vadovaudamasis savo vidinėmis tvarkomis ir procedūromis.</w:t>
            </w:r>
            <w:r w:rsidRPr="00A90B3A">
              <w:rPr>
                <w:rFonts w:ascii="Times New Roman" w:hAnsi="Times New Roman"/>
                <w:sz w:val="24"/>
                <w:szCs w:val="24"/>
              </w:rPr>
              <w:t xml:space="preserve"> </w:t>
            </w:r>
            <w:r>
              <w:rPr>
                <w:rFonts w:ascii="Times New Roman" w:hAnsi="Times New Roman"/>
                <w:sz w:val="24"/>
                <w:szCs w:val="24"/>
              </w:rPr>
              <w:t>PGF2</w:t>
            </w:r>
            <w:r w:rsidRPr="00A90B3A">
              <w:rPr>
                <w:rFonts w:ascii="Times New Roman" w:hAnsi="Times New Roman"/>
                <w:sz w:val="24"/>
                <w:szCs w:val="24"/>
              </w:rPr>
              <w:t xml:space="preserve"> priemonės valdytojas </w:t>
            </w:r>
            <w:r>
              <w:rPr>
                <w:rFonts w:ascii="Times New Roman" w:hAnsi="Times New Roman"/>
                <w:sz w:val="24"/>
                <w:szCs w:val="24"/>
              </w:rPr>
              <w:t xml:space="preserve">pagal </w:t>
            </w:r>
            <w:r w:rsidRPr="00EB73A9">
              <w:rPr>
                <w:rFonts w:ascii="Times New Roman" w:hAnsi="Times New Roman"/>
                <w:sz w:val="24"/>
                <w:szCs w:val="24"/>
              </w:rPr>
              <w:t xml:space="preserve">Faktoringo sandorį gavęs Išmoką, turi dėti visas pastangas susigrąžinti </w:t>
            </w:r>
            <w:r w:rsidRPr="009A6760">
              <w:rPr>
                <w:rFonts w:ascii="Times New Roman" w:hAnsi="Times New Roman"/>
                <w:sz w:val="24"/>
                <w:szCs w:val="24"/>
              </w:rPr>
              <w:t>skolą,</w:t>
            </w:r>
            <w:r w:rsidRPr="00997BAC">
              <w:rPr>
                <w:rFonts w:ascii="Times New Roman" w:hAnsi="Times New Roman"/>
                <w:sz w:val="24"/>
                <w:szCs w:val="24"/>
              </w:rPr>
              <w:t xml:space="preserve"> realizuojant regreso teisę </w:t>
            </w:r>
            <w:r w:rsidRPr="00F34D71">
              <w:rPr>
                <w:rFonts w:ascii="Times New Roman" w:hAnsi="Times New Roman"/>
                <w:sz w:val="24"/>
                <w:szCs w:val="24"/>
              </w:rPr>
              <w:t xml:space="preserve">pagal Faktoringo sandorį. </w:t>
            </w:r>
            <w:r>
              <w:rPr>
                <w:rFonts w:ascii="Times New Roman" w:hAnsi="Times New Roman"/>
                <w:sz w:val="24"/>
                <w:szCs w:val="24"/>
              </w:rPr>
              <w:t>PGF2 </w:t>
            </w:r>
            <w:r w:rsidRPr="00F34D71">
              <w:rPr>
                <w:rFonts w:ascii="Times New Roman" w:hAnsi="Times New Roman"/>
                <w:sz w:val="24"/>
                <w:szCs w:val="24"/>
              </w:rPr>
              <w:t>priemonės valdytojas</w:t>
            </w:r>
            <w:r w:rsidRPr="00EB73A9">
              <w:rPr>
                <w:rFonts w:ascii="Times New Roman" w:hAnsi="Times New Roman"/>
                <w:sz w:val="24"/>
                <w:szCs w:val="24"/>
              </w:rPr>
              <w:t xml:space="preserve"> vykdo išieškojimą pagal visą Probleminio Faktoringo sandorio skolą, neatsižvelgiant į gautą </w:t>
            </w:r>
            <w:r>
              <w:rPr>
                <w:rFonts w:ascii="Times New Roman" w:hAnsi="Times New Roman"/>
                <w:sz w:val="24"/>
                <w:szCs w:val="24"/>
              </w:rPr>
              <w:t>I</w:t>
            </w:r>
            <w:r w:rsidRPr="00EB73A9">
              <w:rPr>
                <w:rFonts w:ascii="Times New Roman" w:hAnsi="Times New Roman"/>
                <w:sz w:val="24"/>
                <w:szCs w:val="24"/>
              </w:rPr>
              <w:t xml:space="preserve">šmoką. </w:t>
            </w:r>
            <w:r>
              <w:rPr>
                <w:rFonts w:ascii="Times New Roman" w:hAnsi="Times New Roman"/>
                <w:sz w:val="24"/>
                <w:szCs w:val="24"/>
              </w:rPr>
              <w:t>PGF2</w:t>
            </w:r>
            <w:r w:rsidRPr="00712477">
              <w:rPr>
                <w:rFonts w:ascii="Times New Roman" w:hAnsi="Times New Roman"/>
                <w:sz w:val="24"/>
                <w:szCs w:val="24"/>
              </w:rPr>
              <w:t xml:space="preserve"> priemonės valdytojui išieškojus skolą, pagal kurią buvo atlikta Išmoka, iš šios sumos atėmus išieškojimo išlaidas (atimamos tik </w:t>
            </w:r>
            <w:r>
              <w:rPr>
                <w:rFonts w:ascii="Times New Roman" w:hAnsi="Times New Roman"/>
                <w:sz w:val="24"/>
                <w:szCs w:val="24"/>
              </w:rPr>
              <w:t>PGF2</w:t>
            </w:r>
            <w:r w:rsidRPr="00712477">
              <w:rPr>
                <w:rFonts w:ascii="Times New Roman" w:hAnsi="Times New Roman"/>
                <w:sz w:val="24"/>
                <w:szCs w:val="24"/>
              </w:rPr>
              <w:t xml:space="preserve"> priemonės valdytojo tretiesiems asmenims faktiškai sumokėtos išieškojimo išlaidos), </w:t>
            </w:r>
            <w:r w:rsidRPr="0076040E">
              <w:rPr>
                <w:rFonts w:ascii="Times New Roman" w:hAnsi="Times New Roman"/>
                <w:i/>
                <w:sz w:val="24"/>
                <w:szCs w:val="24"/>
              </w:rPr>
              <w:t>pari passu</w:t>
            </w:r>
            <w:r w:rsidRPr="00712477">
              <w:rPr>
                <w:rFonts w:ascii="Times New Roman" w:hAnsi="Times New Roman"/>
                <w:sz w:val="24"/>
                <w:szCs w:val="24"/>
              </w:rPr>
              <w:t xml:space="preserve"> principu </w:t>
            </w:r>
            <w:r>
              <w:rPr>
                <w:rFonts w:ascii="Times New Roman" w:hAnsi="Times New Roman"/>
                <w:sz w:val="24"/>
                <w:szCs w:val="24"/>
              </w:rPr>
              <w:t>PGF2</w:t>
            </w:r>
            <w:r w:rsidRPr="00712477">
              <w:rPr>
                <w:rFonts w:ascii="Times New Roman" w:hAnsi="Times New Roman"/>
                <w:sz w:val="24"/>
                <w:szCs w:val="24"/>
              </w:rPr>
              <w:t xml:space="preserve">apskaičiuotą sumą, t. y. sumą, lygią 80 proc. nuo atgautos sumos, tačiau bet kuriuo atveju ne didesnę sumą nei „Invegos“ </w:t>
            </w:r>
            <w:r>
              <w:rPr>
                <w:rFonts w:ascii="Times New Roman" w:hAnsi="Times New Roman"/>
                <w:sz w:val="24"/>
                <w:szCs w:val="24"/>
              </w:rPr>
              <w:t>PGF2</w:t>
            </w:r>
            <w:r w:rsidRPr="00712477">
              <w:rPr>
                <w:rFonts w:ascii="Times New Roman" w:hAnsi="Times New Roman"/>
                <w:sz w:val="24"/>
                <w:szCs w:val="24"/>
              </w:rPr>
              <w:t xml:space="preserve"> priemonės valdytojui sumokėtą Garantijos pagal konkretų Faktoringo sandorį suma, </w:t>
            </w:r>
            <w:r>
              <w:rPr>
                <w:rFonts w:ascii="Times New Roman" w:hAnsi="Times New Roman"/>
                <w:sz w:val="24"/>
                <w:szCs w:val="24"/>
              </w:rPr>
              <w:t>PGF2 </w:t>
            </w:r>
            <w:r w:rsidRPr="00712477">
              <w:rPr>
                <w:rFonts w:ascii="Times New Roman" w:hAnsi="Times New Roman"/>
                <w:sz w:val="24"/>
                <w:szCs w:val="24"/>
              </w:rPr>
              <w:t>priemonės valdytojas perveda šią sumą į INVEGOS fondo banko sąskaitą.</w:t>
            </w:r>
            <w:r w:rsidRPr="005771B8">
              <w:rPr>
                <w:rFonts w:ascii="Times New Roman" w:hAnsi="Times New Roman"/>
                <w:sz w:val="24"/>
                <w:szCs w:val="24"/>
              </w:rPr>
              <w:t xml:space="preserve"> Šia suma mažinama </w:t>
            </w:r>
            <w:r>
              <w:rPr>
                <w:rFonts w:ascii="Times New Roman" w:hAnsi="Times New Roman"/>
                <w:sz w:val="24"/>
                <w:szCs w:val="24"/>
              </w:rPr>
              <w:t>PGF2</w:t>
            </w:r>
            <w:r w:rsidRPr="005771B8">
              <w:rPr>
                <w:rFonts w:ascii="Times New Roman" w:hAnsi="Times New Roman"/>
                <w:sz w:val="24"/>
                <w:szCs w:val="24"/>
              </w:rPr>
              <w:t xml:space="preserve"> priemonės valdytojui faktiškai išmokėta Išmokų suma.</w:t>
            </w:r>
          </w:p>
          <w:p w14:paraId="23FC31C2" w14:textId="77777777" w:rsidR="00035106" w:rsidRPr="00B70519" w:rsidRDefault="00035106" w:rsidP="009873E8">
            <w:pPr>
              <w:keepNext/>
              <w:autoSpaceDE w:val="0"/>
              <w:autoSpaceDN w:val="0"/>
              <w:spacing w:after="0" w:line="240" w:lineRule="auto"/>
              <w:contextualSpacing/>
              <w:jc w:val="both"/>
              <w:rPr>
                <w:rFonts w:ascii="Times New Roman" w:hAnsi="Times New Roman"/>
                <w:sz w:val="24"/>
                <w:szCs w:val="24"/>
              </w:rPr>
            </w:pPr>
            <w:r w:rsidRPr="009A6760">
              <w:rPr>
                <w:rFonts w:ascii="Times New Roman" w:hAnsi="Times New Roman"/>
                <w:sz w:val="24"/>
                <w:szCs w:val="24"/>
              </w:rPr>
              <w:t xml:space="preserve">Jeigu </w:t>
            </w:r>
            <w:r w:rsidRPr="00997BAC">
              <w:rPr>
                <w:rFonts w:ascii="Times New Roman" w:hAnsi="Times New Roman"/>
                <w:sz w:val="24"/>
                <w:szCs w:val="24"/>
              </w:rPr>
              <w:t>Išmoka buvo atlikta pagal Faktoringo sandorį, kurio dalis</w:t>
            </w:r>
            <w:r w:rsidRPr="00F34D71">
              <w:rPr>
                <w:rFonts w:ascii="Times New Roman" w:hAnsi="Times New Roman"/>
                <w:sz w:val="24"/>
                <w:szCs w:val="24"/>
              </w:rPr>
              <w:t xml:space="preserve"> Faktoringo </w:t>
            </w:r>
            <w:r w:rsidRPr="00F75A34">
              <w:rPr>
                <w:rFonts w:ascii="Times New Roman" w:hAnsi="Times New Roman"/>
                <w:sz w:val="24"/>
                <w:szCs w:val="24"/>
              </w:rPr>
              <w:t>avansų</w:t>
            </w:r>
            <w:r w:rsidRPr="00061105">
              <w:rPr>
                <w:rFonts w:ascii="Times New Roman" w:hAnsi="Times New Roman"/>
                <w:sz w:val="24"/>
                <w:szCs w:val="24"/>
              </w:rPr>
              <w:t xml:space="preserve"> buvo išmokėta po Faktoringo </w:t>
            </w:r>
            <w:r>
              <w:rPr>
                <w:rFonts w:ascii="Times New Roman" w:hAnsi="Times New Roman"/>
                <w:sz w:val="24"/>
                <w:szCs w:val="24"/>
              </w:rPr>
              <w:t>avansų išmokėjimo laikotarpio pabaigos,</w:t>
            </w:r>
            <w:r w:rsidRPr="00B70519">
              <w:rPr>
                <w:rFonts w:ascii="Times New Roman" w:hAnsi="Times New Roman"/>
                <w:sz w:val="24"/>
                <w:szCs w:val="24"/>
              </w:rPr>
              <w:t xml:space="preserve"> </w:t>
            </w:r>
            <w:r>
              <w:rPr>
                <w:rFonts w:ascii="Times New Roman" w:hAnsi="Times New Roman"/>
                <w:sz w:val="24"/>
                <w:szCs w:val="24"/>
              </w:rPr>
              <w:t>i</w:t>
            </w:r>
            <w:r w:rsidRPr="00B70519">
              <w:rPr>
                <w:rFonts w:ascii="Times New Roman" w:hAnsi="Times New Roman"/>
                <w:sz w:val="24"/>
                <w:szCs w:val="24"/>
              </w:rPr>
              <w:t xml:space="preserve">šieškotų </w:t>
            </w:r>
            <w:r>
              <w:rPr>
                <w:rFonts w:ascii="Times New Roman" w:hAnsi="Times New Roman"/>
                <w:sz w:val="24"/>
                <w:szCs w:val="24"/>
              </w:rPr>
              <w:t xml:space="preserve">skolų </w:t>
            </w:r>
            <w:r w:rsidRPr="00B70519">
              <w:rPr>
                <w:rFonts w:ascii="Times New Roman" w:hAnsi="Times New Roman"/>
                <w:sz w:val="24"/>
                <w:szCs w:val="24"/>
              </w:rPr>
              <w:t xml:space="preserve">procentinė dalis, kurią </w:t>
            </w:r>
            <w:r>
              <w:rPr>
                <w:rFonts w:ascii="Times New Roman" w:hAnsi="Times New Roman"/>
                <w:sz w:val="24"/>
                <w:szCs w:val="24"/>
              </w:rPr>
              <w:t>PGF2 priemonės valdytojas turi pervesti į INVEGOS fondą, ap</w:t>
            </w:r>
            <w:r w:rsidRPr="00B70519">
              <w:rPr>
                <w:rFonts w:ascii="Times New Roman" w:hAnsi="Times New Roman"/>
                <w:sz w:val="24"/>
                <w:szCs w:val="24"/>
              </w:rPr>
              <w:t xml:space="preserve">skaičiuojama </w:t>
            </w:r>
            <w:r>
              <w:rPr>
                <w:rFonts w:ascii="Times New Roman" w:hAnsi="Times New Roman"/>
                <w:sz w:val="24"/>
                <w:szCs w:val="24"/>
              </w:rPr>
              <w:t>naudojant</w:t>
            </w:r>
            <w:r w:rsidRPr="00B70519">
              <w:rPr>
                <w:rFonts w:ascii="Times New Roman" w:hAnsi="Times New Roman"/>
                <w:sz w:val="24"/>
                <w:szCs w:val="24"/>
              </w:rPr>
              <w:t xml:space="preserve"> formulę:</w:t>
            </w:r>
          </w:p>
          <w:p w14:paraId="1D0DB7F8" w14:textId="77777777" w:rsidR="00035106" w:rsidRPr="00B70519"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S</w:t>
            </w:r>
            <w:r w:rsidRPr="00B70519">
              <w:rPr>
                <w:rFonts w:ascii="Times New Roman" w:hAnsi="Times New Roman"/>
                <w:sz w:val="24"/>
                <w:szCs w:val="24"/>
              </w:rPr>
              <w:t xml:space="preserve"> = G * (1 – N / V) *100 </w:t>
            </w:r>
          </w:p>
          <w:p w14:paraId="32576C6D" w14:textId="77777777" w:rsidR="00035106" w:rsidRPr="00B70519" w:rsidRDefault="00035106" w:rsidP="009873E8">
            <w:pPr>
              <w:keepNext/>
              <w:autoSpaceDE w:val="0"/>
              <w:autoSpaceDN w:val="0"/>
              <w:spacing w:after="0" w:line="240" w:lineRule="auto"/>
              <w:contextualSpacing/>
              <w:jc w:val="both"/>
              <w:rPr>
                <w:rFonts w:ascii="Times New Roman" w:hAnsi="Times New Roman"/>
                <w:sz w:val="24"/>
                <w:szCs w:val="24"/>
              </w:rPr>
            </w:pPr>
            <w:r w:rsidRPr="00B70519">
              <w:rPr>
                <w:rFonts w:ascii="Times New Roman" w:hAnsi="Times New Roman"/>
                <w:sz w:val="24"/>
                <w:szCs w:val="24"/>
              </w:rPr>
              <w:t>kur:</w:t>
            </w:r>
          </w:p>
          <w:p w14:paraId="5EE76870" w14:textId="77777777" w:rsidR="00035106" w:rsidRPr="00B70519"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S</w:t>
            </w:r>
            <w:r w:rsidRPr="00B70519">
              <w:rPr>
                <w:rFonts w:ascii="Times New Roman" w:hAnsi="Times New Roman"/>
                <w:sz w:val="24"/>
                <w:szCs w:val="24"/>
              </w:rPr>
              <w:t xml:space="preserve"> – </w:t>
            </w:r>
            <w:r>
              <w:rPr>
                <w:rFonts w:ascii="Times New Roman" w:hAnsi="Times New Roman"/>
                <w:sz w:val="24"/>
                <w:szCs w:val="24"/>
              </w:rPr>
              <w:t>i</w:t>
            </w:r>
            <w:r w:rsidRPr="00B70519">
              <w:rPr>
                <w:rFonts w:ascii="Times New Roman" w:hAnsi="Times New Roman"/>
                <w:sz w:val="24"/>
                <w:szCs w:val="24"/>
              </w:rPr>
              <w:t xml:space="preserve">šieškotų </w:t>
            </w:r>
            <w:r>
              <w:rPr>
                <w:rFonts w:ascii="Times New Roman" w:hAnsi="Times New Roman"/>
                <w:sz w:val="24"/>
                <w:szCs w:val="24"/>
              </w:rPr>
              <w:t>skolų</w:t>
            </w:r>
            <w:r w:rsidRPr="00B70519">
              <w:rPr>
                <w:rFonts w:ascii="Times New Roman" w:hAnsi="Times New Roman"/>
                <w:sz w:val="24"/>
                <w:szCs w:val="24"/>
              </w:rPr>
              <w:t xml:space="preserve"> procentinė dalis;</w:t>
            </w:r>
          </w:p>
          <w:p w14:paraId="6E9E7E88" w14:textId="77777777" w:rsidR="00035106" w:rsidRPr="00B70519" w:rsidRDefault="00035106" w:rsidP="009873E8">
            <w:pPr>
              <w:keepNext/>
              <w:autoSpaceDE w:val="0"/>
              <w:autoSpaceDN w:val="0"/>
              <w:spacing w:after="0" w:line="240" w:lineRule="auto"/>
              <w:contextualSpacing/>
              <w:jc w:val="both"/>
              <w:rPr>
                <w:rFonts w:ascii="Times New Roman" w:hAnsi="Times New Roman"/>
                <w:sz w:val="24"/>
                <w:szCs w:val="24"/>
              </w:rPr>
            </w:pPr>
            <w:r w:rsidRPr="00B70519">
              <w:rPr>
                <w:rFonts w:ascii="Times New Roman" w:hAnsi="Times New Roman"/>
                <w:sz w:val="24"/>
                <w:szCs w:val="24"/>
              </w:rPr>
              <w:t>G –</w:t>
            </w:r>
            <w:r>
              <w:rPr>
                <w:rFonts w:ascii="Times New Roman" w:hAnsi="Times New Roman"/>
                <w:sz w:val="24"/>
                <w:szCs w:val="24"/>
              </w:rPr>
              <w:t xml:space="preserve"> G</w:t>
            </w:r>
            <w:r w:rsidRPr="00B70519">
              <w:rPr>
                <w:rFonts w:ascii="Times New Roman" w:hAnsi="Times New Roman"/>
                <w:sz w:val="24"/>
                <w:szCs w:val="24"/>
              </w:rPr>
              <w:t>arantijos dydis (80 proc.);</w:t>
            </w:r>
          </w:p>
          <w:p w14:paraId="51690C2F" w14:textId="77777777" w:rsidR="00035106" w:rsidRPr="00B70519" w:rsidRDefault="00035106" w:rsidP="009873E8">
            <w:pPr>
              <w:keepNext/>
              <w:autoSpaceDE w:val="0"/>
              <w:autoSpaceDN w:val="0"/>
              <w:spacing w:after="0" w:line="240" w:lineRule="auto"/>
              <w:contextualSpacing/>
              <w:jc w:val="both"/>
              <w:rPr>
                <w:rFonts w:ascii="Times New Roman" w:hAnsi="Times New Roman"/>
                <w:sz w:val="24"/>
                <w:szCs w:val="24"/>
              </w:rPr>
            </w:pPr>
            <w:r w:rsidRPr="00B70519">
              <w:rPr>
                <w:rFonts w:ascii="Times New Roman" w:hAnsi="Times New Roman"/>
                <w:sz w:val="24"/>
                <w:szCs w:val="24"/>
              </w:rPr>
              <w:t xml:space="preserve">N – </w:t>
            </w:r>
            <w:r>
              <w:rPr>
                <w:rFonts w:ascii="Times New Roman" w:hAnsi="Times New Roman"/>
                <w:sz w:val="24"/>
                <w:szCs w:val="24"/>
              </w:rPr>
              <w:t xml:space="preserve">Faktoringo avansų </w:t>
            </w:r>
            <w:r w:rsidRPr="00B70519">
              <w:rPr>
                <w:rFonts w:ascii="Times New Roman" w:hAnsi="Times New Roman"/>
                <w:sz w:val="24"/>
                <w:szCs w:val="24"/>
              </w:rPr>
              <w:t xml:space="preserve">suma, išmokėta po </w:t>
            </w:r>
            <w:r>
              <w:rPr>
                <w:rFonts w:ascii="Times New Roman" w:hAnsi="Times New Roman"/>
                <w:sz w:val="24"/>
                <w:szCs w:val="24"/>
              </w:rPr>
              <w:t>Faktoringo avansų išmokėjimo</w:t>
            </w:r>
            <w:r w:rsidRPr="00B70519">
              <w:rPr>
                <w:rFonts w:ascii="Times New Roman" w:hAnsi="Times New Roman"/>
                <w:sz w:val="24"/>
                <w:szCs w:val="24"/>
              </w:rPr>
              <w:t xml:space="preserve"> laikotarpio pabaigos;</w:t>
            </w:r>
          </w:p>
          <w:p w14:paraId="46054CC0"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B70519">
              <w:rPr>
                <w:rFonts w:ascii="Times New Roman" w:hAnsi="Times New Roman"/>
                <w:sz w:val="24"/>
                <w:szCs w:val="24"/>
              </w:rPr>
              <w:t xml:space="preserve">V – </w:t>
            </w:r>
            <w:r>
              <w:rPr>
                <w:rFonts w:ascii="Times New Roman" w:hAnsi="Times New Roman"/>
                <w:sz w:val="24"/>
                <w:szCs w:val="24"/>
              </w:rPr>
              <w:t>v</w:t>
            </w:r>
            <w:r w:rsidRPr="00B70519">
              <w:rPr>
                <w:rFonts w:ascii="Times New Roman" w:hAnsi="Times New Roman"/>
                <w:sz w:val="24"/>
                <w:szCs w:val="24"/>
              </w:rPr>
              <w:t xml:space="preserve">isa išmokėta </w:t>
            </w:r>
            <w:r>
              <w:rPr>
                <w:rFonts w:ascii="Times New Roman" w:hAnsi="Times New Roman"/>
                <w:sz w:val="24"/>
                <w:szCs w:val="24"/>
              </w:rPr>
              <w:t>Faktoringo avansų</w:t>
            </w:r>
            <w:r w:rsidRPr="00B70519">
              <w:rPr>
                <w:rFonts w:ascii="Times New Roman" w:hAnsi="Times New Roman"/>
                <w:sz w:val="24"/>
                <w:szCs w:val="24"/>
              </w:rPr>
              <w:t xml:space="preserve"> suma</w:t>
            </w:r>
            <w:r>
              <w:rPr>
                <w:rFonts w:ascii="Times New Roman" w:hAnsi="Times New Roman"/>
                <w:sz w:val="24"/>
                <w:szCs w:val="24"/>
              </w:rPr>
              <w:t>.</w:t>
            </w:r>
          </w:p>
          <w:p w14:paraId="545E4E3F" w14:textId="77777777" w:rsidR="00035106" w:rsidRPr="009A24AC"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Pavyzdžiui, PGF2 priemonės valdytojas išmokėjo MVĮ 300 Eur (</w:t>
            </w:r>
            <w:r w:rsidRPr="00B70519">
              <w:rPr>
                <w:rFonts w:ascii="Times New Roman" w:hAnsi="Times New Roman"/>
                <w:sz w:val="24"/>
                <w:szCs w:val="24"/>
              </w:rPr>
              <w:t>V</w:t>
            </w:r>
            <w:r>
              <w:rPr>
                <w:rFonts w:ascii="Times New Roman" w:hAnsi="Times New Roman"/>
                <w:sz w:val="24"/>
                <w:szCs w:val="24"/>
              </w:rPr>
              <w:t>), bet iš jų 150 Eur buvo išmokėta po Faktoringo avansų</w:t>
            </w:r>
            <w:r w:rsidRPr="00B70519">
              <w:rPr>
                <w:rFonts w:ascii="Times New Roman" w:hAnsi="Times New Roman"/>
                <w:sz w:val="24"/>
                <w:szCs w:val="24"/>
              </w:rPr>
              <w:t xml:space="preserve"> išmokėjimo laikotarpio pabaigos</w:t>
            </w:r>
            <w:r>
              <w:rPr>
                <w:rFonts w:ascii="Times New Roman" w:hAnsi="Times New Roman"/>
                <w:sz w:val="24"/>
                <w:szCs w:val="24"/>
              </w:rPr>
              <w:t xml:space="preserve"> (N), tuomet išieškotų skolų procentinė dalis (S) yra lygi </w:t>
            </w:r>
            <w:r>
              <w:rPr>
                <w:rFonts w:ascii="Times New Roman" w:hAnsi="Times New Roman"/>
                <w:sz w:val="24"/>
                <w:szCs w:val="24"/>
              </w:rPr>
              <w:br/>
            </w:r>
            <w:r w:rsidRPr="00044073">
              <w:rPr>
                <w:rFonts w:ascii="Times New Roman" w:hAnsi="Times New Roman"/>
                <w:sz w:val="24"/>
                <w:szCs w:val="24"/>
              </w:rPr>
              <w:t>80</w:t>
            </w:r>
            <w:r>
              <w:rPr>
                <w:rFonts w:ascii="Times New Roman" w:hAnsi="Times New Roman"/>
                <w:sz w:val="24"/>
                <w:szCs w:val="24"/>
              </w:rPr>
              <w:t xml:space="preserve"> proc.</w:t>
            </w:r>
            <w:r w:rsidRPr="00044073">
              <w:rPr>
                <w:rFonts w:ascii="Times New Roman" w:hAnsi="Times New Roman"/>
                <w:sz w:val="24"/>
                <w:szCs w:val="24"/>
              </w:rPr>
              <w:t>* (1-</w:t>
            </w:r>
            <w:r>
              <w:rPr>
                <w:rFonts w:ascii="Times New Roman" w:hAnsi="Times New Roman"/>
                <w:sz w:val="24"/>
                <w:szCs w:val="24"/>
              </w:rPr>
              <w:t> </w:t>
            </w:r>
            <w:r w:rsidRPr="00044073">
              <w:rPr>
                <w:rFonts w:ascii="Times New Roman" w:hAnsi="Times New Roman"/>
                <w:sz w:val="24"/>
                <w:szCs w:val="24"/>
              </w:rPr>
              <w:t>150</w:t>
            </w:r>
            <w:r>
              <w:rPr>
                <w:rFonts w:ascii="Times New Roman" w:hAnsi="Times New Roman"/>
                <w:sz w:val="24"/>
                <w:szCs w:val="24"/>
              </w:rPr>
              <w:t> </w:t>
            </w:r>
            <w:r w:rsidRPr="00044073">
              <w:rPr>
                <w:rFonts w:ascii="Times New Roman" w:hAnsi="Times New Roman"/>
                <w:sz w:val="24"/>
                <w:szCs w:val="24"/>
              </w:rPr>
              <w:t>Eur/300 Eur)*100=40 proc.</w:t>
            </w:r>
          </w:p>
        </w:tc>
      </w:tr>
      <w:tr w:rsidR="00035106" w:rsidRPr="00B751E6" w14:paraId="6F751780" w14:textId="77777777" w:rsidTr="00D95057">
        <w:tc>
          <w:tcPr>
            <w:tcW w:w="2030" w:type="dxa"/>
            <w:tcBorders>
              <w:bottom w:val="single" w:sz="4" w:space="0" w:color="000000"/>
            </w:tcBorders>
          </w:tcPr>
          <w:p w14:paraId="50F5D035" w14:textId="77777777" w:rsidR="00035106" w:rsidRPr="007E78D7" w:rsidRDefault="00035106" w:rsidP="009873E8">
            <w:pPr>
              <w:autoSpaceDE w:val="0"/>
              <w:autoSpaceDN w:val="0"/>
              <w:spacing w:after="0" w:line="240" w:lineRule="auto"/>
              <w:contextualSpacing/>
              <w:rPr>
                <w:rFonts w:ascii="Times New Roman" w:hAnsi="Times New Roman"/>
                <w:b/>
                <w:sz w:val="24"/>
                <w:szCs w:val="24"/>
              </w:rPr>
            </w:pPr>
            <w:r w:rsidRPr="00A90B3A">
              <w:rPr>
                <w:rFonts w:ascii="Times New Roman" w:hAnsi="Times New Roman"/>
                <w:b/>
                <w:sz w:val="24"/>
                <w:szCs w:val="24"/>
              </w:rPr>
              <w:t>Tinkamumo laikotarpis</w:t>
            </w:r>
          </w:p>
        </w:tc>
        <w:tc>
          <w:tcPr>
            <w:tcW w:w="7321" w:type="dxa"/>
            <w:tcBorders>
              <w:bottom w:val="single" w:sz="4" w:space="0" w:color="000000"/>
            </w:tcBorders>
          </w:tcPr>
          <w:p w14:paraId="0141600B" w14:textId="77777777" w:rsidR="00035106" w:rsidRPr="009D50F8" w:rsidRDefault="00035106" w:rsidP="009873E8">
            <w:pPr>
              <w:keepNext/>
              <w:autoSpaceDE w:val="0"/>
              <w:autoSpaceDN w:val="0"/>
              <w:spacing w:after="0" w:line="240" w:lineRule="auto"/>
              <w:contextualSpacing/>
              <w:jc w:val="both"/>
              <w:rPr>
                <w:rFonts w:ascii="Times New Roman" w:hAnsi="Times New Roman"/>
                <w:sz w:val="24"/>
                <w:szCs w:val="24"/>
              </w:rPr>
            </w:pPr>
            <w:r w:rsidRPr="009D50F8">
              <w:rPr>
                <w:rFonts w:ascii="Times New Roman" w:hAnsi="Times New Roman"/>
                <w:sz w:val="24"/>
                <w:szCs w:val="24"/>
              </w:rPr>
              <w:t xml:space="preserve">3 metai nuo </w:t>
            </w:r>
            <w:r>
              <w:rPr>
                <w:rFonts w:ascii="Times New Roman" w:hAnsi="Times New Roman"/>
                <w:sz w:val="24"/>
                <w:szCs w:val="24"/>
              </w:rPr>
              <w:t>S</w:t>
            </w:r>
            <w:r w:rsidRPr="009D50F8">
              <w:rPr>
                <w:rFonts w:ascii="Times New Roman" w:hAnsi="Times New Roman"/>
                <w:sz w:val="24"/>
                <w:szCs w:val="24"/>
              </w:rPr>
              <w:t xml:space="preserve">utarties pasirašymo </w:t>
            </w:r>
            <w:r>
              <w:rPr>
                <w:rFonts w:ascii="Times New Roman" w:hAnsi="Times New Roman"/>
                <w:sz w:val="24"/>
                <w:szCs w:val="24"/>
              </w:rPr>
              <w:t xml:space="preserve">datos </w:t>
            </w:r>
            <w:r w:rsidRPr="009D50F8">
              <w:rPr>
                <w:rFonts w:ascii="Times New Roman" w:hAnsi="Times New Roman"/>
                <w:sz w:val="24"/>
                <w:szCs w:val="24"/>
              </w:rPr>
              <w:t xml:space="preserve">(su galimybe </w:t>
            </w:r>
            <w:r>
              <w:rPr>
                <w:rFonts w:ascii="Times New Roman" w:hAnsi="Times New Roman"/>
                <w:sz w:val="24"/>
                <w:szCs w:val="24"/>
              </w:rPr>
              <w:t>T</w:t>
            </w:r>
            <w:r w:rsidRPr="009D50F8">
              <w:rPr>
                <w:rFonts w:ascii="Times New Roman" w:hAnsi="Times New Roman"/>
                <w:sz w:val="24"/>
                <w:szCs w:val="24"/>
              </w:rPr>
              <w:t xml:space="preserve">inkamumo </w:t>
            </w:r>
            <w:r>
              <w:rPr>
                <w:rFonts w:ascii="Times New Roman" w:hAnsi="Times New Roman"/>
                <w:sz w:val="24"/>
                <w:szCs w:val="24"/>
              </w:rPr>
              <w:t>laikotarpį pratęsti, tačiau ne ilgiau nei Reglamento Nr. 1407/2013 galiojimo laikotarpiu).</w:t>
            </w:r>
          </w:p>
          <w:p w14:paraId="440E30DB" w14:textId="77777777" w:rsidR="00035106"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Per šį laikotarpį į Portfel</w:t>
            </w:r>
            <w:r>
              <w:rPr>
                <w:rFonts w:ascii="Times New Roman" w:hAnsi="Times New Roman"/>
                <w:sz w:val="24"/>
                <w:szCs w:val="24"/>
              </w:rPr>
              <w:t>į</w:t>
            </w:r>
            <w:r w:rsidRPr="007E78D7">
              <w:rPr>
                <w:rFonts w:ascii="Times New Roman" w:hAnsi="Times New Roman"/>
                <w:sz w:val="24"/>
                <w:szCs w:val="24"/>
              </w:rPr>
              <w:t xml:space="preserve"> gali būti traukiam</w:t>
            </w:r>
            <w:r>
              <w:rPr>
                <w:rFonts w:ascii="Times New Roman" w:hAnsi="Times New Roman"/>
                <w:sz w:val="24"/>
                <w:szCs w:val="24"/>
              </w:rPr>
              <w:t>i Tinkamumo sąlygas atitinkantys</w:t>
            </w:r>
            <w:r w:rsidRPr="007E78D7">
              <w:rPr>
                <w:rFonts w:ascii="Times New Roman" w:hAnsi="Times New Roman"/>
                <w:sz w:val="24"/>
                <w:szCs w:val="24"/>
              </w:rPr>
              <w:t xml:space="preserve"> </w:t>
            </w:r>
            <w:r>
              <w:rPr>
                <w:rFonts w:ascii="Times New Roman" w:hAnsi="Times New Roman"/>
                <w:sz w:val="24"/>
                <w:szCs w:val="24"/>
              </w:rPr>
              <w:t>Faktoringo sandoriai</w:t>
            </w:r>
            <w:r w:rsidRPr="007E78D7">
              <w:rPr>
                <w:rFonts w:ascii="Times New Roman" w:hAnsi="Times New Roman"/>
                <w:sz w:val="24"/>
                <w:szCs w:val="24"/>
              </w:rPr>
              <w:t xml:space="preserve">. </w:t>
            </w:r>
          </w:p>
        </w:tc>
      </w:tr>
      <w:tr w:rsidR="00035106" w:rsidRPr="00B751E6" w14:paraId="7AEF3091" w14:textId="77777777" w:rsidTr="00D95057">
        <w:tc>
          <w:tcPr>
            <w:tcW w:w="2030" w:type="dxa"/>
            <w:tcBorders>
              <w:bottom w:val="single" w:sz="4" w:space="0" w:color="000000"/>
            </w:tcBorders>
          </w:tcPr>
          <w:p w14:paraId="7A137BEA" w14:textId="77777777" w:rsidR="00035106" w:rsidRPr="00A90B3A"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Faktoringo avansų</w:t>
            </w:r>
            <w:r w:rsidRPr="007E78D7">
              <w:rPr>
                <w:rFonts w:ascii="Times New Roman" w:hAnsi="Times New Roman"/>
                <w:b/>
                <w:sz w:val="24"/>
                <w:szCs w:val="24"/>
              </w:rPr>
              <w:t xml:space="preserve"> išmokėjimo laikotarpis</w:t>
            </w:r>
          </w:p>
        </w:tc>
        <w:tc>
          <w:tcPr>
            <w:tcW w:w="7321" w:type="dxa"/>
            <w:tcBorders>
              <w:bottom w:val="single" w:sz="4" w:space="0" w:color="000000"/>
            </w:tcBorders>
          </w:tcPr>
          <w:p w14:paraId="5885A7EF" w14:textId="77777777" w:rsidR="00035106" w:rsidRPr="009D50F8" w:rsidRDefault="00035106" w:rsidP="009873E8">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D</w:t>
            </w:r>
            <w:r w:rsidRPr="009D50F8">
              <w:rPr>
                <w:rFonts w:ascii="Times New Roman" w:hAnsi="Times New Roman"/>
                <w:sz w:val="24"/>
                <w:szCs w:val="24"/>
              </w:rPr>
              <w:t>a</w:t>
            </w:r>
            <w:r>
              <w:rPr>
                <w:rFonts w:ascii="Times New Roman" w:hAnsi="Times New Roman"/>
                <w:sz w:val="24"/>
                <w:szCs w:val="24"/>
              </w:rPr>
              <w:t>ta, iki kurios turi būti išmokėti Faktoringo avansai pagal</w:t>
            </w:r>
            <w:r w:rsidRPr="009D50F8">
              <w:rPr>
                <w:rFonts w:ascii="Times New Roman" w:hAnsi="Times New Roman"/>
                <w:sz w:val="24"/>
                <w:szCs w:val="24"/>
              </w:rPr>
              <w:t xml:space="preserve"> į Portfelį įtraukt</w:t>
            </w:r>
            <w:r>
              <w:rPr>
                <w:rFonts w:ascii="Times New Roman" w:hAnsi="Times New Roman"/>
                <w:sz w:val="24"/>
                <w:szCs w:val="24"/>
              </w:rPr>
              <w:t>us</w:t>
            </w:r>
            <w:r w:rsidRPr="009D50F8">
              <w:rPr>
                <w:rFonts w:ascii="Times New Roman" w:hAnsi="Times New Roman"/>
                <w:sz w:val="24"/>
                <w:szCs w:val="24"/>
              </w:rPr>
              <w:t xml:space="preserve"> </w:t>
            </w:r>
            <w:r>
              <w:rPr>
                <w:rFonts w:ascii="Times New Roman" w:hAnsi="Times New Roman"/>
                <w:sz w:val="24"/>
                <w:szCs w:val="24"/>
              </w:rPr>
              <w:t>Faktoringo sandorius</w:t>
            </w:r>
            <w:r w:rsidRPr="009D50F8">
              <w:rPr>
                <w:rFonts w:ascii="Times New Roman" w:hAnsi="Times New Roman"/>
                <w:sz w:val="24"/>
                <w:szCs w:val="24"/>
              </w:rPr>
              <w:t xml:space="preserve"> </w:t>
            </w:r>
            <w:r>
              <w:rPr>
                <w:rFonts w:ascii="Times New Roman" w:hAnsi="Times New Roman"/>
                <w:sz w:val="24"/>
                <w:szCs w:val="24"/>
              </w:rPr>
              <w:t xml:space="preserve">– </w:t>
            </w:r>
            <w:r w:rsidRPr="00221732">
              <w:rPr>
                <w:rFonts w:ascii="Times New Roman" w:hAnsi="Times New Roman"/>
                <w:sz w:val="24"/>
                <w:szCs w:val="24"/>
              </w:rPr>
              <w:t>12</w:t>
            </w:r>
            <w:r>
              <w:rPr>
                <w:rFonts w:ascii="Times New Roman" w:hAnsi="Times New Roman"/>
                <w:sz w:val="24"/>
                <w:szCs w:val="24"/>
              </w:rPr>
              <w:t xml:space="preserve"> mėn. nuo Tinkamumo laikotarpio pabaigos. </w:t>
            </w:r>
          </w:p>
          <w:p w14:paraId="1A885345" w14:textId="77777777" w:rsidR="00035106" w:rsidRPr="00D75B0C" w:rsidRDefault="00035106" w:rsidP="009873E8">
            <w:pPr>
              <w:keepNext/>
              <w:autoSpaceDE w:val="0"/>
              <w:autoSpaceDN w:val="0"/>
              <w:spacing w:after="0" w:line="240" w:lineRule="auto"/>
              <w:contextualSpacing/>
              <w:jc w:val="both"/>
              <w:rPr>
                <w:rFonts w:ascii="Times New Roman" w:hAnsi="Times New Roman"/>
                <w:sz w:val="24"/>
                <w:szCs w:val="24"/>
              </w:rPr>
            </w:pPr>
            <w:r w:rsidRPr="007E78D7">
              <w:rPr>
                <w:rFonts w:ascii="Times New Roman" w:hAnsi="Times New Roman"/>
                <w:sz w:val="24"/>
                <w:szCs w:val="24"/>
              </w:rPr>
              <w:t xml:space="preserve">Tuo atveju, jei dalis </w:t>
            </w:r>
            <w:r>
              <w:rPr>
                <w:rFonts w:ascii="Times New Roman" w:hAnsi="Times New Roman"/>
                <w:sz w:val="24"/>
                <w:szCs w:val="24"/>
              </w:rPr>
              <w:t>Faktoringo avansų MVĮ</w:t>
            </w:r>
            <w:r w:rsidRPr="007E78D7">
              <w:rPr>
                <w:rFonts w:ascii="Times New Roman" w:hAnsi="Times New Roman"/>
                <w:sz w:val="24"/>
                <w:szCs w:val="24"/>
              </w:rPr>
              <w:t xml:space="preserve"> buvo išmokėta po </w:t>
            </w:r>
            <w:r>
              <w:rPr>
                <w:rFonts w:ascii="Times New Roman" w:hAnsi="Times New Roman"/>
                <w:sz w:val="24"/>
                <w:szCs w:val="24"/>
              </w:rPr>
              <w:t>Faktoringo avansų</w:t>
            </w:r>
            <w:r w:rsidRPr="007E78D7">
              <w:rPr>
                <w:rFonts w:ascii="Times New Roman" w:hAnsi="Times New Roman"/>
                <w:sz w:val="24"/>
                <w:szCs w:val="24"/>
              </w:rPr>
              <w:t xml:space="preserve"> išmokėjimo laikotarpio pabaigos, </w:t>
            </w:r>
            <w:r>
              <w:rPr>
                <w:rFonts w:ascii="Times New Roman" w:hAnsi="Times New Roman"/>
                <w:sz w:val="24"/>
                <w:szCs w:val="24"/>
              </w:rPr>
              <w:t>PGF2</w:t>
            </w:r>
            <w:r w:rsidRPr="007E78D7">
              <w:rPr>
                <w:rFonts w:ascii="Times New Roman" w:hAnsi="Times New Roman"/>
                <w:sz w:val="24"/>
                <w:szCs w:val="24"/>
              </w:rPr>
              <w:t xml:space="preserve"> priemonės valdytojui </w:t>
            </w:r>
            <w:r w:rsidRPr="007E78D7">
              <w:rPr>
                <w:rFonts w:ascii="Times New Roman" w:hAnsi="Times New Roman"/>
                <w:sz w:val="24"/>
                <w:szCs w:val="24"/>
              </w:rPr>
              <w:lastRenderedPageBreak/>
              <w:t xml:space="preserve">garantuojama ta </w:t>
            </w:r>
            <w:r>
              <w:rPr>
                <w:rFonts w:ascii="Times New Roman" w:hAnsi="Times New Roman"/>
                <w:sz w:val="24"/>
                <w:szCs w:val="24"/>
              </w:rPr>
              <w:t>Faktoringo sandorio</w:t>
            </w:r>
            <w:r w:rsidRPr="007E78D7">
              <w:rPr>
                <w:rFonts w:ascii="Times New Roman" w:hAnsi="Times New Roman"/>
                <w:sz w:val="24"/>
                <w:szCs w:val="24"/>
              </w:rPr>
              <w:t xml:space="preserve"> dalis, kuri buvo išmokėta iki </w:t>
            </w:r>
            <w:r>
              <w:rPr>
                <w:rFonts w:ascii="Times New Roman" w:hAnsi="Times New Roman"/>
                <w:sz w:val="24"/>
                <w:szCs w:val="24"/>
              </w:rPr>
              <w:t>Faktoringo avansų</w:t>
            </w:r>
            <w:r w:rsidRPr="007E78D7">
              <w:rPr>
                <w:rFonts w:ascii="Times New Roman" w:hAnsi="Times New Roman"/>
                <w:sz w:val="24"/>
                <w:szCs w:val="24"/>
              </w:rPr>
              <w:t xml:space="preserve"> išmokėjimo laikotarpio pabaigos</w:t>
            </w:r>
          </w:p>
        </w:tc>
      </w:tr>
      <w:tr w:rsidR="00035106" w:rsidRPr="00B751E6" w14:paraId="40F39DB7" w14:textId="77777777" w:rsidTr="00D95057">
        <w:tc>
          <w:tcPr>
            <w:tcW w:w="2030" w:type="dxa"/>
            <w:tcBorders>
              <w:bottom w:val="single" w:sz="4" w:space="0" w:color="000000"/>
            </w:tcBorders>
          </w:tcPr>
          <w:p w14:paraId="452714D9" w14:textId="77777777" w:rsidR="00035106" w:rsidRPr="008716F1" w:rsidRDefault="00035106" w:rsidP="009873E8">
            <w:pPr>
              <w:autoSpaceDE w:val="0"/>
              <w:autoSpaceDN w:val="0"/>
              <w:spacing w:after="0" w:line="240" w:lineRule="auto"/>
              <w:contextualSpacing/>
              <w:rPr>
                <w:rFonts w:ascii="Times New Roman" w:hAnsi="Times New Roman"/>
                <w:b/>
                <w:sz w:val="24"/>
                <w:szCs w:val="24"/>
              </w:rPr>
            </w:pPr>
            <w:r w:rsidRPr="008716F1">
              <w:rPr>
                <w:rFonts w:ascii="Times New Roman" w:hAnsi="Times New Roman"/>
                <w:b/>
                <w:sz w:val="24"/>
                <w:szCs w:val="24"/>
              </w:rPr>
              <w:lastRenderedPageBreak/>
              <w:t>Faktoringo sandori</w:t>
            </w:r>
            <w:r>
              <w:rPr>
                <w:rFonts w:ascii="Times New Roman" w:hAnsi="Times New Roman"/>
                <w:b/>
                <w:sz w:val="24"/>
                <w:szCs w:val="24"/>
              </w:rPr>
              <w:t>ai</w:t>
            </w:r>
            <w:r w:rsidRPr="008716F1">
              <w:rPr>
                <w:rFonts w:ascii="Times New Roman" w:hAnsi="Times New Roman"/>
                <w:b/>
                <w:sz w:val="24"/>
                <w:szCs w:val="24"/>
              </w:rPr>
              <w:t>, kurių negalima įtraukti į Portfel</w:t>
            </w:r>
            <w:r w:rsidRPr="00A15349">
              <w:rPr>
                <w:rFonts w:ascii="Times New Roman" w:hAnsi="Times New Roman"/>
                <w:b/>
                <w:sz w:val="24"/>
                <w:szCs w:val="24"/>
              </w:rPr>
              <w:t>į, kriterijai</w:t>
            </w:r>
          </w:p>
        </w:tc>
        <w:tc>
          <w:tcPr>
            <w:tcW w:w="7321" w:type="dxa"/>
            <w:tcBorders>
              <w:bottom w:val="single" w:sz="4" w:space="0" w:color="000000"/>
            </w:tcBorders>
          </w:tcPr>
          <w:p w14:paraId="0757B183" w14:textId="77777777" w:rsidR="00035106" w:rsidRPr="008716F1" w:rsidRDefault="00035106" w:rsidP="009873E8">
            <w:pPr>
              <w:spacing w:after="0" w:line="240" w:lineRule="auto"/>
              <w:jc w:val="both"/>
              <w:rPr>
                <w:rFonts w:ascii="Times New Roman" w:hAnsi="Times New Roman"/>
                <w:sz w:val="24"/>
                <w:szCs w:val="24"/>
              </w:rPr>
            </w:pPr>
            <w:r w:rsidRPr="008716F1">
              <w:rPr>
                <w:rFonts w:ascii="Times New Roman" w:hAnsi="Times New Roman"/>
                <w:sz w:val="24"/>
                <w:szCs w:val="24"/>
              </w:rPr>
              <w:t>1. Faktoringo sandoriams, kurie skirti MVĮ, veikiantiems Reglamento (ES) Nr. 1407/2013 1 straipsnio 1 dalyje išvardytuose sektoriuose;</w:t>
            </w:r>
          </w:p>
          <w:p w14:paraId="4A41988D" w14:textId="77777777" w:rsidR="00035106" w:rsidRPr="008716F1" w:rsidRDefault="00035106" w:rsidP="009873E8">
            <w:pPr>
              <w:spacing w:after="0" w:line="240" w:lineRule="auto"/>
              <w:jc w:val="both"/>
              <w:rPr>
                <w:rFonts w:ascii="Times New Roman" w:hAnsi="Times New Roman"/>
                <w:sz w:val="24"/>
                <w:szCs w:val="24"/>
              </w:rPr>
            </w:pPr>
            <w:r>
              <w:rPr>
                <w:rFonts w:ascii="Times New Roman" w:hAnsi="Times New Roman"/>
                <w:sz w:val="24"/>
                <w:szCs w:val="24"/>
              </w:rPr>
              <w:t>2</w:t>
            </w:r>
            <w:r w:rsidRPr="008716F1">
              <w:rPr>
                <w:rFonts w:ascii="Times New Roman" w:hAnsi="Times New Roman"/>
                <w:sz w:val="24"/>
                <w:szCs w:val="24"/>
              </w:rPr>
              <w:t>. Faktoringo sandoriams, kurie skirti MVĮ, kuriems galėtų būti ir (arba) yra taikoma Reglamento (ES) Nr. 1407/2013 4 straipsnio 3 dalies a punkte nurodyta kolektyvinė nemokumo procedūra;</w:t>
            </w:r>
          </w:p>
          <w:p w14:paraId="51862845" w14:textId="77777777" w:rsidR="00035106" w:rsidRDefault="00035106" w:rsidP="009873E8">
            <w:pPr>
              <w:spacing w:after="0" w:line="240" w:lineRule="auto"/>
              <w:jc w:val="both"/>
              <w:rPr>
                <w:rFonts w:ascii="Times New Roman" w:hAnsi="Times New Roman"/>
                <w:sz w:val="24"/>
                <w:szCs w:val="24"/>
              </w:rPr>
            </w:pPr>
            <w:r>
              <w:rPr>
                <w:rFonts w:ascii="Times New Roman" w:hAnsi="Times New Roman"/>
                <w:sz w:val="24"/>
                <w:szCs w:val="24"/>
              </w:rPr>
              <w:t>3</w:t>
            </w:r>
            <w:r w:rsidRPr="008716F1">
              <w:rPr>
                <w:rFonts w:ascii="Times New Roman" w:hAnsi="Times New Roman"/>
                <w:sz w:val="24"/>
                <w:szCs w:val="24"/>
              </w:rPr>
              <w:t xml:space="preserve">. Faktoringo sandoriams, kurie skirti </w:t>
            </w:r>
            <w:r>
              <w:rPr>
                <w:rFonts w:ascii="Times New Roman" w:hAnsi="Times New Roman"/>
                <w:sz w:val="24"/>
                <w:szCs w:val="24"/>
              </w:rPr>
              <w:t xml:space="preserve">finansuoti </w:t>
            </w:r>
            <w:r w:rsidRPr="008716F1">
              <w:rPr>
                <w:rFonts w:ascii="Times New Roman" w:hAnsi="Times New Roman"/>
                <w:sz w:val="24"/>
                <w:szCs w:val="24"/>
              </w:rPr>
              <w:t>MVĮ</w:t>
            </w:r>
            <w:r>
              <w:rPr>
                <w:rFonts w:ascii="Times New Roman" w:hAnsi="Times New Roman"/>
                <w:sz w:val="24"/>
                <w:szCs w:val="24"/>
              </w:rPr>
              <w:t xml:space="preserve"> ir su MVĮ susijusių ir partnerinių įmonių, kaip jos apibrėžtos SVV įstatyme, tarpusavio prekybinius sandorius.</w:t>
            </w:r>
          </w:p>
          <w:p w14:paraId="22C3D11C" w14:textId="77777777" w:rsidR="00035106" w:rsidRDefault="00035106" w:rsidP="009873E8">
            <w:pPr>
              <w:spacing w:after="0" w:line="240" w:lineRule="auto"/>
              <w:jc w:val="both"/>
              <w:rPr>
                <w:rFonts w:ascii="Times New Roman" w:hAnsi="Times New Roman"/>
                <w:sz w:val="24"/>
                <w:szCs w:val="24"/>
              </w:rPr>
            </w:pPr>
          </w:p>
          <w:p w14:paraId="4D39E42E" w14:textId="77777777" w:rsidR="00035106" w:rsidRPr="00A15349" w:rsidRDefault="00035106" w:rsidP="009873E8">
            <w:pPr>
              <w:spacing w:after="0" w:line="240" w:lineRule="auto"/>
              <w:jc w:val="both"/>
              <w:rPr>
                <w:rFonts w:ascii="Times New Roman" w:hAnsi="Times New Roman"/>
                <w:sz w:val="24"/>
                <w:szCs w:val="24"/>
              </w:rPr>
            </w:pPr>
            <w:r w:rsidRPr="00712477">
              <w:rPr>
                <w:rFonts w:ascii="Times New Roman" w:hAnsi="Times New Roman"/>
                <w:sz w:val="24"/>
                <w:szCs w:val="24"/>
              </w:rPr>
              <w:t xml:space="preserve">1, ir 2, 3 punktuose nustatyti kriterijai nustatomi faktoringo suteikimo metu (faktoringo suteikimas čia ir toliau šiame dokumente suprantamas kaip procesas arba laikotarpis nuo Faktoringo sandorio gavėjo kreipimosi į </w:t>
            </w:r>
            <w:r>
              <w:rPr>
                <w:rFonts w:ascii="Times New Roman" w:hAnsi="Times New Roman"/>
                <w:sz w:val="24"/>
                <w:szCs w:val="24"/>
              </w:rPr>
              <w:t>PGF2 </w:t>
            </w:r>
            <w:r w:rsidRPr="00712477">
              <w:rPr>
                <w:rFonts w:ascii="Times New Roman" w:hAnsi="Times New Roman"/>
                <w:sz w:val="24"/>
                <w:szCs w:val="24"/>
              </w:rPr>
              <w:t>priemonės valdytoją dėl faktoringo iki Faktoringo sandorio sutarties pasirašymo dienos)</w:t>
            </w:r>
          </w:p>
        </w:tc>
      </w:tr>
      <w:tr w:rsidR="00035106" w:rsidRPr="00B751E6" w14:paraId="7B4A28EB" w14:textId="77777777" w:rsidTr="00D95057">
        <w:tc>
          <w:tcPr>
            <w:tcW w:w="2030" w:type="dxa"/>
            <w:tcBorders>
              <w:bottom w:val="single" w:sz="4" w:space="0" w:color="000000"/>
            </w:tcBorders>
          </w:tcPr>
          <w:p w14:paraId="5CF649A0" w14:textId="77777777" w:rsidR="00035106"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Į Portfelį traukiami</w:t>
            </w:r>
            <w:r w:rsidRPr="00785799">
              <w:rPr>
                <w:rFonts w:ascii="Times New Roman" w:hAnsi="Times New Roman"/>
                <w:b/>
                <w:sz w:val="24"/>
                <w:szCs w:val="24"/>
              </w:rPr>
              <w:t xml:space="preserve"> </w:t>
            </w:r>
            <w:r>
              <w:rPr>
                <w:rFonts w:ascii="Times New Roman" w:hAnsi="Times New Roman"/>
                <w:b/>
                <w:sz w:val="24"/>
                <w:szCs w:val="24"/>
              </w:rPr>
              <w:t>Faktoringo sandoriai, kurie</w:t>
            </w:r>
            <w:r w:rsidRPr="00785799">
              <w:rPr>
                <w:rFonts w:ascii="Times New Roman" w:hAnsi="Times New Roman"/>
                <w:b/>
                <w:sz w:val="24"/>
                <w:szCs w:val="24"/>
              </w:rPr>
              <w:t xml:space="preserve"> atitinka šias sąlygas (toliau – Tinkamumo sąlygos)</w:t>
            </w:r>
          </w:p>
        </w:tc>
        <w:tc>
          <w:tcPr>
            <w:tcW w:w="7321" w:type="dxa"/>
            <w:tcBorders>
              <w:bottom w:val="single" w:sz="4" w:space="0" w:color="000000"/>
            </w:tcBorders>
          </w:tcPr>
          <w:p w14:paraId="6F735849" w14:textId="5A8CBAA3" w:rsidR="00035106" w:rsidRDefault="00035106" w:rsidP="009873E8">
            <w:pPr>
              <w:pStyle w:val="ListParagraph"/>
              <w:tabs>
                <w:tab w:val="left" w:pos="286"/>
              </w:tabs>
              <w:spacing w:after="0" w:line="240" w:lineRule="auto"/>
              <w:ind w:left="0"/>
              <w:jc w:val="both"/>
              <w:rPr>
                <w:rFonts w:ascii="Times New Roman" w:hAnsi="Times New Roman"/>
                <w:sz w:val="24"/>
                <w:szCs w:val="24"/>
              </w:rPr>
            </w:pPr>
            <w:r>
              <w:rPr>
                <w:rFonts w:ascii="Times New Roman" w:hAnsi="Times New Roman"/>
                <w:sz w:val="24"/>
                <w:szCs w:val="24"/>
              </w:rPr>
              <w:t xml:space="preserve">Be kitų </w:t>
            </w:r>
            <w:r w:rsidR="0006097C">
              <w:rPr>
                <w:rFonts w:ascii="Times New Roman" w:hAnsi="Times New Roman"/>
                <w:sz w:val="24"/>
                <w:szCs w:val="24"/>
              </w:rPr>
              <w:t>Aprašo 1 priede (Pagrindinės sąlygos)</w:t>
            </w:r>
            <w:r>
              <w:rPr>
                <w:rFonts w:ascii="Times New Roman" w:hAnsi="Times New Roman"/>
                <w:sz w:val="24"/>
                <w:szCs w:val="24"/>
              </w:rPr>
              <w:t xml:space="preserve"> nurodytų </w:t>
            </w:r>
            <w:r w:rsidR="0006097C">
              <w:rPr>
                <w:rFonts w:ascii="Times New Roman" w:hAnsi="Times New Roman"/>
                <w:sz w:val="24"/>
                <w:szCs w:val="24"/>
              </w:rPr>
              <w:t>reikalavimų</w:t>
            </w:r>
            <w:r>
              <w:rPr>
                <w:rFonts w:ascii="Times New Roman" w:hAnsi="Times New Roman"/>
                <w:sz w:val="24"/>
                <w:szCs w:val="24"/>
              </w:rPr>
              <w:t xml:space="preserve"> į Portfelį traukiami Faktoringo sandoriai turi atitikti:</w:t>
            </w:r>
          </w:p>
          <w:p w14:paraId="370EEE91" w14:textId="77777777" w:rsidR="00035106" w:rsidRPr="00D81ECA" w:rsidRDefault="00035106" w:rsidP="00035106">
            <w:pPr>
              <w:pStyle w:val="ListParagraph"/>
              <w:numPr>
                <w:ilvl w:val="0"/>
                <w:numId w:val="17"/>
              </w:numPr>
              <w:tabs>
                <w:tab w:val="left" w:pos="286"/>
              </w:tabs>
              <w:spacing w:after="0" w:line="240" w:lineRule="auto"/>
              <w:ind w:left="0" w:firstLine="35"/>
              <w:jc w:val="both"/>
              <w:rPr>
                <w:rFonts w:ascii="Times New Roman" w:hAnsi="Times New Roman"/>
                <w:sz w:val="24"/>
                <w:szCs w:val="24"/>
              </w:rPr>
            </w:pPr>
            <w:r>
              <w:rPr>
                <w:rFonts w:ascii="Times New Roman" w:hAnsi="Times New Roman"/>
                <w:sz w:val="24"/>
                <w:szCs w:val="24"/>
              </w:rPr>
              <w:t>MVĮ</w:t>
            </w:r>
            <w:r w:rsidRPr="00D81ECA">
              <w:rPr>
                <w:rFonts w:ascii="Times New Roman" w:hAnsi="Times New Roman"/>
                <w:sz w:val="24"/>
                <w:szCs w:val="24"/>
              </w:rPr>
              <w:t xml:space="preserve"> tinkamumo sąlygas</w:t>
            </w:r>
            <w:r>
              <w:rPr>
                <w:rFonts w:ascii="Times New Roman" w:hAnsi="Times New Roman"/>
                <w:sz w:val="24"/>
                <w:szCs w:val="24"/>
              </w:rPr>
              <w:t>;</w:t>
            </w:r>
          </w:p>
          <w:p w14:paraId="52E308DE" w14:textId="77777777" w:rsidR="00035106" w:rsidRDefault="00035106" w:rsidP="00035106">
            <w:pPr>
              <w:pStyle w:val="ListParagraph"/>
              <w:numPr>
                <w:ilvl w:val="0"/>
                <w:numId w:val="17"/>
              </w:numPr>
              <w:tabs>
                <w:tab w:val="left" w:pos="286"/>
              </w:tabs>
              <w:spacing w:after="0" w:line="240" w:lineRule="auto"/>
              <w:ind w:left="0" w:firstLine="35"/>
              <w:jc w:val="both"/>
              <w:rPr>
                <w:rFonts w:ascii="Times New Roman" w:hAnsi="Times New Roman"/>
                <w:sz w:val="24"/>
                <w:szCs w:val="24"/>
              </w:rPr>
            </w:pPr>
            <w:r>
              <w:rPr>
                <w:rFonts w:ascii="Times New Roman" w:hAnsi="Times New Roman"/>
                <w:sz w:val="24"/>
                <w:szCs w:val="24"/>
              </w:rPr>
              <w:t>Faktoringo sandorių</w:t>
            </w:r>
            <w:r w:rsidRPr="00D81ECA">
              <w:rPr>
                <w:rFonts w:ascii="Times New Roman" w:hAnsi="Times New Roman"/>
                <w:sz w:val="24"/>
                <w:szCs w:val="24"/>
              </w:rPr>
              <w:t>, įtraukiamų į Portfel</w:t>
            </w:r>
            <w:r>
              <w:rPr>
                <w:rFonts w:ascii="Times New Roman" w:hAnsi="Times New Roman"/>
                <w:sz w:val="24"/>
                <w:szCs w:val="24"/>
              </w:rPr>
              <w:t>į</w:t>
            </w:r>
            <w:r w:rsidRPr="00D81ECA">
              <w:rPr>
                <w:rFonts w:ascii="Times New Roman" w:hAnsi="Times New Roman"/>
                <w:sz w:val="24"/>
                <w:szCs w:val="24"/>
              </w:rPr>
              <w:t>, tinkamumo sąlygas</w:t>
            </w:r>
            <w:r>
              <w:rPr>
                <w:rFonts w:ascii="Times New Roman" w:hAnsi="Times New Roman"/>
                <w:sz w:val="24"/>
                <w:szCs w:val="24"/>
              </w:rPr>
              <w:t>;</w:t>
            </w:r>
          </w:p>
          <w:p w14:paraId="6AD7FE78" w14:textId="77777777" w:rsidR="00035106" w:rsidRPr="00785799" w:rsidRDefault="00035106" w:rsidP="00035106">
            <w:pPr>
              <w:pStyle w:val="ListParagraph"/>
              <w:numPr>
                <w:ilvl w:val="0"/>
                <w:numId w:val="17"/>
              </w:numPr>
              <w:tabs>
                <w:tab w:val="left" w:pos="286"/>
              </w:tabs>
              <w:spacing w:after="0" w:line="240" w:lineRule="auto"/>
              <w:ind w:left="0" w:firstLine="35"/>
              <w:jc w:val="both"/>
              <w:rPr>
                <w:rFonts w:ascii="Times New Roman" w:hAnsi="Times New Roman"/>
                <w:sz w:val="24"/>
                <w:szCs w:val="24"/>
              </w:rPr>
            </w:pPr>
            <w:r w:rsidRPr="00785799">
              <w:rPr>
                <w:rFonts w:ascii="Times New Roman" w:hAnsi="Times New Roman"/>
                <w:sz w:val="24"/>
                <w:szCs w:val="24"/>
              </w:rPr>
              <w:t>Portfelio tinkamumo sąlygas</w:t>
            </w:r>
          </w:p>
        </w:tc>
      </w:tr>
      <w:tr w:rsidR="0014063E" w:rsidRPr="00B751E6" w14:paraId="347D2B07" w14:textId="77777777" w:rsidTr="00D95057">
        <w:tc>
          <w:tcPr>
            <w:tcW w:w="9351" w:type="dxa"/>
            <w:gridSpan w:val="2"/>
            <w:tcBorders>
              <w:bottom w:val="single" w:sz="4" w:space="0" w:color="000000"/>
            </w:tcBorders>
          </w:tcPr>
          <w:p w14:paraId="75F4799F" w14:textId="77777777" w:rsidR="0014063E" w:rsidRDefault="0014063E" w:rsidP="009873E8">
            <w:pPr>
              <w:pStyle w:val="ListParagraph"/>
              <w:tabs>
                <w:tab w:val="left" w:pos="286"/>
              </w:tabs>
              <w:spacing w:after="0" w:line="240" w:lineRule="auto"/>
              <w:ind w:left="0"/>
              <w:jc w:val="both"/>
              <w:rPr>
                <w:rFonts w:ascii="Times New Roman" w:hAnsi="Times New Roman"/>
                <w:b/>
                <w:sz w:val="24"/>
                <w:szCs w:val="24"/>
              </w:rPr>
            </w:pPr>
            <w:r w:rsidRPr="001A5202">
              <w:rPr>
                <w:rFonts w:ascii="Times New Roman" w:hAnsi="Times New Roman"/>
                <w:b/>
                <w:sz w:val="24"/>
                <w:szCs w:val="24"/>
              </w:rPr>
              <w:t>Tinkamumo sąlygos:</w:t>
            </w:r>
          </w:p>
          <w:p w14:paraId="059B5E4C" w14:textId="21593289" w:rsidR="0014063E" w:rsidRPr="00D81ECA" w:rsidRDefault="0014063E" w:rsidP="009873E8">
            <w:pPr>
              <w:pStyle w:val="ListParagraph"/>
              <w:tabs>
                <w:tab w:val="left" w:pos="286"/>
              </w:tabs>
              <w:spacing w:after="0" w:line="240" w:lineRule="auto"/>
              <w:ind w:left="0"/>
              <w:jc w:val="both"/>
              <w:rPr>
                <w:rFonts w:ascii="Times New Roman" w:hAnsi="Times New Roman"/>
                <w:sz w:val="24"/>
                <w:szCs w:val="24"/>
              </w:rPr>
            </w:pPr>
          </w:p>
        </w:tc>
      </w:tr>
      <w:tr w:rsidR="00035106" w:rsidRPr="00B751E6" w14:paraId="11DB0387" w14:textId="77777777" w:rsidTr="00D95057">
        <w:tc>
          <w:tcPr>
            <w:tcW w:w="2030" w:type="dxa"/>
            <w:tcBorders>
              <w:bottom w:val="single" w:sz="4" w:space="0" w:color="000000"/>
            </w:tcBorders>
          </w:tcPr>
          <w:p w14:paraId="40E885D5" w14:textId="77777777" w:rsidR="00035106" w:rsidRPr="001A5202"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sz w:val="24"/>
                <w:szCs w:val="24"/>
              </w:rPr>
              <w:t>MVĮ</w:t>
            </w:r>
            <w:r w:rsidRPr="00142589">
              <w:rPr>
                <w:rFonts w:ascii="Times New Roman" w:hAnsi="Times New Roman"/>
                <w:sz w:val="24"/>
                <w:szCs w:val="24"/>
              </w:rPr>
              <w:t xml:space="preserve"> tinkamumo sąlyg</w:t>
            </w:r>
            <w:r>
              <w:rPr>
                <w:rFonts w:ascii="Times New Roman" w:hAnsi="Times New Roman"/>
                <w:sz w:val="24"/>
                <w:szCs w:val="24"/>
              </w:rPr>
              <w:t>os</w:t>
            </w:r>
          </w:p>
        </w:tc>
        <w:tc>
          <w:tcPr>
            <w:tcW w:w="7321" w:type="dxa"/>
            <w:tcBorders>
              <w:bottom w:val="single" w:sz="4" w:space="0" w:color="000000"/>
            </w:tcBorders>
          </w:tcPr>
          <w:p w14:paraId="33631180" w14:textId="77777777" w:rsidR="00035106" w:rsidRPr="00142589" w:rsidRDefault="00035106" w:rsidP="009873E8">
            <w:pPr>
              <w:pStyle w:val="ListParagraph"/>
              <w:tabs>
                <w:tab w:val="left" w:pos="319"/>
              </w:tabs>
              <w:spacing w:after="0" w:line="240" w:lineRule="auto"/>
              <w:ind w:left="0"/>
              <w:jc w:val="both"/>
              <w:rPr>
                <w:rFonts w:ascii="Times New Roman" w:hAnsi="Times New Roman"/>
                <w:sz w:val="24"/>
                <w:szCs w:val="24"/>
              </w:rPr>
            </w:pPr>
            <w:r w:rsidRPr="00176D69">
              <w:rPr>
                <w:rFonts w:ascii="Times New Roman" w:hAnsi="Times New Roman"/>
                <w:sz w:val="24"/>
                <w:szCs w:val="24"/>
              </w:rPr>
              <w:t>1.</w:t>
            </w:r>
            <w:r>
              <w:rPr>
                <w:rFonts w:ascii="Times New Roman" w:hAnsi="Times New Roman"/>
                <w:sz w:val="24"/>
                <w:szCs w:val="24"/>
              </w:rPr>
              <w:t> Faktoringo sandorio,</w:t>
            </w:r>
            <w:r w:rsidRPr="00142589">
              <w:rPr>
                <w:rFonts w:ascii="Times New Roman" w:hAnsi="Times New Roman"/>
                <w:sz w:val="24"/>
                <w:szCs w:val="24"/>
              </w:rPr>
              <w:t xml:space="preserve"> įtraukiam</w:t>
            </w:r>
            <w:r>
              <w:rPr>
                <w:rFonts w:ascii="Times New Roman" w:hAnsi="Times New Roman"/>
                <w:sz w:val="24"/>
                <w:szCs w:val="24"/>
              </w:rPr>
              <w:t>o</w:t>
            </w:r>
            <w:r w:rsidRPr="00142589">
              <w:rPr>
                <w:rFonts w:ascii="Times New Roman" w:hAnsi="Times New Roman"/>
                <w:sz w:val="24"/>
                <w:szCs w:val="24"/>
              </w:rPr>
              <w:t xml:space="preserve"> į Portfel</w:t>
            </w:r>
            <w:r>
              <w:rPr>
                <w:rFonts w:ascii="Times New Roman" w:hAnsi="Times New Roman"/>
                <w:sz w:val="24"/>
                <w:szCs w:val="24"/>
              </w:rPr>
              <w:t>į</w:t>
            </w:r>
            <w:r w:rsidRPr="00142589">
              <w:rPr>
                <w:rFonts w:ascii="Times New Roman" w:hAnsi="Times New Roman"/>
                <w:sz w:val="24"/>
                <w:szCs w:val="24"/>
              </w:rPr>
              <w:t>, gavėja</w:t>
            </w:r>
            <w:r>
              <w:rPr>
                <w:rFonts w:ascii="Times New Roman" w:hAnsi="Times New Roman"/>
                <w:sz w:val="24"/>
                <w:szCs w:val="24"/>
              </w:rPr>
              <w:t>s</w:t>
            </w:r>
            <w:r w:rsidRPr="00142589">
              <w:rPr>
                <w:rFonts w:ascii="Times New Roman" w:hAnsi="Times New Roman"/>
                <w:sz w:val="24"/>
                <w:szCs w:val="24"/>
              </w:rPr>
              <w:t xml:space="preserve"> yra </w:t>
            </w:r>
            <w:r>
              <w:rPr>
                <w:rFonts w:ascii="Times New Roman" w:hAnsi="Times New Roman"/>
                <w:sz w:val="24"/>
                <w:szCs w:val="24"/>
              </w:rPr>
              <w:t>subjektas</w:t>
            </w:r>
            <w:r w:rsidRPr="00142589">
              <w:rPr>
                <w:rFonts w:ascii="Times New Roman" w:hAnsi="Times New Roman"/>
                <w:sz w:val="24"/>
                <w:szCs w:val="24"/>
              </w:rPr>
              <w:t>, kuri</w:t>
            </w:r>
            <w:r>
              <w:rPr>
                <w:rFonts w:ascii="Times New Roman" w:hAnsi="Times New Roman"/>
                <w:sz w:val="24"/>
                <w:szCs w:val="24"/>
              </w:rPr>
              <w:t>s</w:t>
            </w:r>
            <w:r w:rsidRPr="00142589">
              <w:rPr>
                <w:rFonts w:ascii="Times New Roman" w:hAnsi="Times New Roman"/>
                <w:sz w:val="24"/>
                <w:szCs w:val="24"/>
              </w:rPr>
              <w:t xml:space="preserve"> </w:t>
            </w:r>
            <w:r>
              <w:rPr>
                <w:rFonts w:ascii="Times New Roman" w:hAnsi="Times New Roman"/>
                <w:sz w:val="24"/>
                <w:szCs w:val="24"/>
              </w:rPr>
              <w:t>pagal SVV</w:t>
            </w:r>
            <w:r w:rsidRPr="00142589">
              <w:rPr>
                <w:rFonts w:ascii="Times New Roman" w:hAnsi="Times New Roman"/>
                <w:sz w:val="24"/>
                <w:szCs w:val="24"/>
              </w:rPr>
              <w:t xml:space="preserve"> įstatym</w:t>
            </w:r>
            <w:r>
              <w:rPr>
                <w:rFonts w:ascii="Times New Roman" w:hAnsi="Times New Roman"/>
                <w:sz w:val="24"/>
                <w:szCs w:val="24"/>
              </w:rPr>
              <w:t>ą</w:t>
            </w:r>
            <w:r w:rsidRPr="00142589">
              <w:rPr>
                <w:rFonts w:ascii="Times New Roman" w:hAnsi="Times New Roman"/>
                <w:sz w:val="24"/>
                <w:szCs w:val="24"/>
              </w:rPr>
              <w:t xml:space="preserve"> priskiriam</w:t>
            </w:r>
            <w:r>
              <w:rPr>
                <w:rFonts w:ascii="Times New Roman" w:hAnsi="Times New Roman"/>
                <w:sz w:val="24"/>
                <w:szCs w:val="24"/>
              </w:rPr>
              <w:t>as</w:t>
            </w:r>
            <w:r w:rsidRPr="00142589">
              <w:rPr>
                <w:rFonts w:ascii="Times New Roman" w:hAnsi="Times New Roman"/>
                <w:sz w:val="24"/>
                <w:szCs w:val="24"/>
              </w:rPr>
              <w:t xml:space="preserve"> </w:t>
            </w:r>
            <w:r>
              <w:rPr>
                <w:rFonts w:ascii="Times New Roman" w:hAnsi="Times New Roman"/>
                <w:sz w:val="24"/>
                <w:szCs w:val="24"/>
              </w:rPr>
              <w:t>MVĮ;</w:t>
            </w:r>
          </w:p>
          <w:p w14:paraId="7AA31C29"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t>2. MVĮ</w:t>
            </w:r>
            <w:r w:rsidRPr="000B3CED">
              <w:rPr>
                <w:rFonts w:ascii="Times New Roman" w:hAnsi="Times New Roman"/>
                <w:sz w:val="24"/>
                <w:szCs w:val="24"/>
              </w:rPr>
              <w:t xml:space="preserve">, </w:t>
            </w:r>
            <w:r w:rsidRPr="00EA3B71">
              <w:rPr>
                <w:rFonts w:ascii="Times New Roman" w:hAnsi="Times New Roman"/>
                <w:sz w:val="24"/>
                <w:szCs w:val="24"/>
              </w:rPr>
              <w:t>kurių Faktoringo sandoriai traukiam</w:t>
            </w:r>
            <w:r w:rsidRPr="00B851EF">
              <w:rPr>
                <w:rFonts w:ascii="Times New Roman" w:hAnsi="Times New Roman"/>
                <w:sz w:val="24"/>
                <w:szCs w:val="24"/>
              </w:rPr>
              <w:t xml:space="preserve">i į </w:t>
            </w:r>
            <w:r w:rsidRPr="00044073">
              <w:rPr>
                <w:rFonts w:ascii="Times New Roman" w:hAnsi="Times New Roman"/>
                <w:sz w:val="24"/>
                <w:szCs w:val="24"/>
              </w:rPr>
              <w:t xml:space="preserve">Portfelius, </w:t>
            </w:r>
            <w:r w:rsidRPr="00044073">
              <w:rPr>
                <w:rFonts w:ascii="Times New Roman" w:hAnsi="Times New Roman"/>
                <w:sz w:val="24"/>
              </w:rPr>
              <w:t>turi veikti Lietuvos Respublikoje.</w:t>
            </w:r>
            <w:r w:rsidRPr="00044073">
              <w:rPr>
                <w:rFonts w:ascii="Times New Roman" w:hAnsi="Times New Roman"/>
                <w:sz w:val="24"/>
                <w:szCs w:val="24"/>
              </w:rPr>
              <w:t xml:space="preserve"> MVĮ laikomas veikiančiu Lietuvos Respub</w:t>
            </w:r>
            <w:r w:rsidRPr="00EA3B71">
              <w:rPr>
                <w:rFonts w:ascii="Times New Roman" w:hAnsi="Times New Roman"/>
                <w:sz w:val="24"/>
                <w:szCs w:val="24"/>
              </w:rPr>
              <w:t>likoje tuo atveju, jei jis kuria darbo vietas Lietuvos Respublikoje ir (arba) nuo savo vykdomos veiklos moka mokesčius arba Valstybinio socialinio draudimo fondo valdybos prie Socialinės apsaugos ir darbo ministerijos įmokas į Lietuvos Respublikos biudžetą</w:t>
            </w:r>
            <w:r>
              <w:rPr>
                <w:rFonts w:ascii="Times New Roman" w:hAnsi="Times New Roman"/>
                <w:sz w:val="24"/>
                <w:szCs w:val="24"/>
              </w:rPr>
              <w:t>;</w:t>
            </w:r>
          </w:p>
          <w:p w14:paraId="5E7C47BB" w14:textId="77777777" w:rsidR="00035106" w:rsidRDefault="00035106" w:rsidP="009873E8">
            <w:pPr>
              <w:pStyle w:val="ListParagraph"/>
              <w:tabs>
                <w:tab w:val="left" w:pos="286"/>
              </w:tabs>
              <w:spacing w:after="0" w:line="240" w:lineRule="auto"/>
              <w:ind w:left="0"/>
              <w:jc w:val="both"/>
              <w:rPr>
                <w:rFonts w:ascii="Times New Roman" w:hAnsi="Times New Roman"/>
                <w:sz w:val="24"/>
                <w:szCs w:val="24"/>
              </w:rPr>
            </w:pPr>
            <w:r>
              <w:rPr>
                <w:rFonts w:ascii="Times New Roman" w:hAnsi="Times New Roman"/>
                <w:sz w:val="24"/>
                <w:szCs w:val="24"/>
              </w:rPr>
              <w:t>3. MVĮ finansavimo rizika patenka į priimtinos rizikos kategoriją, j</w:t>
            </w:r>
            <w:r w:rsidRPr="007F393A">
              <w:rPr>
                <w:rFonts w:ascii="Times New Roman" w:hAnsi="Times New Roman"/>
                <w:sz w:val="24"/>
                <w:szCs w:val="24"/>
              </w:rPr>
              <w:t xml:space="preserve">eigu </w:t>
            </w:r>
            <w:r>
              <w:rPr>
                <w:rFonts w:ascii="Times New Roman" w:hAnsi="Times New Roman"/>
                <w:sz w:val="24"/>
                <w:szCs w:val="24"/>
              </w:rPr>
              <w:t>PGF2 priemonės valdytojo Faktoringo sandorio</w:t>
            </w:r>
            <w:r w:rsidRPr="007F393A">
              <w:rPr>
                <w:rFonts w:ascii="Times New Roman" w:hAnsi="Times New Roman"/>
                <w:sz w:val="24"/>
                <w:szCs w:val="24"/>
              </w:rPr>
              <w:t xml:space="preserve"> gavėjui nustatytas </w:t>
            </w:r>
            <w:r>
              <w:rPr>
                <w:rFonts w:ascii="Times New Roman" w:hAnsi="Times New Roman"/>
                <w:sz w:val="24"/>
                <w:szCs w:val="24"/>
              </w:rPr>
              <w:t>finansavimo</w:t>
            </w:r>
            <w:r w:rsidRPr="007F393A">
              <w:rPr>
                <w:rFonts w:ascii="Times New Roman" w:hAnsi="Times New Roman"/>
                <w:sz w:val="24"/>
                <w:szCs w:val="24"/>
              </w:rPr>
              <w:t xml:space="preserve"> reitingas yra ne mažesnis kaip „B-“ ar „B3“ reitingai pagal tarptautinių reitingų agentūrų (angl. Standard and Poor‘s, Fitch ir Moody‘s) naudojamą reitingavimą arba šiems reitingams prilygintas </w:t>
            </w:r>
            <w:r>
              <w:rPr>
                <w:rFonts w:ascii="Times New Roman" w:hAnsi="Times New Roman"/>
                <w:sz w:val="24"/>
                <w:szCs w:val="24"/>
              </w:rPr>
              <w:t>PGF2 priemonės valdytojo</w:t>
            </w:r>
            <w:r w:rsidRPr="007F393A">
              <w:rPr>
                <w:rFonts w:ascii="Times New Roman" w:hAnsi="Times New Roman"/>
                <w:sz w:val="24"/>
                <w:szCs w:val="24"/>
              </w:rPr>
              <w:t xml:space="preserve"> </w:t>
            </w:r>
            <w:r>
              <w:rPr>
                <w:rFonts w:ascii="Times New Roman" w:hAnsi="Times New Roman"/>
                <w:sz w:val="24"/>
                <w:szCs w:val="24"/>
              </w:rPr>
              <w:t>Faktoringo sandorio</w:t>
            </w:r>
            <w:r w:rsidRPr="007F393A">
              <w:rPr>
                <w:rFonts w:ascii="Times New Roman" w:hAnsi="Times New Roman"/>
                <w:sz w:val="24"/>
                <w:szCs w:val="24"/>
              </w:rPr>
              <w:t xml:space="preserve"> gavėj</w:t>
            </w:r>
            <w:r>
              <w:rPr>
                <w:rFonts w:ascii="Times New Roman" w:hAnsi="Times New Roman"/>
                <w:sz w:val="24"/>
                <w:szCs w:val="24"/>
              </w:rPr>
              <w:t>ui</w:t>
            </w:r>
            <w:r w:rsidRPr="007F393A">
              <w:rPr>
                <w:rFonts w:ascii="Times New Roman" w:hAnsi="Times New Roman"/>
                <w:sz w:val="24"/>
                <w:szCs w:val="24"/>
              </w:rPr>
              <w:t xml:space="preserve"> nustatytas </w:t>
            </w:r>
            <w:r>
              <w:rPr>
                <w:rFonts w:ascii="Times New Roman" w:hAnsi="Times New Roman"/>
                <w:sz w:val="24"/>
                <w:szCs w:val="24"/>
              </w:rPr>
              <w:t>finansavimo</w:t>
            </w:r>
            <w:r w:rsidRPr="007F393A">
              <w:rPr>
                <w:rFonts w:ascii="Times New Roman" w:hAnsi="Times New Roman"/>
                <w:sz w:val="24"/>
                <w:szCs w:val="24"/>
              </w:rPr>
              <w:t xml:space="preserve"> reitingas</w:t>
            </w:r>
            <w:r>
              <w:rPr>
                <w:rFonts w:ascii="Times New Roman" w:hAnsi="Times New Roman"/>
                <w:sz w:val="24"/>
                <w:szCs w:val="24"/>
              </w:rPr>
              <w:t>.</w:t>
            </w:r>
          </w:p>
          <w:p w14:paraId="60D8AE11" w14:textId="77777777" w:rsidR="00035106" w:rsidRDefault="00035106" w:rsidP="009873E8">
            <w:pPr>
              <w:pStyle w:val="ListParagraph"/>
              <w:tabs>
                <w:tab w:val="left" w:pos="286"/>
              </w:tabs>
              <w:spacing w:after="0" w:line="240" w:lineRule="auto"/>
              <w:ind w:left="0"/>
              <w:jc w:val="both"/>
              <w:rPr>
                <w:rFonts w:ascii="Times New Roman" w:hAnsi="Times New Roman"/>
                <w:sz w:val="24"/>
                <w:szCs w:val="24"/>
              </w:rPr>
            </w:pPr>
          </w:p>
          <w:p w14:paraId="739AB9E9" w14:textId="77777777" w:rsidR="00035106" w:rsidRPr="00D81ECA" w:rsidRDefault="00035106" w:rsidP="009873E8">
            <w:pPr>
              <w:pStyle w:val="ListParagraph"/>
              <w:tabs>
                <w:tab w:val="left" w:pos="286"/>
              </w:tabs>
              <w:spacing w:after="0" w:line="240" w:lineRule="auto"/>
              <w:ind w:left="0"/>
              <w:jc w:val="both"/>
              <w:rPr>
                <w:rFonts w:ascii="Times New Roman" w:hAnsi="Times New Roman"/>
                <w:sz w:val="24"/>
                <w:szCs w:val="24"/>
              </w:rPr>
            </w:pPr>
            <w:r w:rsidRPr="00712477">
              <w:rPr>
                <w:rFonts w:ascii="Times New Roman" w:hAnsi="Times New Roman"/>
                <w:sz w:val="24"/>
                <w:szCs w:val="24"/>
              </w:rPr>
              <w:t xml:space="preserve">Tai, ar Faktoringo sandorio gavėjas atitinka </w:t>
            </w:r>
            <w:r>
              <w:rPr>
                <w:rFonts w:ascii="Times New Roman" w:hAnsi="Times New Roman"/>
                <w:sz w:val="24"/>
                <w:szCs w:val="24"/>
              </w:rPr>
              <w:t xml:space="preserve">1, 2 ir 3 punktuose nustatytas </w:t>
            </w:r>
            <w:r w:rsidRPr="00712477">
              <w:rPr>
                <w:rFonts w:ascii="Times New Roman" w:hAnsi="Times New Roman"/>
                <w:sz w:val="24"/>
                <w:szCs w:val="24"/>
              </w:rPr>
              <w:t>MVĮ tinkamumo sąlygas, faktoringo suteikimo metu</w:t>
            </w:r>
            <w:r>
              <w:rPr>
                <w:rFonts w:ascii="Times New Roman" w:hAnsi="Times New Roman"/>
                <w:sz w:val="24"/>
                <w:szCs w:val="24"/>
              </w:rPr>
              <w:t xml:space="preserve"> nustato PGF2 priemonės valdytojas</w:t>
            </w:r>
          </w:p>
        </w:tc>
      </w:tr>
      <w:tr w:rsidR="00035106" w:rsidRPr="00B751E6" w14:paraId="4824BC5F" w14:textId="77777777" w:rsidTr="00D95057">
        <w:tc>
          <w:tcPr>
            <w:tcW w:w="2030" w:type="dxa"/>
            <w:tcBorders>
              <w:bottom w:val="single" w:sz="4" w:space="0" w:color="000000"/>
            </w:tcBorders>
          </w:tcPr>
          <w:p w14:paraId="1A230A77" w14:textId="77777777" w:rsidR="00035106" w:rsidRPr="00142589" w:rsidRDefault="00035106" w:rsidP="009873E8">
            <w:pPr>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Faktoringo sandorių,</w:t>
            </w:r>
            <w:r w:rsidRPr="00CE04AC">
              <w:rPr>
                <w:rFonts w:ascii="Times New Roman" w:hAnsi="Times New Roman"/>
                <w:sz w:val="24"/>
                <w:szCs w:val="24"/>
              </w:rPr>
              <w:t xml:space="preserve"> įtraukiamų į Portfel</w:t>
            </w:r>
            <w:r>
              <w:rPr>
                <w:rFonts w:ascii="Times New Roman" w:hAnsi="Times New Roman"/>
                <w:sz w:val="24"/>
                <w:szCs w:val="24"/>
              </w:rPr>
              <w:t>į</w:t>
            </w:r>
            <w:r w:rsidRPr="00CE04AC">
              <w:rPr>
                <w:rFonts w:ascii="Times New Roman" w:hAnsi="Times New Roman"/>
                <w:sz w:val="24"/>
                <w:szCs w:val="24"/>
              </w:rPr>
              <w:t>, tinkamumo sąlygos</w:t>
            </w:r>
          </w:p>
        </w:tc>
        <w:tc>
          <w:tcPr>
            <w:tcW w:w="7321" w:type="dxa"/>
            <w:tcBorders>
              <w:bottom w:val="single" w:sz="4" w:space="0" w:color="000000"/>
            </w:tcBorders>
          </w:tcPr>
          <w:p w14:paraId="4D554874"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r w:rsidRPr="00785799">
              <w:rPr>
                <w:rFonts w:ascii="Times New Roman" w:hAnsi="Times New Roman"/>
                <w:sz w:val="24"/>
                <w:szCs w:val="24"/>
              </w:rPr>
              <w:t>1.</w:t>
            </w:r>
            <w:r>
              <w:rPr>
                <w:rFonts w:ascii="Times New Roman" w:hAnsi="Times New Roman"/>
                <w:sz w:val="24"/>
                <w:szCs w:val="24"/>
              </w:rPr>
              <w:t> </w:t>
            </w:r>
            <w:r w:rsidRPr="00712477">
              <w:rPr>
                <w:rFonts w:ascii="Times New Roman" w:hAnsi="Times New Roman"/>
                <w:sz w:val="24"/>
                <w:szCs w:val="24"/>
              </w:rPr>
              <w:t>Faktoringo sandoriai gali būti sudaromi su MVĮ atsiskaityti su pirkėjais, su kuriais sudaryta prekių ir (arba) paslaugų pirkimo–pardavimo sutartis ir (ar) kurie pateikia prekių ir (arba) paslaugų užsakymų lapu</w:t>
            </w:r>
            <w:r>
              <w:rPr>
                <w:rFonts w:ascii="Times New Roman" w:hAnsi="Times New Roman"/>
                <w:sz w:val="24"/>
                <w:szCs w:val="24"/>
              </w:rPr>
              <w:t>s;</w:t>
            </w:r>
          </w:p>
          <w:p w14:paraId="5BC96015" w14:textId="77777777" w:rsidR="00035106" w:rsidRPr="00785799"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t>2. Faktoringo sandoriai</w:t>
            </w:r>
            <w:r w:rsidRPr="00785799">
              <w:rPr>
                <w:rFonts w:ascii="Times New Roman" w:hAnsi="Times New Roman"/>
                <w:sz w:val="24"/>
                <w:szCs w:val="24"/>
              </w:rPr>
              <w:t xml:space="preserve"> </w:t>
            </w:r>
            <w:r w:rsidRPr="00216161">
              <w:rPr>
                <w:rFonts w:ascii="Times New Roman" w:hAnsi="Times New Roman"/>
                <w:sz w:val="24"/>
                <w:szCs w:val="24"/>
              </w:rPr>
              <w:t>finansuoti iš PGF2</w:t>
            </w:r>
            <w:r w:rsidRPr="00785799">
              <w:rPr>
                <w:rFonts w:ascii="Times New Roman" w:hAnsi="Times New Roman"/>
                <w:sz w:val="24"/>
                <w:szCs w:val="24"/>
              </w:rPr>
              <w:t xml:space="preserve"> priemonės valdytoj</w:t>
            </w:r>
            <w:r>
              <w:rPr>
                <w:rFonts w:ascii="Times New Roman" w:hAnsi="Times New Roman"/>
                <w:sz w:val="24"/>
                <w:szCs w:val="24"/>
              </w:rPr>
              <w:t>o</w:t>
            </w:r>
            <w:r w:rsidRPr="00785799">
              <w:rPr>
                <w:rFonts w:ascii="Times New Roman" w:hAnsi="Times New Roman"/>
                <w:sz w:val="24"/>
                <w:szCs w:val="24"/>
              </w:rPr>
              <w:t xml:space="preserve"> </w:t>
            </w:r>
            <w:r>
              <w:rPr>
                <w:rFonts w:ascii="Times New Roman" w:hAnsi="Times New Roman"/>
                <w:sz w:val="24"/>
                <w:szCs w:val="24"/>
              </w:rPr>
              <w:t>lėšų;</w:t>
            </w:r>
          </w:p>
          <w:p w14:paraId="5777EC94" w14:textId="77777777" w:rsidR="00035106" w:rsidRPr="00785799"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t>3</w:t>
            </w:r>
            <w:r w:rsidRPr="00785799">
              <w:rPr>
                <w:rFonts w:ascii="Times New Roman" w:hAnsi="Times New Roman"/>
                <w:sz w:val="24"/>
                <w:szCs w:val="24"/>
              </w:rPr>
              <w:t>.</w:t>
            </w:r>
            <w:r>
              <w:rPr>
                <w:rFonts w:ascii="Times New Roman" w:hAnsi="Times New Roman"/>
                <w:sz w:val="24"/>
                <w:szCs w:val="24"/>
              </w:rPr>
              <w:t xml:space="preserve"> Finansavimas </w:t>
            </w:r>
            <w:r w:rsidRPr="009A24AC">
              <w:rPr>
                <w:rFonts w:ascii="Times New Roman" w:hAnsi="Times New Roman"/>
                <w:sz w:val="24"/>
                <w:szCs w:val="24"/>
              </w:rPr>
              <w:t>Faktoringo sandorio forma gali būti skirtas tik potencialiai ekonomiškai gyvybingoms veikloms</w:t>
            </w:r>
            <w:r w:rsidRPr="00D263BD">
              <w:rPr>
                <w:rFonts w:ascii="Times New Roman" w:hAnsi="Times New Roman"/>
                <w:sz w:val="24"/>
                <w:szCs w:val="24"/>
              </w:rPr>
              <w:t>;</w:t>
            </w:r>
          </w:p>
          <w:p w14:paraId="2EBBD9A3"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lastRenderedPageBreak/>
              <w:t>4</w:t>
            </w:r>
            <w:r w:rsidRPr="00785799">
              <w:rPr>
                <w:rFonts w:ascii="Times New Roman" w:hAnsi="Times New Roman"/>
                <w:sz w:val="24"/>
                <w:szCs w:val="24"/>
              </w:rPr>
              <w:t>.</w:t>
            </w:r>
            <w:r>
              <w:rPr>
                <w:rFonts w:ascii="Times New Roman" w:hAnsi="Times New Roman"/>
                <w:sz w:val="24"/>
                <w:szCs w:val="24"/>
              </w:rPr>
              <w:t> Faktoringo sandoris turi būti</w:t>
            </w:r>
            <w:r w:rsidRPr="00785799">
              <w:rPr>
                <w:rFonts w:ascii="Times New Roman" w:hAnsi="Times New Roman"/>
                <w:sz w:val="24"/>
                <w:szCs w:val="24"/>
              </w:rPr>
              <w:t xml:space="preserve"> sudaryta</w:t>
            </w:r>
            <w:r>
              <w:rPr>
                <w:rFonts w:ascii="Times New Roman" w:hAnsi="Times New Roman"/>
                <w:sz w:val="24"/>
                <w:szCs w:val="24"/>
              </w:rPr>
              <w:t>s</w:t>
            </w:r>
            <w:r w:rsidRPr="00785799">
              <w:rPr>
                <w:rFonts w:ascii="Times New Roman" w:hAnsi="Times New Roman"/>
                <w:sz w:val="24"/>
                <w:szCs w:val="24"/>
              </w:rPr>
              <w:t xml:space="preserve"> ir į Portfelį įtraukta</w:t>
            </w:r>
            <w:r>
              <w:rPr>
                <w:rFonts w:ascii="Times New Roman" w:hAnsi="Times New Roman"/>
                <w:sz w:val="24"/>
                <w:szCs w:val="24"/>
              </w:rPr>
              <w:t>s</w:t>
            </w:r>
            <w:r w:rsidRPr="00785799">
              <w:rPr>
                <w:rFonts w:ascii="Times New Roman" w:hAnsi="Times New Roman"/>
                <w:sz w:val="24"/>
                <w:szCs w:val="24"/>
              </w:rPr>
              <w:t xml:space="preserve"> per Tinkamumo laikotarpį (</w:t>
            </w:r>
            <w:r>
              <w:rPr>
                <w:rFonts w:ascii="Times New Roman" w:hAnsi="Times New Roman"/>
                <w:sz w:val="24"/>
                <w:szCs w:val="24"/>
              </w:rPr>
              <w:t>Faktoringo sandoriai</w:t>
            </w:r>
            <w:r w:rsidRPr="00785799">
              <w:rPr>
                <w:rFonts w:ascii="Times New Roman" w:hAnsi="Times New Roman"/>
                <w:sz w:val="24"/>
                <w:szCs w:val="24"/>
              </w:rPr>
              <w:t xml:space="preserve">, </w:t>
            </w:r>
            <w:r>
              <w:rPr>
                <w:rFonts w:ascii="Times New Roman" w:hAnsi="Times New Roman"/>
                <w:sz w:val="24"/>
                <w:szCs w:val="24"/>
              </w:rPr>
              <w:t xml:space="preserve">kurie yra refinansuojami arba </w:t>
            </w:r>
            <w:r w:rsidRPr="00785799">
              <w:rPr>
                <w:rFonts w:ascii="Times New Roman" w:hAnsi="Times New Roman"/>
                <w:sz w:val="24"/>
                <w:szCs w:val="24"/>
              </w:rPr>
              <w:t>kurių tr</w:t>
            </w:r>
            <w:r>
              <w:rPr>
                <w:rFonts w:ascii="Times New Roman" w:hAnsi="Times New Roman"/>
                <w:sz w:val="24"/>
                <w:szCs w:val="24"/>
              </w:rPr>
              <w:t>ukmė yra pratęsiama, nėra laikomi naujais Faktoringo sandoriais);</w:t>
            </w:r>
          </w:p>
          <w:p w14:paraId="7798FCF5" w14:textId="77777777" w:rsidR="00035106" w:rsidRPr="000D1754" w:rsidRDefault="00035106" w:rsidP="009873E8">
            <w:pPr>
              <w:pStyle w:val="CommentText"/>
              <w:tabs>
                <w:tab w:val="left" w:pos="359"/>
              </w:tabs>
              <w:jc w:val="both"/>
              <w:rPr>
                <w:rFonts w:ascii="Times New Roman" w:hAnsi="Times New Roman"/>
                <w:sz w:val="24"/>
                <w:szCs w:val="24"/>
              </w:rPr>
            </w:pPr>
            <w:r>
              <w:rPr>
                <w:rFonts w:ascii="Times New Roman" w:hAnsi="Times New Roman"/>
                <w:sz w:val="24"/>
                <w:szCs w:val="24"/>
              </w:rPr>
              <w:t>5. </w:t>
            </w:r>
            <w:r w:rsidRPr="00FB4E3D">
              <w:rPr>
                <w:rFonts w:ascii="Times New Roman" w:hAnsi="Times New Roman"/>
                <w:sz w:val="24"/>
                <w:szCs w:val="24"/>
                <w:lang w:eastAsia="en-US"/>
              </w:rPr>
              <w:t>Faktoringo sandorio lėšomis negali būti finansuojamos sąskaitos faktūros, MVĮ išrašytos susijusioms ir partnerinėms įmonėms, kaip jos suprantamos pagal SVV įstatymą</w:t>
            </w:r>
            <w:r>
              <w:rPr>
                <w:rFonts w:ascii="Times New Roman" w:hAnsi="Times New Roman"/>
                <w:sz w:val="24"/>
                <w:szCs w:val="24"/>
                <w:lang w:eastAsia="en-US"/>
              </w:rPr>
              <w:t>;</w:t>
            </w:r>
          </w:p>
          <w:p w14:paraId="432D2C6E"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r w:rsidRPr="00176D69">
              <w:rPr>
                <w:rFonts w:ascii="Times New Roman" w:hAnsi="Times New Roman"/>
                <w:sz w:val="24"/>
                <w:szCs w:val="24"/>
              </w:rPr>
              <w:t>6</w:t>
            </w:r>
            <w:r w:rsidRPr="000D1754">
              <w:rPr>
                <w:rFonts w:ascii="Times New Roman" w:hAnsi="Times New Roman"/>
                <w:sz w:val="24"/>
                <w:szCs w:val="24"/>
              </w:rPr>
              <w:t>.</w:t>
            </w:r>
            <w:r>
              <w:rPr>
                <w:rFonts w:ascii="Times New Roman" w:hAnsi="Times New Roman"/>
                <w:sz w:val="24"/>
                <w:szCs w:val="24"/>
              </w:rPr>
              <w:t> </w:t>
            </w:r>
            <w:r>
              <w:rPr>
                <w:rFonts w:ascii="Times New Roman" w:hAnsi="Times New Roman"/>
                <w:sz w:val="24"/>
                <w:szCs w:val="24"/>
                <w:lang w:eastAsia="lt-LT"/>
              </w:rPr>
              <w:t>PGF2</w:t>
            </w:r>
            <w:r w:rsidRPr="00121E4B">
              <w:rPr>
                <w:rFonts w:ascii="Times New Roman" w:hAnsi="Times New Roman"/>
                <w:sz w:val="24"/>
                <w:szCs w:val="24"/>
                <w:lang w:eastAsia="lt-LT"/>
              </w:rPr>
              <w:t xml:space="preserve"> priemonės valdytojas, suteikęs Faktoringo sandorį, turi turėti Faktoringo avansų išmokėjimą pagrindžiančius dokumentus, sąskaitas faktūras ir (arba) užsakymų lapus, ir (arba) kitus pirkimo–pardavimo sandorį įrodančius dokumentus</w:t>
            </w:r>
            <w:r>
              <w:rPr>
                <w:rFonts w:ascii="Times New Roman" w:hAnsi="Times New Roman"/>
                <w:sz w:val="24"/>
                <w:szCs w:val="24"/>
                <w:lang w:eastAsia="lt-LT"/>
              </w:rPr>
              <w:t xml:space="preserve">; </w:t>
            </w:r>
          </w:p>
          <w:p w14:paraId="370E4151"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t>7</w:t>
            </w:r>
            <w:r w:rsidRPr="00785799">
              <w:rPr>
                <w:rFonts w:ascii="Times New Roman" w:hAnsi="Times New Roman"/>
                <w:sz w:val="24"/>
                <w:szCs w:val="24"/>
              </w:rPr>
              <w:t>.</w:t>
            </w:r>
            <w:r>
              <w:rPr>
                <w:rFonts w:ascii="Times New Roman" w:hAnsi="Times New Roman"/>
                <w:sz w:val="24"/>
                <w:szCs w:val="24"/>
              </w:rPr>
              <w:t> </w:t>
            </w:r>
            <w:r w:rsidRPr="00712477">
              <w:rPr>
                <w:rFonts w:ascii="Times New Roman" w:hAnsi="Times New Roman"/>
                <w:sz w:val="24"/>
                <w:szCs w:val="24"/>
              </w:rPr>
              <w:t>Faktoringo sandorių finansavimo laikotarpis</w:t>
            </w:r>
            <w:r>
              <w:rPr>
                <w:rFonts w:ascii="Times New Roman" w:hAnsi="Times New Roman"/>
                <w:sz w:val="24"/>
                <w:szCs w:val="24"/>
              </w:rPr>
              <w:t xml:space="preserve"> </w:t>
            </w:r>
            <w:r w:rsidRPr="00712477">
              <w:rPr>
                <w:rFonts w:ascii="Times New Roman" w:hAnsi="Times New Roman"/>
                <w:sz w:val="24"/>
                <w:szCs w:val="24"/>
              </w:rPr>
              <w:t>– ne ilgesni</w:t>
            </w:r>
            <w:r>
              <w:rPr>
                <w:rFonts w:ascii="Times New Roman" w:hAnsi="Times New Roman"/>
                <w:sz w:val="24"/>
                <w:szCs w:val="24"/>
              </w:rPr>
              <w:t>s</w:t>
            </w:r>
            <w:r w:rsidRPr="00712477">
              <w:rPr>
                <w:rFonts w:ascii="Times New Roman" w:hAnsi="Times New Roman"/>
                <w:sz w:val="24"/>
                <w:szCs w:val="24"/>
              </w:rPr>
              <w:t xml:space="preserve"> nei 12</w:t>
            </w:r>
            <w:r>
              <w:rPr>
                <w:rFonts w:ascii="Times New Roman" w:hAnsi="Times New Roman"/>
                <w:sz w:val="24"/>
                <w:szCs w:val="24"/>
              </w:rPr>
              <w:t> </w:t>
            </w:r>
            <w:r w:rsidRPr="00712477">
              <w:rPr>
                <w:rFonts w:ascii="Times New Roman" w:hAnsi="Times New Roman"/>
                <w:sz w:val="24"/>
                <w:szCs w:val="24"/>
              </w:rPr>
              <w:t>mėnesių laikotarpi</w:t>
            </w:r>
            <w:r>
              <w:rPr>
                <w:rFonts w:ascii="Times New Roman" w:hAnsi="Times New Roman"/>
                <w:sz w:val="24"/>
                <w:szCs w:val="24"/>
              </w:rPr>
              <w:t>s</w:t>
            </w:r>
            <w:r w:rsidRPr="00712477">
              <w:rPr>
                <w:rFonts w:ascii="Times New Roman" w:hAnsi="Times New Roman"/>
                <w:sz w:val="24"/>
                <w:szCs w:val="24"/>
              </w:rPr>
              <w:t>. Jei Faktoringo sandoris sudarytas trumpesniam nei 12 mėnesių laikotarpiui, Faktoringo sandori</w:t>
            </w:r>
            <w:r>
              <w:rPr>
                <w:rFonts w:ascii="Times New Roman" w:hAnsi="Times New Roman"/>
                <w:sz w:val="24"/>
                <w:szCs w:val="24"/>
              </w:rPr>
              <w:t>o</w:t>
            </w:r>
            <w:r w:rsidRPr="00712477">
              <w:rPr>
                <w:rFonts w:ascii="Times New Roman" w:hAnsi="Times New Roman"/>
                <w:sz w:val="24"/>
                <w:szCs w:val="24"/>
              </w:rPr>
              <w:t xml:space="preserve"> finansavimo laikotarpis gali būti pratęstas, tačiau bet kuriuo atveju Faktoringo sandorio finansavimo laikotarpis negali būti ilgesnis nei 12 mėn., finansavimo laikotarpį skaičiuojant nuo esamos Faktoringo sandorio sutarties sudarymo dienos</w:t>
            </w:r>
            <w:r>
              <w:rPr>
                <w:rFonts w:ascii="Times New Roman" w:hAnsi="Times New Roman"/>
                <w:sz w:val="24"/>
                <w:szCs w:val="24"/>
              </w:rPr>
              <w:t>;;</w:t>
            </w:r>
          </w:p>
          <w:p w14:paraId="38EC9399" w14:textId="77777777" w:rsidR="00035106" w:rsidRPr="00785799"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t xml:space="preserve">8. Faktoringo sandorių </w:t>
            </w:r>
            <w:r w:rsidRPr="00785799">
              <w:rPr>
                <w:rFonts w:ascii="Times New Roman" w:hAnsi="Times New Roman"/>
                <w:sz w:val="24"/>
                <w:szCs w:val="24"/>
              </w:rPr>
              <w:t xml:space="preserve">valiuta: </w:t>
            </w:r>
            <w:r>
              <w:rPr>
                <w:rFonts w:ascii="Times New Roman" w:hAnsi="Times New Roman"/>
                <w:sz w:val="24"/>
                <w:szCs w:val="24"/>
              </w:rPr>
              <w:t xml:space="preserve">eurai. </w:t>
            </w:r>
            <w:r w:rsidRPr="005A4BD6">
              <w:rPr>
                <w:rFonts w:ascii="Times New Roman" w:hAnsi="Times New Roman"/>
                <w:sz w:val="24"/>
                <w:szCs w:val="24"/>
              </w:rPr>
              <w:t>Pasikeitus valiutai – nauja nacionaline valiuta</w:t>
            </w:r>
            <w:r>
              <w:rPr>
                <w:rFonts w:ascii="Times New Roman" w:hAnsi="Times New Roman"/>
                <w:sz w:val="24"/>
                <w:szCs w:val="24"/>
              </w:rPr>
              <w:t xml:space="preserve"> ir (arba) eurais;</w:t>
            </w:r>
          </w:p>
          <w:p w14:paraId="66E71FE2"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r>
              <w:rPr>
                <w:rFonts w:ascii="Times New Roman" w:hAnsi="Times New Roman"/>
                <w:sz w:val="24"/>
                <w:szCs w:val="24"/>
              </w:rPr>
              <w:t>9</w:t>
            </w:r>
            <w:r w:rsidRPr="00785799">
              <w:rPr>
                <w:rFonts w:ascii="Times New Roman" w:hAnsi="Times New Roman"/>
                <w:sz w:val="24"/>
                <w:szCs w:val="24"/>
              </w:rPr>
              <w:t>.</w:t>
            </w:r>
            <w:r>
              <w:rPr>
                <w:rFonts w:ascii="Times New Roman" w:hAnsi="Times New Roman"/>
                <w:sz w:val="24"/>
                <w:szCs w:val="24"/>
              </w:rPr>
              <w:t> Faktoringo sandoriai teikiami</w:t>
            </w:r>
            <w:r w:rsidRPr="00785799">
              <w:rPr>
                <w:rFonts w:ascii="Times New Roman" w:hAnsi="Times New Roman"/>
                <w:sz w:val="24"/>
                <w:szCs w:val="24"/>
              </w:rPr>
              <w:t xml:space="preserve"> pagal vidines </w:t>
            </w:r>
            <w:r>
              <w:rPr>
                <w:rFonts w:ascii="Times New Roman" w:hAnsi="Times New Roman"/>
                <w:sz w:val="24"/>
                <w:szCs w:val="24"/>
              </w:rPr>
              <w:t>PGF2</w:t>
            </w:r>
            <w:r w:rsidRPr="00785799">
              <w:rPr>
                <w:rFonts w:ascii="Times New Roman" w:hAnsi="Times New Roman"/>
                <w:sz w:val="24"/>
                <w:szCs w:val="24"/>
              </w:rPr>
              <w:t xml:space="preserve"> priemonės valdytojų procedūras ir </w:t>
            </w:r>
            <w:r>
              <w:rPr>
                <w:rFonts w:ascii="Times New Roman" w:hAnsi="Times New Roman"/>
                <w:sz w:val="24"/>
                <w:szCs w:val="24"/>
              </w:rPr>
              <w:t>standartinę kreditavimo tvarką.</w:t>
            </w:r>
          </w:p>
          <w:p w14:paraId="4BBF0FFF" w14:textId="77777777" w:rsidR="00035106" w:rsidRDefault="00035106" w:rsidP="009873E8">
            <w:pPr>
              <w:pStyle w:val="ListParagraph"/>
              <w:tabs>
                <w:tab w:val="left" w:pos="319"/>
              </w:tabs>
              <w:spacing w:after="0" w:line="240" w:lineRule="auto"/>
              <w:ind w:left="0"/>
              <w:jc w:val="both"/>
              <w:rPr>
                <w:rFonts w:ascii="Times New Roman" w:hAnsi="Times New Roman"/>
                <w:sz w:val="24"/>
                <w:szCs w:val="24"/>
              </w:rPr>
            </w:pPr>
          </w:p>
          <w:p w14:paraId="7BD57CE1" w14:textId="77777777" w:rsidR="00035106" w:rsidRPr="00C65FDF" w:rsidRDefault="00035106" w:rsidP="009873E8">
            <w:pPr>
              <w:pStyle w:val="ListParagraph"/>
              <w:tabs>
                <w:tab w:val="left" w:pos="319"/>
              </w:tabs>
              <w:spacing w:after="0" w:line="240" w:lineRule="auto"/>
              <w:ind w:left="0"/>
              <w:jc w:val="both"/>
              <w:rPr>
                <w:rFonts w:ascii="Times New Roman" w:hAnsi="Times New Roman"/>
                <w:sz w:val="24"/>
                <w:szCs w:val="24"/>
              </w:rPr>
            </w:pPr>
            <w:r w:rsidRPr="001C5180">
              <w:rPr>
                <w:rFonts w:ascii="Times New Roman" w:hAnsi="Times New Roman"/>
                <w:sz w:val="24"/>
                <w:szCs w:val="24"/>
              </w:rPr>
              <w:t xml:space="preserve">Pažeidus Portfelio tinkamumo sąlygas bus stabdomas </w:t>
            </w:r>
            <w:r>
              <w:rPr>
                <w:rFonts w:ascii="Times New Roman" w:hAnsi="Times New Roman"/>
                <w:sz w:val="24"/>
                <w:szCs w:val="24"/>
              </w:rPr>
              <w:t>PGF2</w:t>
            </w:r>
            <w:r w:rsidRPr="001C5180">
              <w:rPr>
                <w:rFonts w:ascii="Times New Roman" w:hAnsi="Times New Roman"/>
                <w:sz w:val="24"/>
                <w:szCs w:val="24"/>
              </w:rPr>
              <w:t xml:space="preserve"> priemonės Tinkamumo laikotarpis ir atšaukiama </w:t>
            </w:r>
            <w:r>
              <w:rPr>
                <w:rFonts w:ascii="Times New Roman" w:hAnsi="Times New Roman"/>
                <w:sz w:val="24"/>
                <w:szCs w:val="24"/>
              </w:rPr>
              <w:t>PGF2</w:t>
            </w:r>
            <w:r w:rsidRPr="001C5180">
              <w:rPr>
                <w:rFonts w:ascii="Times New Roman" w:hAnsi="Times New Roman"/>
                <w:sz w:val="24"/>
                <w:szCs w:val="24"/>
              </w:rPr>
              <w:t xml:space="preserve"> priemonės valdytojui nepanaudota skirta </w:t>
            </w:r>
            <w:r>
              <w:rPr>
                <w:rFonts w:ascii="Times New Roman" w:hAnsi="Times New Roman"/>
                <w:sz w:val="24"/>
                <w:szCs w:val="24"/>
              </w:rPr>
              <w:t>PGF2</w:t>
            </w:r>
            <w:r w:rsidRPr="001C5180">
              <w:rPr>
                <w:rFonts w:ascii="Times New Roman" w:hAnsi="Times New Roman"/>
                <w:sz w:val="24"/>
                <w:szCs w:val="24"/>
              </w:rPr>
              <w:t xml:space="preserve"> priemonės lėšų suma</w:t>
            </w:r>
          </w:p>
        </w:tc>
      </w:tr>
      <w:tr w:rsidR="00035106" w:rsidRPr="00B751E6" w14:paraId="706FB0FE" w14:textId="77777777" w:rsidTr="00D95057">
        <w:trPr>
          <w:trHeight w:val="3910"/>
        </w:trPr>
        <w:tc>
          <w:tcPr>
            <w:tcW w:w="2030" w:type="dxa"/>
            <w:tcBorders>
              <w:bottom w:val="single" w:sz="4" w:space="0" w:color="000000"/>
            </w:tcBorders>
          </w:tcPr>
          <w:p w14:paraId="445B736F" w14:textId="77777777" w:rsidR="00035106" w:rsidRDefault="00035106" w:rsidP="009873E8">
            <w:pPr>
              <w:autoSpaceDE w:val="0"/>
              <w:autoSpaceDN w:val="0"/>
              <w:spacing w:after="0" w:line="240" w:lineRule="auto"/>
              <w:contextualSpacing/>
              <w:rPr>
                <w:rFonts w:ascii="Times New Roman" w:hAnsi="Times New Roman"/>
                <w:sz w:val="24"/>
                <w:szCs w:val="24"/>
              </w:rPr>
            </w:pPr>
            <w:r w:rsidRPr="00142589">
              <w:rPr>
                <w:rFonts w:ascii="Times New Roman" w:hAnsi="Times New Roman"/>
                <w:sz w:val="24"/>
                <w:szCs w:val="24"/>
              </w:rPr>
              <w:lastRenderedPageBreak/>
              <w:t>Portfelio tinkamumo sąlyg</w:t>
            </w:r>
            <w:r>
              <w:rPr>
                <w:rFonts w:ascii="Times New Roman" w:hAnsi="Times New Roman"/>
                <w:sz w:val="24"/>
                <w:szCs w:val="24"/>
              </w:rPr>
              <w:t>o</w:t>
            </w:r>
            <w:r w:rsidRPr="00142589">
              <w:rPr>
                <w:rFonts w:ascii="Times New Roman" w:hAnsi="Times New Roman"/>
                <w:sz w:val="24"/>
                <w:szCs w:val="24"/>
              </w:rPr>
              <w:t>s</w:t>
            </w:r>
          </w:p>
        </w:tc>
        <w:tc>
          <w:tcPr>
            <w:tcW w:w="7321" w:type="dxa"/>
            <w:tcBorders>
              <w:bottom w:val="single" w:sz="4" w:space="0" w:color="000000"/>
            </w:tcBorders>
          </w:tcPr>
          <w:p w14:paraId="03684AE3" w14:textId="77777777" w:rsidR="00035106" w:rsidRPr="00237AA7" w:rsidRDefault="00035106" w:rsidP="00035106">
            <w:pPr>
              <w:pStyle w:val="ListParagraph"/>
              <w:numPr>
                <w:ilvl w:val="0"/>
                <w:numId w:val="19"/>
              </w:numPr>
              <w:tabs>
                <w:tab w:val="left" w:pos="412"/>
              </w:tabs>
              <w:spacing w:after="0" w:line="240" w:lineRule="auto"/>
              <w:ind w:left="0" w:firstLine="0"/>
              <w:jc w:val="both"/>
              <w:rPr>
                <w:rFonts w:ascii="Times New Roman" w:hAnsi="Times New Roman"/>
                <w:sz w:val="24"/>
                <w:szCs w:val="24"/>
              </w:rPr>
            </w:pPr>
            <w:r w:rsidRPr="00C33C98">
              <w:rPr>
                <w:rFonts w:ascii="Times New Roman" w:hAnsi="Times New Roman"/>
                <w:sz w:val="24"/>
                <w:szCs w:val="24"/>
              </w:rPr>
              <w:t xml:space="preserve">Faktoringo sandorių koncentracija </w:t>
            </w:r>
            <w:r w:rsidRPr="008A0D89">
              <w:rPr>
                <w:rFonts w:ascii="Times New Roman" w:hAnsi="Times New Roman"/>
                <w:sz w:val="24"/>
                <w:szCs w:val="24"/>
              </w:rPr>
              <w:t>pagal Faktoringo limitą Portfelyje</w:t>
            </w:r>
            <w:r>
              <w:rPr>
                <w:rFonts w:ascii="Times New Roman" w:hAnsi="Times New Roman"/>
                <w:sz w:val="24"/>
                <w:szCs w:val="24"/>
              </w:rPr>
              <w:t xml:space="preserve"> su v</w:t>
            </w:r>
            <w:r w:rsidRPr="00C33C98">
              <w:rPr>
                <w:rFonts w:ascii="Times New Roman" w:hAnsi="Times New Roman"/>
                <w:sz w:val="24"/>
                <w:szCs w:val="24"/>
              </w:rPr>
              <w:t>iename ūkio sektoriuje pagrindinę veiklą vykdan</w:t>
            </w:r>
            <w:r>
              <w:rPr>
                <w:rFonts w:ascii="Times New Roman" w:hAnsi="Times New Roman"/>
                <w:sz w:val="24"/>
                <w:szCs w:val="24"/>
              </w:rPr>
              <w:t>čiais</w:t>
            </w:r>
            <w:r w:rsidRPr="00C33C98">
              <w:rPr>
                <w:rFonts w:ascii="Times New Roman" w:hAnsi="Times New Roman"/>
                <w:sz w:val="24"/>
                <w:szCs w:val="24"/>
              </w:rPr>
              <w:t xml:space="preserve"> </w:t>
            </w:r>
            <w:r>
              <w:rPr>
                <w:rFonts w:ascii="Times New Roman" w:hAnsi="Times New Roman"/>
                <w:sz w:val="24"/>
                <w:szCs w:val="24"/>
              </w:rPr>
              <w:t>MVĮ</w:t>
            </w:r>
            <w:r w:rsidRPr="00237AA7">
              <w:rPr>
                <w:rFonts w:ascii="Times New Roman" w:hAnsi="Times New Roman"/>
                <w:sz w:val="24"/>
                <w:szCs w:val="24"/>
              </w:rPr>
              <w:t xml:space="preserve">, negali viršyti </w:t>
            </w:r>
            <w:r w:rsidRPr="00A02BEC">
              <w:rPr>
                <w:rFonts w:ascii="Times New Roman" w:hAnsi="Times New Roman"/>
                <w:sz w:val="24"/>
                <w:szCs w:val="24"/>
              </w:rPr>
              <w:t>40</w:t>
            </w:r>
            <w:r>
              <w:t> </w:t>
            </w:r>
            <w:r w:rsidRPr="00237AA7">
              <w:rPr>
                <w:rFonts w:ascii="Times New Roman" w:hAnsi="Times New Roman"/>
                <w:sz w:val="24"/>
                <w:szCs w:val="24"/>
              </w:rPr>
              <w:t xml:space="preserve">proc. Sutartyje numatyto Sutarto Portfelio dydžio sumos (pagal Ekonominės veiklos rūšių klasifikatorių (EVRK 2 redakcija) skyriaus lygmeniu). </w:t>
            </w:r>
            <w:r>
              <w:rPr>
                <w:rFonts w:ascii="Times New Roman" w:hAnsi="Times New Roman"/>
                <w:sz w:val="24"/>
                <w:szCs w:val="24"/>
              </w:rPr>
              <w:t>PGF2</w:t>
            </w:r>
            <w:r w:rsidRPr="00237AA7">
              <w:rPr>
                <w:rFonts w:ascii="Times New Roman" w:hAnsi="Times New Roman"/>
                <w:sz w:val="24"/>
                <w:szCs w:val="24"/>
              </w:rPr>
              <w:t xml:space="preserve"> priemonės valdytojui kreipiantis į „Invegą“ su motyvuotu prašymu, </w:t>
            </w:r>
            <w:r w:rsidRPr="00C33C98">
              <w:rPr>
                <w:rFonts w:ascii="Times New Roman" w:hAnsi="Times New Roman"/>
                <w:sz w:val="24"/>
                <w:szCs w:val="24"/>
              </w:rPr>
              <w:t xml:space="preserve">Faktoringo sandorių koncentracija </w:t>
            </w:r>
            <w:r w:rsidRPr="008A0D89">
              <w:rPr>
                <w:rFonts w:ascii="Times New Roman" w:hAnsi="Times New Roman"/>
                <w:sz w:val="24"/>
                <w:szCs w:val="24"/>
              </w:rPr>
              <w:t>pagal Faktoringo limitą Portfelyje</w:t>
            </w:r>
            <w:r>
              <w:rPr>
                <w:rFonts w:ascii="Times New Roman" w:hAnsi="Times New Roman"/>
                <w:sz w:val="24"/>
                <w:szCs w:val="24"/>
              </w:rPr>
              <w:t xml:space="preserve"> su v</w:t>
            </w:r>
            <w:r w:rsidRPr="00C33C98">
              <w:rPr>
                <w:rFonts w:ascii="Times New Roman" w:hAnsi="Times New Roman"/>
                <w:sz w:val="24"/>
                <w:szCs w:val="24"/>
              </w:rPr>
              <w:t>iename ūkio sektoriuje pagrindinę veiklą vykdan</w:t>
            </w:r>
            <w:r>
              <w:rPr>
                <w:rFonts w:ascii="Times New Roman" w:hAnsi="Times New Roman"/>
                <w:sz w:val="24"/>
                <w:szCs w:val="24"/>
              </w:rPr>
              <w:t>čiais</w:t>
            </w:r>
            <w:r w:rsidRPr="00C33C98">
              <w:rPr>
                <w:rFonts w:ascii="Times New Roman" w:hAnsi="Times New Roman"/>
                <w:sz w:val="24"/>
                <w:szCs w:val="24"/>
              </w:rPr>
              <w:t xml:space="preserve"> </w:t>
            </w:r>
            <w:r>
              <w:rPr>
                <w:rFonts w:ascii="Times New Roman" w:hAnsi="Times New Roman"/>
                <w:sz w:val="24"/>
                <w:szCs w:val="24"/>
              </w:rPr>
              <w:t>MVĮ</w:t>
            </w:r>
            <w:r w:rsidRPr="00237AA7">
              <w:rPr>
                <w:rFonts w:ascii="Times New Roman" w:hAnsi="Times New Roman"/>
                <w:sz w:val="24"/>
                <w:szCs w:val="24"/>
              </w:rPr>
              <w:t xml:space="preserve"> gali būti padidinta;</w:t>
            </w:r>
          </w:p>
          <w:p w14:paraId="530D869C" w14:textId="77777777" w:rsidR="00035106" w:rsidRPr="008623BD" w:rsidRDefault="00035106" w:rsidP="00035106">
            <w:pPr>
              <w:pStyle w:val="ListParagraph"/>
              <w:numPr>
                <w:ilvl w:val="0"/>
                <w:numId w:val="19"/>
              </w:numPr>
              <w:tabs>
                <w:tab w:val="left" w:pos="412"/>
              </w:tabs>
              <w:spacing w:after="0" w:line="240" w:lineRule="auto"/>
              <w:ind w:left="0" w:firstLine="0"/>
              <w:jc w:val="both"/>
              <w:rPr>
                <w:rFonts w:ascii="Times New Roman" w:hAnsi="Times New Roman"/>
                <w:sz w:val="24"/>
                <w:szCs w:val="24"/>
              </w:rPr>
            </w:pPr>
            <w:r w:rsidRPr="00C33C98">
              <w:rPr>
                <w:rFonts w:ascii="Times New Roman" w:hAnsi="Times New Roman"/>
                <w:sz w:val="24"/>
                <w:szCs w:val="24"/>
              </w:rPr>
              <w:t xml:space="preserve">Faktoringo sandorių, kur </w:t>
            </w:r>
            <w:r>
              <w:rPr>
                <w:rFonts w:ascii="Times New Roman" w:hAnsi="Times New Roman"/>
                <w:sz w:val="24"/>
                <w:szCs w:val="24"/>
              </w:rPr>
              <w:t>MVĮ</w:t>
            </w:r>
            <w:r w:rsidRPr="00C33C98">
              <w:rPr>
                <w:rFonts w:ascii="Times New Roman" w:hAnsi="Times New Roman"/>
                <w:sz w:val="24"/>
                <w:szCs w:val="24"/>
              </w:rPr>
              <w:t xml:space="preserve"> vertinami „B-“ ar „B3“ (*) reitingu koncentracija pagal </w:t>
            </w:r>
            <w:r w:rsidRPr="008A0D89">
              <w:rPr>
                <w:rFonts w:ascii="Times New Roman" w:hAnsi="Times New Roman"/>
                <w:sz w:val="24"/>
                <w:szCs w:val="24"/>
              </w:rPr>
              <w:t>Faktoringo li</w:t>
            </w:r>
            <w:r>
              <w:rPr>
                <w:rFonts w:ascii="Times New Roman" w:hAnsi="Times New Roman"/>
                <w:sz w:val="24"/>
                <w:szCs w:val="24"/>
              </w:rPr>
              <w:t>mitą</w:t>
            </w:r>
            <w:r w:rsidRPr="00C33C98">
              <w:rPr>
                <w:rFonts w:ascii="Times New Roman" w:hAnsi="Times New Roman"/>
                <w:sz w:val="24"/>
                <w:szCs w:val="24"/>
              </w:rPr>
              <w:t xml:space="preserve"> </w:t>
            </w:r>
            <w:r>
              <w:rPr>
                <w:rFonts w:ascii="Times New Roman" w:hAnsi="Times New Roman"/>
                <w:sz w:val="24"/>
                <w:szCs w:val="24"/>
              </w:rPr>
              <w:t>Po</w:t>
            </w:r>
            <w:r w:rsidRPr="00C33C98">
              <w:rPr>
                <w:rFonts w:ascii="Times New Roman" w:hAnsi="Times New Roman"/>
                <w:sz w:val="24"/>
                <w:szCs w:val="24"/>
              </w:rPr>
              <w:t xml:space="preserve">rtfelyje negali būti didesnė kaip </w:t>
            </w:r>
            <w:r w:rsidRPr="00216161">
              <w:rPr>
                <w:rFonts w:ascii="Times New Roman" w:hAnsi="Times New Roman"/>
                <w:sz w:val="24"/>
                <w:szCs w:val="24"/>
              </w:rPr>
              <w:t>5</w:t>
            </w:r>
            <w:r w:rsidRPr="00A02BEC">
              <w:rPr>
                <w:rFonts w:ascii="Times New Roman" w:hAnsi="Times New Roman"/>
                <w:sz w:val="24"/>
                <w:szCs w:val="24"/>
              </w:rPr>
              <w:t>0</w:t>
            </w:r>
            <w:r>
              <w:rPr>
                <w:rFonts w:ascii="Times New Roman" w:hAnsi="Times New Roman"/>
                <w:sz w:val="24"/>
                <w:szCs w:val="24"/>
              </w:rPr>
              <w:t> </w:t>
            </w:r>
            <w:r w:rsidRPr="00C33C98">
              <w:rPr>
                <w:rFonts w:ascii="Times New Roman" w:hAnsi="Times New Roman"/>
                <w:sz w:val="24"/>
                <w:szCs w:val="24"/>
              </w:rPr>
              <w:t xml:space="preserve">proc. </w:t>
            </w:r>
            <w:r>
              <w:rPr>
                <w:rFonts w:ascii="Times New Roman" w:hAnsi="Times New Roman"/>
                <w:sz w:val="24"/>
                <w:szCs w:val="24"/>
              </w:rPr>
              <w:t>S</w:t>
            </w:r>
            <w:r w:rsidRPr="00C33C98">
              <w:rPr>
                <w:rFonts w:ascii="Times New Roman" w:hAnsi="Times New Roman"/>
                <w:sz w:val="24"/>
                <w:szCs w:val="24"/>
              </w:rPr>
              <w:t xml:space="preserve">utartyje numatyto Sutarto </w:t>
            </w:r>
            <w:r>
              <w:rPr>
                <w:rFonts w:ascii="Times New Roman" w:hAnsi="Times New Roman"/>
                <w:sz w:val="24"/>
                <w:szCs w:val="24"/>
              </w:rPr>
              <w:t>P</w:t>
            </w:r>
            <w:r w:rsidRPr="00C33C98">
              <w:rPr>
                <w:rFonts w:ascii="Times New Roman" w:hAnsi="Times New Roman"/>
                <w:sz w:val="24"/>
                <w:szCs w:val="24"/>
              </w:rPr>
              <w:t xml:space="preserve">ortfelio </w:t>
            </w:r>
            <w:r>
              <w:rPr>
                <w:rFonts w:ascii="Times New Roman" w:hAnsi="Times New Roman"/>
                <w:sz w:val="24"/>
                <w:szCs w:val="24"/>
              </w:rPr>
              <w:t>sumos</w:t>
            </w:r>
            <w:r w:rsidRPr="00C33C98">
              <w:rPr>
                <w:rFonts w:ascii="Times New Roman" w:hAnsi="Times New Roman"/>
                <w:sz w:val="24"/>
                <w:szCs w:val="24"/>
              </w:rPr>
              <w:t xml:space="preserve">. Esant poreikiui ir (arba) </w:t>
            </w:r>
            <w:r>
              <w:rPr>
                <w:rFonts w:ascii="Times New Roman" w:hAnsi="Times New Roman"/>
                <w:sz w:val="24"/>
                <w:szCs w:val="24"/>
              </w:rPr>
              <w:t>pateikus pagrindimą</w:t>
            </w:r>
            <w:r w:rsidRPr="00C33C98">
              <w:rPr>
                <w:rFonts w:ascii="Times New Roman" w:hAnsi="Times New Roman"/>
                <w:sz w:val="24"/>
                <w:szCs w:val="24"/>
              </w:rPr>
              <w:t xml:space="preserve">, taip pat </w:t>
            </w:r>
            <w:r>
              <w:rPr>
                <w:rFonts w:ascii="Times New Roman" w:hAnsi="Times New Roman"/>
                <w:sz w:val="24"/>
                <w:szCs w:val="24"/>
              </w:rPr>
              <w:t>PGF2</w:t>
            </w:r>
            <w:r w:rsidRPr="00C33C98">
              <w:rPr>
                <w:rFonts w:ascii="Times New Roman" w:hAnsi="Times New Roman"/>
                <w:sz w:val="24"/>
                <w:szCs w:val="24"/>
              </w:rPr>
              <w:t xml:space="preserve"> priemonės valdytojui kreipiantis į „Invegą“ su motyvuotu prašymu, </w:t>
            </w:r>
            <w:r>
              <w:rPr>
                <w:rFonts w:ascii="Times New Roman" w:hAnsi="Times New Roman"/>
                <w:sz w:val="24"/>
                <w:szCs w:val="24"/>
              </w:rPr>
              <w:t xml:space="preserve">ši </w:t>
            </w:r>
            <w:r w:rsidRPr="00C33C98">
              <w:rPr>
                <w:rFonts w:ascii="Times New Roman" w:hAnsi="Times New Roman"/>
                <w:sz w:val="24"/>
                <w:szCs w:val="24"/>
              </w:rPr>
              <w:t xml:space="preserve">koncentracija </w:t>
            </w:r>
            <w:r>
              <w:rPr>
                <w:rFonts w:ascii="Times New Roman" w:hAnsi="Times New Roman"/>
                <w:sz w:val="24"/>
                <w:szCs w:val="24"/>
              </w:rPr>
              <w:t>P</w:t>
            </w:r>
            <w:r w:rsidRPr="00C33C98">
              <w:rPr>
                <w:rFonts w:ascii="Times New Roman" w:hAnsi="Times New Roman"/>
                <w:sz w:val="24"/>
                <w:szCs w:val="24"/>
              </w:rPr>
              <w:t>ortfelyje gali būti padidinta</w:t>
            </w:r>
            <w:r>
              <w:rPr>
                <w:rFonts w:ascii="Times New Roman" w:hAnsi="Times New Roman"/>
                <w:sz w:val="24"/>
                <w:szCs w:val="24"/>
              </w:rPr>
              <w:t>.</w:t>
            </w:r>
          </w:p>
          <w:p w14:paraId="48F1E597" w14:textId="77777777" w:rsidR="00035106" w:rsidRDefault="00035106" w:rsidP="009873E8">
            <w:pPr>
              <w:pStyle w:val="ListParagraph"/>
              <w:tabs>
                <w:tab w:val="left" w:pos="412"/>
              </w:tabs>
              <w:spacing w:after="0" w:line="240" w:lineRule="auto"/>
              <w:jc w:val="both"/>
              <w:rPr>
                <w:rFonts w:ascii="Times New Roman" w:hAnsi="Times New Roman"/>
                <w:sz w:val="24"/>
                <w:szCs w:val="24"/>
              </w:rPr>
            </w:pPr>
          </w:p>
          <w:p w14:paraId="0301A04F" w14:textId="77777777" w:rsidR="00035106" w:rsidRPr="006850C7" w:rsidRDefault="00035106" w:rsidP="009873E8">
            <w:pPr>
              <w:pStyle w:val="ListParagraph"/>
              <w:tabs>
                <w:tab w:val="left" w:pos="412"/>
              </w:tabs>
              <w:spacing w:after="0" w:line="240" w:lineRule="auto"/>
              <w:ind w:left="0"/>
              <w:jc w:val="both"/>
              <w:rPr>
                <w:rFonts w:ascii="Times New Roman" w:hAnsi="Times New Roman"/>
                <w:i/>
                <w:sz w:val="24"/>
                <w:szCs w:val="24"/>
              </w:rPr>
            </w:pPr>
            <w:r w:rsidRPr="006850C7">
              <w:rPr>
                <w:rFonts w:ascii="Times New Roman" w:hAnsi="Times New Roman"/>
                <w:i/>
                <w:sz w:val="24"/>
                <w:szCs w:val="24"/>
              </w:rPr>
              <w:t xml:space="preserve">(*)„B-“ ar „B3“ reitingai pagal tarptautinių reitingų agentūrų (angl. Standart and Poor's, Fitch, ir Moody's) naudojamą reitingavimą arba šiems reitingams prilygintas </w:t>
            </w:r>
            <w:r>
              <w:rPr>
                <w:rFonts w:ascii="Times New Roman" w:hAnsi="Times New Roman"/>
                <w:i/>
                <w:sz w:val="24"/>
                <w:szCs w:val="24"/>
              </w:rPr>
              <w:t>PGF2</w:t>
            </w:r>
            <w:r w:rsidRPr="006850C7">
              <w:rPr>
                <w:rFonts w:ascii="Times New Roman" w:hAnsi="Times New Roman"/>
                <w:i/>
                <w:sz w:val="24"/>
                <w:szCs w:val="24"/>
              </w:rPr>
              <w:t xml:space="preserve"> priemonės valdytojų </w:t>
            </w:r>
            <w:r>
              <w:rPr>
                <w:rFonts w:ascii="Times New Roman" w:hAnsi="Times New Roman"/>
                <w:i/>
                <w:sz w:val="24"/>
                <w:szCs w:val="24"/>
              </w:rPr>
              <w:t>Faktoringo sandorio</w:t>
            </w:r>
            <w:r w:rsidRPr="006850C7">
              <w:rPr>
                <w:rFonts w:ascii="Times New Roman" w:hAnsi="Times New Roman"/>
                <w:i/>
                <w:sz w:val="24"/>
                <w:szCs w:val="24"/>
              </w:rPr>
              <w:t xml:space="preserve"> gavėjui nustatytas reitingas</w:t>
            </w:r>
          </w:p>
        </w:tc>
      </w:tr>
      <w:tr w:rsidR="00035106" w:rsidRPr="00B751E6" w14:paraId="13892E2A" w14:textId="77777777" w:rsidTr="00D95057">
        <w:trPr>
          <w:trHeight w:val="139"/>
        </w:trPr>
        <w:tc>
          <w:tcPr>
            <w:tcW w:w="2030" w:type="dxa"/>
            <w:tcBorders>
              <w:bottom w:val="single" w:sz="4" w:space="0" w:color="000000"/>
            </w:tcBorders>
          </w:tcPr>
          <w:p w14:paraId="07E5E642" w14:textId="77777777" w:rsidR="00035106" w:rsidRPr="00DE2FE6" w:rsidRDefault="00035106" w:rsidP="009873E8">
            <w:pPr>
              <w:autoSpaceDE w:val="0"/>
              <w:autoSpaceDN w:val="0"/>
              <w:spacing w:after="0" w:line="240" w:lineRule="auto"/>
              <w:contextualSpacing/>
              <w:rPr>
                <w:rFonts w:ascii="Times New Roman" w:hAnsi="Times New Roman"/>
                <w:b/>
                <w:sz w:val="24"/>
                <w:szCs w:val="24"/>
              </w:rPr>
            </w:pPr>
            <w:r w:rsidRPr="00DE2FE6">
              <w:rPr>
                <w:rFonts w:ascii="Times New Roman" w:hAnsi="Times New Roman"/>
                <w:b/>
              </w:rPr>
              <w:t xml:space="preserve">Valstybės pagalba </w:t>
            </w:r>
          </w:p>
        </w:tc>
        <w:tc>
          <w:tcPr>
            <w:tcW w:w="7321" w:type="dxa"/>
            <w:tcBorders>
              <w:bottom w:val="single" w:sz="4" w:space="0" w:color="000000"/>
            </w:tcBorders>
          </w:tcPr>
          <w:p w14:paraId="19BF1E43" w14:textId="77777777" w:rsidR="00035106" w:rsidRPr="00DE2FE6"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t>MVĮ finansavimas pagal g</w:t>
            </w:r>
            <w:r w:rsidRPr="00DE2FE6">
              <w:rPr>
                <w:rFonts w:ascii="Times New Roman" w:hAnsi="Times New Roman"/>
                <w:sz w:val="24"/>
                <w:szCs w:val="24"/>
              </w:rPr>
              <w:t>arantuot</w:t>
            </w:r>
            <w:r>
              <w:rPr>
                <w:rFonts w:ascii="Times New Roman" w:hAnsi="Times New Roman"/>
                <w:sz w:val="24"/>
                <w:szCs w:val="24"/>
              </w:rPr>
              <w:t>us</w:t>
            </w:r>
            <w:r w:rsidRPr="00DE2FE6">
              <w:rPr>
                <w:rFonts w:ascii="Times New Roman" w:hAnsi="Times New Roman"/>
                <w:sz w:val="24"/>
                <w:szCs w:val="24"/>
              </w:rPr>
              <w:t xml:space="preserve"> </w:t>
            </w:r>
            <w:r>
              <w:rPr>
                <w:rFonts w:ascii="Times New Roman" w:hAnsi="Times New Roman"/>
                <w:sz w:val="24"/>
                <w:szCs w:val="24"/>
              </w:rPr>
              <w:t>PGF2 priemonės Faktoringo sandorius</w:t>
            </w:r>
            <w:r w:rsidRPr="00DE2FE6">
              <w:rPr>
                <w:rFonts w:ascii="Times New Roman" w:hAnsi="Times New Roman"/>
                <w:sz w:val="24"/>
                <w:szCs w:val="24"/>
              </w:rPr>
              <w:t xml:space="preserve"> yra </w:t>
            </w:r>
            <w:r w:rsidRPr="00DE2FE6">
              <w:rPr>
                <w:rFonts w:ascii="Times New Roman" w:hAnsi="Times New Roman"/>
                <w:i/>
                <w:sz w:val="24"/>
                <w:szCs w:val="24"/>
              </w:rPr>
              <w:t>de</w:t>
            </w:r>
            <w:r>
              <w:rPr>
                <w:rFonts w:ascii="Times New Roman" w:hAnsi="Times New Roman"/>
                <w:i/>
                <w:sz w:val="24"/>
                <w:szCs w:val="24"/>
              </w:rPr>
              <w:t> </w:t>
            </w:r>
            <w:r w:rsidRPr="00DE2FE6">
              <w:rPr>
                <w:rFonts w:ascii="Times New Roman" w:hAnsi="Times New Roman"/>
                <w:i/>
                <w:sz w:val="24"/>
                <w:szCs w:val="24"/>
              </w:rPr>
              <w:t>minimis</w:t>
            </w:r>
            <w:r w:rsidRPr="00DE2FE6">
              <w:rPr>
                <w:rFonts w:ascii="Times New Roman" w:hAnsi="Times New Roman"/>
                <w:sz w:val="24"/>
                <w:szCs w:val="24"/>
              </w:rPr>
              <w:t xml:space="preserve"> pagalba </w:t>
            </w:r>
            <w:r>
              <w:rPr>
                <w:rFonts w:ascii="Times New Roman" w:hAnsi="Times New Roman"/>
                <w:sz w:val="24"/>
                <w:szCs w:val="24"/>
              </w:rPr>
              <w:t>MVĮ</w:t>
            </w:r>
            <w:r w:rsidRPr="00DE2FE6">
              <w:rPr>
                <w:rFonts w:ascii="Times New Roman" w:hAnsi="Times New Roman"/>
                <w:sz w:val="24"/>
                <w:szCs w:val="24"/>
              </w:rPr>
              <w:t>, kuri tei</w:t>
            </w:r>
            <w:r>
              <w:rPr>
                <w:rFonts w:ascii="Times New Roman" w:hAnsi="Times New Roman"/>
                <w:sz w:val="24"/>
                <w:szCs w:val="24"/>
              </w:rPr>
              <w:t>kiama pagal Reglamentą (ES) Nr. 1407/2013 ir PGF2</w:t>
            </w:r>
            <w:r w:rsidRPr="00DE2FE6">
              <w:rPr>
                <w:rFonts w:ascii="Times New Roman" w:hAnsi="Times New Roman"/>
                <w:sz w:val="24"/>
                <w:szCs w:val="24"/>
              </w:rPr>
              <w:t xml:space="preserve"> priemonės schemą. </w:t>
            </w:r>
            <w:r>
              <w:rPr>
                <w:rFonts w:ascii="Times New Roman" w:hAnsi="Times New Roman"/>
                <w:sz w:val="24"/>
                <w:szCs w:val="24"/>
              </w:rPr>
              <w:t>PGF2</w:t>
            </w:r>
            <w:r w:rsidRPr="00DE2FE6">
              <w:rPr>
                <w:rFonts w:ascii="Times New Roman" w:hAnsi="Times New Roman"/>
                <w:sz w:val="24"/>
                <w:szCs w:val="24"/>
              </w:rPr>
              <w:t xml:space="preserve"> priemonės valdytoja</w:t>
            </w:r>
            <w:r>
              <w:rPr>
                <w:rFonts w:ascii="Times New Roman" w:hAnsi="Times New Roman"/>
                <w:sz w:val="24"/>
                <w:szCs w:val="24"/>
              </w:rPr>
              <w:t>s</w:t>
            </w:r>
            <w:r w:rsidRPr="00DE2FE6">
              <w:rPr>
                <w:rFonts w:ascii="Times New Roman" w:hAnsi="Times New Roman"/>
                <w:sz w:val="24"/>
                <w:szCs w:val="24"/>
              </w:rPr>
              <w:t xml:space="preserve"> yra atsaking</w:t>
            </w:r>
            <w:r>
              <w:rPr>
                <w:rFonts w:ascii="Times New Roman" w:hAnsi="Times New Roman"/>
                <w:sz w:val="24"/>
                <w:szCs w:val="24"/>
              </w:rPr>
              <w:t>as</w:t>
            </w:r>
            <w:r w:rsidRPr="00DE2FE6">
              <w:rPr>
                <w:rFonts w:ascii="Times New Roman" w:hAnsi="Times New Roman"/>
                <w:sz w:val="24"/>
                <w:szCs w:val="24"/>
              </w:rPr>
              <w:t xml:space="preserve"> </w:t>
            </w:r>
            <w:r>
              <w:rPr>
                <w:rFonts w:ascii="Times New Roman" w:hAnsi="Times New Roman"/>
                <w:sz w:val="24"/>
                <w:szCs w:val="24"/>
              </w:rPr>
              <w:t>už tai, kad į Portfelį įtraukiami Faktoringo sandoriai būtų suteikiami</w:t>
            </w:r>
            <w:r w:rsidRPr="00DE2FE6">
              <w:rPr>
                <w:rFonts w:ascii="Times New Roman" w:hAnsi="Times New Roman"/>
                <w:sz w:val="24"/>
                <w:szCs w:val="24"/>
              </w:rPr>
              <w:t xml:space="preserve"> atsi</w:t>
            </w:r>
            <w:r>
              <w:rPr>
                <w:rFonts w:ascii="Times New Roman" w:hAnsi="Times New Roman"/>
                <w:sz w:val="24"/>
                <w:szCs w:val="24"/>
              </w:rPr>
              <w:t>žvelgiant į Reglamentą (ES) Nr. </w:t>
            </w:r>
            <w:r w:rsidRPr="00DE2FE6">
              <w:rPr>
                <w:rFonts w:ascii="Times New Roman" w:hAnsi="Times New Roman"/>
                <w:sz w:val="24"/>
                <w:szCs w:val="24"/>
              </w:rPr>
              <w:t xml:space="preserve">1407/2013 ir į </w:t>
            </w:r>
            <w:r>
              <w:rPr>
                <w:rFonts w:ascii="Times New Roman" w:hAnsi="Times New Roman"/>
                <w:sz w:val="24"/>
                <w:szCs w:val="24"/>
              </w:rPr>
              <w:t>PGF2</w:t>
            </w:r>
            <w:r w:rsidRPr="00DE2FE6">
              <w:rPr>
                <w:rFonts w:ascii="Times New Roman" w:hAnsi="Times New Roman"/>
                <w:sz w:val="24"/>
                <w:szCs w:val="24"/>
              </w:rPr>
              <w:t xml:space="preserve"> priemonės schemą. </w:t>
            </w:r>
          </w:p>
          <w:p w14:paraId="53F8B13A" w14:textId="77777777" w:rsidR="00035106"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lastRenderedPageBreak/>
              <w:t>PGF2</w:t>
            </w:r>
            <w:r w:rsidRPr="00DE2FE6">
              <w:rPr>
                <w:rFonts w:ascii="Times New Roman" w:hAnsi="Times New Roman"/>
                <w:sz w:val="24"/>
                <w:szCs w:val="24"/>
              </w:rPr>
              <w:t xml:space="preserve"> priemonės valdytojas atsakingas už </w:t>
            </w:r>
            <w:r w:rsidRPr="00DE2FE6">
              <w:rPr>
                <w:rFonts w:ascii="Times New Roman" w:hAnsi="Times New Roman"/>
                <w:i/>
                <w:sz w:val="24"/>
                <w:szCs w:val="24"/>
              </w:rPr>
              <w:t>de minimis</w:t>
            </w:r>
            <w:r w:rsidRPr="00DE2FE6">
              <w:rPr>
                <w:rFonts w:ascii="Times New Roman" w:hAnsi="Times New Roman"/>
                <w:sz w:val="24"/>
                <w:szCs w:val="24"/>
              </w:rPr>
              <w:t xml:space="preserve"> pagalbos </w:t>
            </w:r>
            <w:r>
              <w:rPr>
                <w:rFonts w:ascii="Times New Roman" w:hAnsi="Times New Roman"/>
                <w:sz w:val="24"/>
                <w:szCs w:val="24"/>
              </w:rPr>
              <w:t>MVĮ</w:t>
            </w:r>
            <w:r w:rsidRPr="00DE2FE6">
              <w:rPr>
                <w:rFonts w:ascii="Times New Roman" w:hAnsi="Times New Roman"/>
                <w:sz w:val="24"/>
                <w:szCs w:val="24"/>
              </w:rPr>
              <w:t xml:space="preserve"> skaičiavimą ir registravimą</w:t>
            </w:r>
            <w:r>
              <w:rPr>
                <w:rFonts w:ascii="Times New Roman" w:hAnsi="Times New Roman"/>
                <w:sz w:val="24"/>
                <w:szCs w:val="24"/>
              </w:rPr>
              <w:t xml:space="preserve"> </w:t>
            </w:r>
            <w:r w:rsidRPr="00B00C47">
              <w:rPr>
                <w:rFonts w:ascii="Times New Roman" w:hAnsi="Times New Roman"/>
                <w:sz w:val="24"/>
              </w:rPr>
              <w:t xml:space="preserve">Suteiktos valstybės pagalbos </w:t>
            </w:r>
            <w:r>
              <w:rPr>
                <w:rFonts w:ascii="Times New Roman" w:hAnsi="Times New Roman"/>
                <w:sz w:val="24"/>
                <w:szCs w:val="24"/>
              </w:rPr>
              <w:t>ir nereikšmingos (</w:t>
            </w:r>
            <w:r w:rsidRPr="000E1534">
              <w:rPr>
                <w:rFonts w:ascii="Times New Roman" w:hAnsi="Times New Roman"/>
                <w:i/>
                <w:sz w:val="24"/>
                <w:szCs w:val="24"/>
              </w:rPr>
              <w:t>de</w:t>
            </w:r>
            <w:r>
              <w:rPr>
                <w:rFonts w:ascii="Times New Roman" w:hAnsi="Times New Roman"/>
                <w:i/>
                <w:sz w:val="24"/>
                <w:szCs w:val="24"/>
              </w:rPr>
              <w:t> </w:t>
            </w:r>
            <w:r w:rsidRPr="000E1534">
              <w:rPr>
                <w:rFonts w:ascii="Times New Roman" w:hAnsi="Times New Roman"/>
                <w:i/>
                <w:sz w:val="24"/>
                <w:szCs w:val="24"/>
              </w:rPr>
              <w:t>minimis</w:t>
            </w:r>
            <w:r>
              <w:rPr>
                <w:rFonts w:ascii="Times New Roman" w:hAnsi="Times New Roman"/>
                <w:sz w:val="24"/>
                <w:szCs w:val="24"/>
              </w:rPr>
              <w:t>) pagalbos</w:t>
            </w:r>
            <w:r w:rsidRPr="00DD7066">
              <w:rPr>
                <w:rFonts w:ascii="Times New Roman" w:hAnsi="Times New Roman"/>
                <w:sz w:val="24"/>
                <w:szCs w:val="24"/>
              </w:rPr>
              <w:t xml:space="preserve"> registre</w:t>
            </w:r>
            <w:r w:rsidRPr="00DE2FE6">
              <w:rPr>
                <w:rFonts w:ascii="Times New Roman" w:hAnsi="Times New Roman"/>
                <w:sz w:val="24"/>
                <w:szCs w:val="24"/>
              </w:rPr>
              <w:t>.</w:t>
            </w:r>
            <w:r>
              <w:rPr>
                <w:rFonts w:ascii="Times New Roman" w:hAnsi="Times New Roman"/>
                <w:sz w:val="24"/>
                <w:szCs w:val="24"/>
              </w:rPr>
              <w:t xml:space="preserve"> </w:t>
            </w:r>
            <w:r w:rsidRPr="00D70DCD">
              <w:rPr>
                <w:rFonts w:ascii="Times New Roman" w:hAnsi="Times New Roman"/>
                <w:i/>
                <w:sz w:val="24"/>
                <w:szCs w:val="24"/>
              </w:rPr>
              <w:t>De minimis</w:t>
            </w:r>
            <w:r>
              <w:rPr>
                <w:rFonts w:ascii="Times New Roman" w:hAnsi="Times New Roman"/>
                <w:sz w:val="24"/>
                <w:szCs w:val="24"/>
              </w:rPr>
              <w:t xml:space="preserve"> pagalba sumuojama, kaip tai nustatyta Reglamento Nr. 1407/2013 5 straipsnyje.</w:t>
            </w:r>
          </w:p>
          <w:p w14:paraId="06B3E374" w14:textId="77777777" w:rsidR="00035106" w:rsidRDefault="00035106" w:rsidP="009873E8">
            <w:pPr>
              <w:pStyle w:val="ListParagraph"/>
              <w:tabs>
                <w:tab w:val="left" w:pos="412"/>
              </w:tabs>
              <w:spacing w:after="0" w:line="240" w:lineRule="auto"/>
              <w:ind w:left="0"/>
              <w:jc w:val="both"/>
              <w:rPr>
                <w:rFonts w:ascii="Times New Roman" w:hAnsi="Times New Roman"/>
                <w:sz w:val="24"/>
                <w:szCs w:val="24"/>
              </w:rPr>
            </w:pPr>
          </w:p>
          <w:p w14:paraId="3E298367" w14:textId="77777777" w:rsidR="00035106" w:rsidRDefault="00035106" w:rsidP="009873E8">
            <w:pPr>
              <w:pStyle w:val="ListParagraph"/>
              <w:tabs>
                <w:tab w:val="left" w:pos="412"/>
              </w:tabs>
              <w:spacing w:after="0" w:line="240" w:lineRule="auto"/>
              <w:ind w:left="0"/>
              <w:jc w:val="both"/>
              <w:rPr>
                <w:rFonts w:ascii="Times New Roman" w:hAnsi="Times New Roman"/>
                <w:sz w:val="24"/>
                <w:szCs w:val="24"/>
              </w:rPr>
            </w:pPr>
            <w:r w:rsidRPr="00DD7066">
              <w:rPr>
                <w:rFonts w:ascii="Times New Roman" w:hAnsi="Times New Roman"/>
                <w:i/>
                <w:sz w:val="24"/>
                <w:szCs w:val="24"/>
              </w:rPr>
              <w:t>De minimis</w:t>
            </w:r>
            <w:r>
              <w:rPr>
                <w:rFonts w:ascii="Times New Roman" w:hAnsi="Times New Roman"/>
                <w:sz w:val="24"/>
                <w:szCs w:val="24"/>
              </w:rPr>
              <w:t xml:space="preserve"> pagalbos, suteikiamos MVĮ, dydis apskaičiuojamas pagal formulę:</w:t>
            </w:r>
          </w:p>
          <w:p w14:paraId="59A2CAFA" w14:textId="77777777" w:rsidR="00035106" w:rsidRDefault="00035106" w:rsidP="009873E8">
            <w:pPr>
              <w:pStyle w:val="ListParagraph"/>
              <w:tabs>
                <w:tab w:val="left" w:pos="412"/>
              </w:tabs>
              <w:spacing w:after="0" w:line="240" w:lineRule="auto"/>
              <w:ind w:left="0"/>
              <w:jc w:val="both"/>
              <w:rPr>
                <w:rFonts w:ascii="Times New Roman" w:hAnsi="Times New Roman"/>
                <w:sz w:val="24"/>
                <w:szCs w:val="24"/>
              </w:rPr>
            </w:pPr>
          </w:p>
          <w:p w14:paraId="5551BA60" w14:textId="77777777" w:rsidR="00035106" w:rsidRPr="00DD7066" w:rsidRDefault="00035106" w:rsidP="009873E8">
            <w:pPr>
              <w:tabs>
                <w:tab w:val="left" w:pos="412"/>
              </w:tabs>
              <w:spacing w:after="0" w:line="240" w:lineRule="auto"/>
              <w:rPr>
                <w:rFonts w:ascii="Times New Roman" w:hAnsi="Times New Roman"/>
                <w:sz w:val="24"/>
                <w:szCs w:val="24"/>
              </w:rPr>
            </w:pPr>
            <w:r>
              <w:rPr>
                <w:rFonts w:ascii="Times New Roman" w:hAnsi="Times New Roman"/>
                <w:sz w:val="24"/>
                <w:szCs w:val="24"/>
              </w:rPr>
              <w:t>D = (FL x G x T)/450</w:t>
            </w:r>
            <w:r w:rsidRPr="00DD7066">
              <w:rPr>
                <w:rFonts w:ascii="Times New Roman" w:hAnsi="Times New Roman"/>
                <w:sz w:val="24"/>
                <w:szCs w:val="24"/>
              </w:rPr>
              <w:t>, kur:</w:t>
            </w:r>
          </w:p>
          <w:p w14:paraId="3B67E1BF" w14:textId="77777777" w:rsidR="00035106" w:rsidRPr="00DD7066" w:rsidRDefault="00035106" w:rsidP="009873E8">
            <w:pPr>
              <w:pStyle w:val="ListParagraph"/>
              <w:tabs>
                <w:tab w:val="left" w:pos="412"/>
              </w:tabs>
              <w:spacing w:after="0" w:line="240" w:lineRule="auto"/>
              <w:rPr>
                <w:rFonts w:ascii="Times New Roman" w:hAnsi="Times New Roman"/>
                <w:sz w:val="24"/>
                <w:szCs w:val="24"/>
              </w:rPr>
            </w:pPr>
          </w:p>
          <w:p w14:paraId="1B4C334E" w14:textId="77777777" w:rsidR="00035106" w:rsidRPr="00DD7066" w:rsidRDefault="00035106" w:rsidP="009873E8">
            <w:pPr>
              <w:tabs>
                <w:tab w:val="left" w:pos="412"/>
              </w:tabs>
              <w:spacing w:after="0" w:line="240" w:lineRule="auto"/>
              <w:rPr>
                <w:rFonts w:ascii="Times New Roman" w:hAnsi="Times New Roman"/>
                <w:sz w:val="24"/>
                <w:szCs w:val="24"/>
              </w:rPr>
            </w:pPr>
            <w:r w:rsidRPr="00DD7066">
              <w:rPr>
                <w:rFonts w:ascii="Times New Roman" w:hAnsi="Times New Roman"/>
                <w:sz w:val="24"/>
                <w:szCs w:val="24"/>
              </w:rPr>
              <w:t xml:space="preserve">D – </w:t>
            </w:r>
            <w:r w:rsidRPr="000E1534">
              <w:rPr>
                <w:rFonts w:ascii="Times New Roman" w:hAnsi="Times New Roman"/>
                <w:i/>
                <w:sz w:val="24"/>
                <w:szCs w:val="24"/>
              </w:rPr>
              <w:t>de minimis</w:t>
            </w:r>
            <w:r w:rsidRPr="00DD7066">
              <w:rPr>
                <w:rFonts w:ascii="Times New Roman" w:hAnsi="Times New Roman"/>
                <w:sz w:val="24"/>
                <w:szCs w:val="24"/>
              </w:rPr>
              <w:t xml:space="preserve"> pagalbos dydis;</w:t>
            </w:r>
          </w:p>
          <w:p w14:paraId="555905C9" w14:textId="77777777" w:rsidR="00035106" w:rsidRPr="00DD7066" w:rsidRDefault="00035106" w:rsidP="009873E8">
            <w:pPr>
              <w:tabs>
                <w:tab w:val="left" w:pos="412"/>
              </w:tabs>
              <w:spacing w:after="0" w:line="240" w:lineRule="auto"/>
              <w:rPr>
                <w:rFonts w:ascii="Times New Roman" w:hAnsi="Times New Roman"/>
                <w:sz w:val="24"/>
                <w:szCs w:val="24"/>
              </w:rPr>
            </w:pPr>
            <w:r>
              <w:rPr>
                <w:rFonts w:ascii="Times New Roman" w:hAnsi="Times New Roman"/>
                <w:sz w:val="24"/>
                <w:szCs w:val="24"/>
              </w:rPr>
              <w:t>FL</w:t>
            </w:r>
            <w:r w:rsidRPr="00DD7066">
              <w:rPr>
                <w:rFonts w:ascii="Times New Roman" w:hAnsi="Times New Roman"/>
                <w:sz w:val="24"/>
                <w:szCs w:val="24"/>
              </w:rPr>
              <w:t xml:space="preserve"> – įsipareigojimų (</w:t>
            </w:r>
            <w:r>
              <w:rPr>
                <w:rFonts w:ascii="Times New Roman" w:hAnsi="Times New Roman"/>
                <w:sz w:val="24"/>
                <w:szCs w:val="24"/>
              </w:rPr>
              <w:t>F</w:t>
            </w:r>
            <w:r w:rsidRPr="00DD7066">
              <w:rPr>
                <w:rFonts w:ascii="Times New Roman" w:hAnsi="Times New Roman"/>
                <w:sz w:val="24"/>
                <w:szCs w:val="24"/>
              </w:rPr>
              <w:t>aktoringo limito) suma;</w:t>
            </w:r>
          </w:p>
          <w:p w14:paraId="533FD0AD" w14:textId="77777777" w:rsidR="00035106" w:rsidRPr="00DD7066" w:rsidRDefault="00035106" w:rsidP="009873E8">
            <w:pPr>
              <w:tabs>
                <w:tab w:val="left" w:pos="412"/>
              </w:tabs>
              <w:spacing w:after="0" w:line="240" w:lineRule="auto"/>
              <w:rPr>
                <w:rFonts w:ascii="Times New Roman" w:hAnsi="Times New Roman"/>
                <w:sz w:val="24"/>
                <w:szCs w:val="24"/>
              </w:rPr>
            </w:pPr>
            <w:r w:rsidRPr="00DD7066">
              <w:rPr>
                <w:rFonts w:ascii="Times New Roman" w:hAnsi="Times New Roman"/>
                <w:sz w:val="24"/>
                <w:szCs w:val="24"/>
              </w:rPr>
              <w:t>G – garantijos dydis (proc.)</w:t>
            </w:r>
            <w:r>
              <w:rPr>
                <w:rFonts w:ascii="Times New Roman" w:hAnsi="Times New Roman"/>
                <w:sz w:val="24"/>
                <w:szCs w:val="24"/>
              </w:rPr>
              <w:t>, t. y. 80 proc.</w:t>
            </w:r>
            <w:r w:rsidRPr="00DD7066">
              <w:rPr>
                <w:rFonts w:ascii="Times New Roman" w:hAnsi="Times New Roman"/>
                <w:sz w:val="24"/>
                <w:szCs w:val="24"/>
              </w:rPr>
              <w:t>;</w:t>
            </w:r>
          </w:p>
          <w:p w14:paraId="523562D3" w14:textId="77777777" w:rsidR="00035106" w:rsidRDefault="00035106" w:rsidP="009873E8">
            <w:pPr>
              <w:pStyle w:val="ListParagraph"/>
              <w:tabs>
                <w:tab w:val="left" w:pos="412"/>
              </w:tabs>
              <w:spacing w:after="0" w:line="240" w:lineRule="auto"/>
              <w:ind w:left="0"/>
              <w:rPr>
                <w:rFonts w:ascii="Times New Roman" w:hAnsi="Times New Roman"/>
                <w:sz w:val="24"/>
                <w:szCs w:val="24"/>
              </w:rPr>
            </w:pPr>
            <w:r w:rsidRPr="00DD7066">
              <w:rPr>
                <w:rFonts w:ascii="Times New Roman" w:hAnsi="Times New Roman"/>
                <w:sz w:val="24"/>
                <w:szCs w:val="24"/>
              </w:rPr>
              <w:t>T – garantijos trukmė (mėnesiais)</w:t>
            </w:r>
            <w:r>
              <w:rPr>
                <w:rFonts w:ascii="Times New Roman" w:hAnsi="Times New Roman"/>
                <w:sz w:val="24"/>
                <w:szCs w:val="24"/>
              </w:rPr>
              <w:t>.</w:t>
            </w:r>
          </w:p>
          <w:p w14:paraId="651D1AA8" w14:textId="77777777" w:rsidR="00035106" w:rsidRDefault="00035106" w:rsidP="009873E8">
            <w:pPr>
              <w:pStyle w:val="ListParagraph"/>
              <w:tabs>
                <w:tab w:val="left" w:pos="412"/>
              </w:tabs>
              <w:spacing w:after="0" w:line="240" w:lineRule="auto"/>
              <w:ind w:left="0"/>
              <w:rPr>
                <w:rFonts w:ascii="Times New Roman" w:hAnsi="Times New Roman"/>
                <w:sz w:val="24"/>
                <w:szCs w:val="24"/>
              </w:rPr>
            </w:pPr>
          </w:p>
          <w:p w14:paraId="28948F5A" w14:textId="77777777" w:rsidR="00035106"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t>Garantijos trukmė apskaičiuojama prie Faktoringo sutartyje nustatyto Faktoringo sandorio finansavimo laikotarpio (mėnesiais) pridedant ilgiausią Faktoringo sutartyje nustatytą Maksimalų mokėjimo atidėjimo pirkėjui terminą.</w:t>
            </w:r>
          </w:p>
          <w:p w14:paraId="664C2DE2" w14:textId="77777777" w:rsidR="00035106" w:rsidRPr="00142589"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t>PGF2</w:t>
            </w:r>
            <w:r w:rsidRPr="00180766">
              <w:rPr>
                <w:rFonts w:ascii="Times New Roman" w:hAnsi="Times New Roman"/>
                <w:sz w:val="24"/>
                <w:szCs w:val="24"/>
              </w:rPr>
              <w:t xml:space="preserve"> priemonės valdytojo</w:t>
            </w:r>
            <w:r>
              <w:rPr>
                <w:rFonts w:ascii="Times New Roman" w:hAnsi="Times New Roman"/>
                <w:sz w:val="24"/>
                <w:szCs w:val="24"/>
              </w:rPr>
              <w:t xml:space="preserve"> su Faktoringo sandorio gavėju</w:t>
            </w:r>
            <w:r w:rsidRPr="00180766">
              <w:rPr>
                <w:rFonts w:ascii="Times New Roman" w:hAnsi="Times New Roman"/>
                <w:sz w:val="24"/>
                <w:szCs w:val="24"/>
              </w:rPr>
              <w:t xml:space="preserve"> sudaromose </w:t>
            </w:r>
            <w:r>
              <w:rPr>
                <w:rFonts w:ascii="Times New Roman" w:hAnsi="Times New Roman"/>
                <w:sz w:val="24"/>
                <w:szCs w:val="24"/>
              </w:rPr>
              <w:t>Faktoringo sandorio</w:t>
            </w:r>
            <w:r w:rsidRPr="00180766">
              <w:rPr>
                <w:rFonts w:ascii="Times New Roman" w:hAnsi="Times New Roman"/>
                <w:sz w:val="24"/>
                <w:szCs w:val="24"/>
              </w:rPr>
              <w:t xml:space="preserve"> sutartyse turi būti </w:t>
            </w:r>
            <w:r>
              <w:rPr>
                <w:rFonts w:ascii="Times New Roman" w:hAnsi="Times New Roman"/>
                <w:sz w:val="24"/>
                <w:szCs w:val="24"/>
              </w:rPr>
              <w:t xml:space="preserve">nuostata, informuojanti Faktoringo sandorio gavėją, kad finansavimas pagal šį Faktoringo sandorį yra </w:t>
            </w:r>
            <w:r w:rsidRPr="00336B78">
              <w:rPr>
                <w:rFonts w:ascii="Times New Roman" w:hAnsi="Times New Roman"/>
                <w:i/>
                <w:sz w:val="24"/>
                <w:szCs w:val="24"/>
              </w:rPr>
              <w:t>de</w:t>
            </w:r>
            <w:r>
              <w:rPr>
                <w:rFonts w:ascii="Times New Roman" w:hAnsi="Times New Roman"/>
                <w:i/>
                <w:sz w:val="24"/>
                <w:szCs w:val="24"/>
              </w:rPr>
              <w:t> </w:t>
            </w:r>
            <w:r w:rsidRPr="00336B78">
              <w:rPr>
                <w:rFonts w:ascii="Times New Roman" w:hAnsi="Times New Roman"/>
                <w:i/>
                <w:sz w:val="24"/>
                <w:szCs w:val="24"/>
              </w:rPr>
              <w:t>minimis</w:t>
            </w:r>
            <w:r>
              <w:rPr>
                <w:rFonts w:ascii="Times New Roman" w:hAnsi="Times New Roman"/>
                <w:sz w:val="24"/>
                <w:szCs w:val="24"/>
              </w:rPr>
              <w:t xml:space="preserve"> pagalba</w:t>
            </w:r>
          </w:p>
        </w:tc>
      </w:tr>
      <w:tr w:rsidR="00035106" w:rsidRPr="00B751E6" w14:paraId="00B4345D" w14:textId="77777777" w:rsidTr="00D95057">
        <w:tc>
          <w:tcPr>
            <w:tcW w:w="2030" w:type="dxa"/>
            <w:tcBorders>
              <w:bottom w:val="single" w:sz="4" w:space="0" w:color="000000"/>
            </w:tcBorders>
          </w:tcPr>
          <w:p w14:paraId="10BCCCCA" w14:textId="77777777" w:rsidR="00035106" w:rsidRPr="002E6B01" w:rsidRDefault="00035106" w:rsidP="009873E8">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lastRenderedPageBreak/>
              <w:t>Viešinimas</w:t>
            </w:r>
          </w:p>
        </w:tc>
        <w:tc>
          <w:tcPr>
            <w:tcW w:w="7321" w:type="dxa"/>
            <w:tcBorders>
              <w:bottom w:val="single" w:sz="4" w:space="0" w:color="000000"/>
            </w:tcBorders>
          </w:tcPr>
          <w:p w14:paraId="36091875" w14:textId="77777777" w:rsidR="00035106" w:rsidRPr="0035051C"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t>PGF2</w:t>
            </w:r>
            <w:r w:rsidRPr="0035051C">
              <w:rPr>
                <w:rFonts w:ascii="Times New Roman" w:hAnsi="Times New Roman"/>
                <w:sz w:val="24"/>
                <w:szCs w:val="24"/>
              </w:rPr>
              <w:t xml:space="preserve"> priemonės </w:t>
            </w:r>
            <w:r>
              <w:rPr>
                <w:rFonts w:ascii="Times New Roman" w:hAnsi="Times New Roman"/>
                <w:sz w:val="24"/>
                <w:szCs w:val="24"/>
              </w:rPr>
              <w:t>valdytojas</w:t>
            </w:r>
            <w:r w:rsidRPr="0035051C">
              <w:rPr>
                <w:rFonts w:ascii="Times New Roman" w:hAnsi="Times New Roman"/>
                <w:sz w:val="24"/>
                <w:szCs w:val="24"/>
              </w:rPr>
              <w:t xml:space="preserve"> informaciją apie </w:t>
            </w:r>
            <w:r>
              <w:rPr>
                <w:rFonts w:ascii="Times New Roman" w:hAnsi="Times New Roman"/>
                <w:sz w:val="24"/>
                <w:szCs w:val="24"/>
              </w:rPr>
              <w:t>PGF2</w:t>
            </w:r>
            <w:r w:rsidRPr="0035051C">
              <w:rPr>
                <w:rFonts w:ascii="Times New Roman" w:hAnsi="Times New Roman"/>
                <w:sz w:val="24"/>
                <w:szCs w:val="24"/>
              </w:rPr>
              <w:t xml:space="preserve"> priemonės</w:t>
            </w:r>
            <w:r>
              <w:rPr>
                <w:rFonts w:ascii="Times New Roman" w:hAnsi="Times New Roman"/>
                <w:sz w:val="24"/>
                <w:szCs w:val="24"/>
              </w:rPr>
              <w:t>, finansuojamos iš INVEGOS fondo lėšų,</w:t>
            </w:r>
            <w:r w:rsidRPr="0035051C">
              <w:rPr>
                <w:rFonts w:ascii="Times New Roman" w:hAnsi="Times New Roman"/>
                <w:sz w:val="24"/>
                <w:szCs w:val="24"/>
              </w:rPr>
              <w:t xml:space="preserve"> sąlygas privalo paskelbti savo interneto svetainėje, o taip pat, savo iniciatyva, taikyti ir kitas viešinimo priemones.</w:t>
            </w:r>
          </w:p>
          <w:p w14:paraId="15FC0764" w14:textId="77777777" w:rsidR="00035106" w:rsidRPr="0035051C" w:rsidRDefault="00035106" w:rsidP="009873E8">
            <w:pPr>
              <w:pStyle w:val="ListParagraph"/>
              <w:tabs>
                <w:tab w:val="left" w:pos="412"/>
              </w:tabs>
              <w:spacing w:after="0" w:line="240" w:lineRule="auto"/>
              <w:ind w:left="0"/>
              <w:jc w:val="both"/>
              <w:rPr>
                <w:rFonts w:ascii="Times New Roman" w:hAnsi="Times New Roman"/>
                <w:sz w:val="24"/>
                <w:szCs w:val="24"/>
              </w:rPr>
            </w:pPr>
            <w:r w:rsidRPr="0035051C">
              <w:rPr>
                <w:rFonts w:ascii="Times New Roman" w:hAnsi="Times New Roman"/>
                <w:sz w:val="24"/>
                <w:szCs w:val="24"/>
              </w:rPr>
              <w:t xml:space="preserve">Sudarant </w:t>
            </w:r>
            <w:r>
              <w:rPr>
                <w:rFonts w:ascii="Times New Roman" w:hAnsi="Times New Roman"/>
                <w:sz w:val="24"/>
                <w:szCs w:val="24"/>
              </w:rPr>
              <w:t>Faktoringo sandorius</w:t>
            </w:r>
            <w:r w:rsidRPr="0035051C">
              <w:rPr>
                <w:rFonts w:ascii="Times New Roman" w:hAnsi="Times New Roman"/>
                <w:sz w:val="24"/>
                <w:szCs w:val="24"/>
              </w:rPr>
              <w:t xml:space="preserve"> su </w:t>
            </w:r>
            <w:r>
              <w:rPr>
                <w:rFonts w:ascii="Times New Roman" w:hAnsi="Times New Roman"/>
                <w:sz w:val="24"/>
                <w:szCs w:val="24"/>
              </w:rPr>
              <w:t>Faktoringo</w:t>
            </w:r>
            <w:r w:rsidRPr="0035051C">
              <w:rPr>
                <w:rFonts w:ascii="Times New Roman" w:hAnsi="Times New Roman"/>
                <w:sz w:val="24"/>
                <w:szCs w:val="24"/>
              </w:rPr>
              <w:t xml:space="preserve"> </w:t>
            </w:r>
            <w:r>
              <w:rPr>
                <w:rFonts w:ascii="Times New Roman" w:hAnsi="Times New Roman"/>
                <w:sz w:val="24"/>
                <w:szCs w:val="24"/>
              </w:rPr>
              <w:t xml:space="preserve">sandorių </w:t>
            </w:r>
            <w:r w:rsidRPr="0035051C">
              <w:rPr>
                <w:rFonts w:ascii="Times New Roman" w:hAnsi="Times New Roman"/>
                <w:sz w:val="24"/>
                <w:szCs w:val="24"/>
              </w:rPr>
              <w:t xml:space="preserve">gavėjais, </w:t>
            </w:r>
            <w:r>
              <w:rPr>
                <w:rFonts w:ascii="Times New Roman" w:hAnsi="Times New Roman"/>
                <w:sz w:val="24"/>
                <w:szCs w:val="24"/>
              </w:rPr>
              <w:t>PGF2 priemonės valdytojas į Faktoringo sandorio</w:t>
            </w:r>
            <w:r w:rsidRPr="0035051C">
              <w:rPr>
                <w:rFonts w:ascii="Times New Roman" w:hAnsi="Times New Roman"/>
                <w:sz w:val="24"/>
                <w:szCs w:val="24"/>
              </w:rPr>
              <w:t xml:space="preserve"> sutart</w:t>
            </w:r>
            <w:r>
              <w:rPr>
                <w:rFonts w:ascii="Times New Roman" w:hAnsi="Times New Roman"/>
                <w:sz w:val="24"/>
                <w:szCs w:val="24"/>
              </w:rPr>
              <w:t>į</w:t>
            </w:r>
            <w:r w:rsidRPr="0035051C">
              <w:rPr>
                <w:rFonts w:ascii="Times New Roman" w:hAnsi="Times New Roman"/>
                <w:sz w:val="24"/>
                <w:szCs w:val="24"/>
              </w:rPr>
              <w:t xml:space="preserve"> privalo įtraukti nuostatą, kad </w:t>
            </w:r>
            <w:r>
              <w:rPr>
                <w:rFonts w:ascii="Times New Roman" w:hAnsi="Times New Roman"/>
                <w:sz w:val="24"/>
                <w:szCs w:val="24"/>
              </w:rPr>
              <w:t>Faktoringo sandoris</w:t>
            </w:r>
            <w:r w:rsidRPr="0035051C">
              <w:rPr>
                <w:rFonts w:ascii="Times New Roman" w:hAnsi="Times New Roman"/>
                <w:sz w:val="24"/>
                <w:szCs w:val="24"/>
              </w:rPr>
              <w:t xml:space="preserve"> yra garantuojama</w:t>
            </w:r>
            <w:r>
              <w:rPr>
                <w:rFonts w:ascii="Times New Roman" w:hAnsi="Times New Roman"/>
                <w:sz w:val="24"/>
                <w:szCs w:val="24"/>
              </w:rPr>
              <w:t>s</w:t>
            </w:r>
            <w:r w:rsidRPr="0035051C">
              <w:rPr>
                <w:rFonts w:ascii="Times New Roman" w:hAnsi="Times New Roman"/>
                <w:sz w:val="24"/>
                <w:szCs w:val="24"/>
              </w:rPr>
              <w:t xml:space="preserve"> </w:t>
            </w:r>
            <w:r>
              <w:rPr>
                <w:rFonts w:ascii="Times New Roman" w:hAnsi="Times New Roman"/>
                <w:sz w:val="24"/>
                <w:szCs w:val="24"/>
              </w:rPr>
              <w:t>pagal PGF2 priemonės sąlygas ir iš INVEGOS fondo lėšų</w:t>
            </w:r>
            <w:r w:rsidRPr="0035051C">
              <w:rPr>
                <w:rFonts w:ascii="Times New Roman" w:hAnsi="Times New Roman"/>
                <w:sz w:val="24"/>
                <w:szCs w:val="24"/>
              </w:rPr>
              <w:t xml:space="preserve">. Teikiant konsultacijas ir viešinant </w:t>
            </w:r>
            <w:r>
              <w:rPr>
                <w:rFonts w:ascii="Times New Roman" w:hAnsi="Times New Roman"/>
                <w:sz w:val="24"/>
                <w:szCs w:val="24"/>
              </w:rPr>
              <w:t>PGF2 </w:t>
            </w:r>
            <w:r w:rsidRPr="0035051C">
              <w:rPr>
                <w:rFonts w:ascii="Times New Roman" w:hAnsi="Times New Roman"/>
                <w:sz w:val="24"/>
                <w:szCs w:val="24"/>
              </w:rPr>
              <w:t>priemonę ki</w:t>
            </w:r>
            <w:r>
              <w:rPr>
                <w:rFonts w:ascii="Times New Roman" w:hAnsi="Times New Roman"/>
                <w:sz w:val="24"/>
                <w:szCs w:val="24"/>
              </w:rPr>
              <w:t>tomis viešinimo priemonėmis, PGF2</w:t>
            </w:r>
            <w:r w:rsidRPr="0035051C">
              <w:rPr>
                <w:rFonts w:ascii="Times New Roman" w:hAnsi="Times New Roman"/>
                <w:sz w:val="24"/>
                <w:szCs w:val="24"/>
              </w:rPr>
              <w:t xml:space="preserve"> priemonės valdytojas privalo </w:t>
            </w:r>
            <w:r>
              <w:rPr>
                <w:rFonts w:ascii="Times New Roman" w:hAnsi="Times New Roman"/>
                <w:sz w:val="24"/>
                <w:szCs w:val="24"/>
              </w:rPr>
              <w:t>informuoti, kad PGF2 priemonė yra finansuojama INVEGOS fondo lėšomis</w:t>
            </w:r>
          </w:p>
        </w:tc>
      </w:tr>
      <w:tr w:rsidR="00035106" w:rsidRPr="00B751E6" w14:paraId="7246420A" w14:textId="77777777" w:rsidTr="00D95057">
        <w:tc>
          <w:tcPr>
            <w:tcW w:w="2030" w:type="dxa"/>
            <w:tcBorders>
              <w:bottom w:val="single" w:sz="4" w:space="0" w:color="000000"/>
            </w:tcBorders>
          </w:tcPr>
          <w:p w14:paraId="1C498DA2" w14:textId="77777777" w:rsidR="00035106" w:rsidRPr="00142589" w:rsidRDefault="00035106" w:rsidP="009873E8">
            <w:pPr>
              <w:autoSpaceDE w:val="0"/>
              <w:autoSpaceDN w:val="0"/>
              <w:spacing w:after="0" w:line="240" w:lineRule="auto"/>
              <w:contextualSpacing/>
              <w:rPr>
                <w:rFonts w:ascii="Times New Roman" w:hAnsi="Times New Roman"/>
                <w:sz w:val="24"/>
                <w:szCs w:val="24"/>
              </w:rPr>
            </w:pPr>
            <w:r w:rsidRPr="00C65FDF">
              <w:rPr>
                <w:rFonts w:ascii="Times New Roman" w:hAnsi="Times New Roman"/>
                <w:b/>
                <w:sz w:val="24"/>
                <w:szCs w:val="24"/>
              </w:rPr>
              <w:t>Audito reikalavimai</w:t>
            </w:r>
          </w:p>
        </w:tc>
        <w:tc>
          <w:tcPr>
            <w:tcW w:w="7321" w:type="dxa"/>
            <w:tcBorders>
              <w:bottom w:val="single" w:sz="4" w:space="0" w:color="000000"/>
            </w:tcBorders>
          </w:tcPr>
          <w:p w14:paraId="4CCB3C05" w14:textId="77777777" w:rsidR="00035106" w:rsidRDefault="00035106" w:rsidP="009873E8">
            <w:pPr>
              <w:spacing w:after="0" w:line="240" w:lineRule="auto"/>
              <w:jc w:val="both"/>
              <w:rPr>
                <w:rFonts w:ascii="Times New Roman" w:hAnsi="Times New Roman"/>
                <w:sz w:val="24"/>
                <w:szCs w:val="24"/>
              </w:rPr>
            </w:pPr>
            <w:r>
              <w:rPr>
                <w:rFonts w:ascii="Times New Roman" w:hAnsi="Times New Roman"/>
                <w:sz w:val="24"/>
                <w:szCs w:val="24"/>
              </w:rPr>
              <w:t>PGF2 p</w:t>
            </w:r>
            <w:r w:rsidRPr="006E0E86">
              <w:rPr>
                <w:rFonts w:ascii="Times New Roman" w:hAnsi="Times New Roman"/>
                <w:sz w:val="24"/>
                <w:szCs w:val="24"/>
              </w:rPr>
              <w:t>riemonės valdytojas įsipareigoja įsileisti „Invegos“, F</w:t>
            </w:r>
            <w:r>
              <w:rPr>
                <w:rFonts w:ascii="Times New Roman" w:hAnsi="Times New Roman"/>
                <w:sz w:val="24"/>
                <w:szCs w:val="24"/>
              </w:rPr>
              <w:t>inansų ministerijos</w:t>
            </w:r>
            <w:r w:rsidRPr="006E0E86">
              <w:rPr>
                <w:rFonts w:ascii="Times New Roman" w:hAnsi="Times New Roman"/>
                <w:sz w:val="24"/>
                <w:szCs w:val="24"/>
              </w:rPr>
              <w:t xml:space="preserve">, </w:t>
            </w:r>
            <w:r>
              <w:rPr>
                <w:rFonts w:ascii="Times New Roman" w:hAnsi="Times New Roman"/>
                <w:sz w:val="24"/>
                <w:szCs w:val="24"/>
              </w:rPr>
              <w:t>Ekonomikos ir inovacijų ministerijos</w:t>
            </w:r>
            <w:r w:rsidRPr="006E0E86">
              <w:rPr>
                <w:rFonts w:ascii="Times New Roman" w:hAnsi="Times New Roman"/>
                <w:sz w:val="24"/>
                <w:szCs w:val="24"/>
              </w:rPr>
              <w:t>, Lietuvos Respublikos valstybės kontrolės, Finansinių nusikaltimų tyrimo tarnybos prie Vidaus reikalų ministerijos,</w:t>
            </w:r>
            <w:r>
              <w:rPr>
                <w:rFonts w:ascii="Times New Roman" w:hAnsi="Times New Roman"/>
                <w:sz w:val="24"/>
                <w:szCs w:val="24"/>
              </w:rPr>
              <w:t xml:space="preserve"> </w:t>
            </w:r>
            <w:r w:rsidRPr="006F2AAE">
              <w:rPr>
                <w:rFonts w:ascii="Times New Roman" w:hAnsi="Times New Roman"/>
                <w:sz w:val="24"/>
                <w:szCs w:val="24"/>
              </w:rPr>
              <w:t>Lietuvos Respublikos specialiųjų tyrimų tarnybos</w:t>
            </w:r>
            <w:r>
              <w:rPr>
                <w:rFonts w:ascii="Times New Roman" w:hAnsi="Times New Roman"/>
                <w:sz w:val="24"/>
                <w:szCs w:val="24"/>
              </w:rPr>
              <w:t>,</w:t>
            </w:r>
            <w:r w:rsidRPr="006E0E86">
              <w:rPr>
                <w:rFonts w:ascii="Times New Roman" w:hAnsi="Times New Roman"/>
                <w:sz w:val="24"/>
                <w:szCs w:val="24"/>
              </w:rPr>
              <w:t xml:space="preserve"> Konkurencijos tarybos įgaliotus atstovus, tinkamai įgaliotų nacionalinių subjektų, turinčių teisę tikrinti, kaip panaudojamos </w:t>
            </w:r>
            <w:r>
              <w:rPr>
                <w:rFonts w:ascii="Times New Roman" w:hAnsi="Times New Roman"/>
                <w:sz w:val="24"/>
                <w:szCs w:val="24"/>
              </w:rPr>
              <w:t>INVEGOS fondo</w:t>
            </w:r>
            <w:r w:rsidRPr="006E0E86">
              <w:rPr>
                <w:rFonts w:ascii="Times New Roman" w:hAnsi="Times New Roman"/>
                <w:sz w:val="24"/>
                <w:szCs w:val="24"/>
              </w:rPr>
              <w:t xml:space="preserve"> lėšos (toliau – audito institucijos) atstovus atlikti </w:t>
            </w:r>
            <w:r>
              <w:rPr>
                <w:rFonts w:ascii="Times New Roman" w:hAnsi="Times New Roman"/>
                <w:sz w:val="24"/>
                <w:szCs w:val="24"/>
              </w:rPr>
              <w:t xml:space="preserve">PGF2 </w:t>
            </w:r>
            <w:r w:rsidRPr="006E0E86">
              <w:rPr>
                <w:rFonts w:ascii="Times New Roman" w:hAnsi="Times New Roman"/>
                <w:sz w:val="24"/>
                <w:szCs w:val="24"/>
              </w:rPr>
              <w:t>priemonės audi</w:t>
            </w:r>
            <w:r>
              <w:rPr>
                <w:rFonts w:ascii="Times New Roman" w:hAnsi="Times New Roman"/>
                <w:sz w:val="24"/>
                <w:szCs w:val="24"/>
              </w:rPr>
              <w:t>tą ir (arba) patikrinimą iki Faktoringo</w:t>
            </w:r>
            <w:r w:rsidRPr="006E0E86">
              <w:rPr>
                <w:rFonts w:ascii="Times New Roman" w:hAnsi="Times New Roman"/>
                <w:sz w:val="24"/>
                <w:szCs w:val="24"/>
              </w:rPr>
              <w:t xml:space="preserve"> gavėjo lygmens. </w:t>
            </w:r>
            <w:r>
              <w:rPr>
                <w:rFonts w:ascii="Times New Roman" w:hAnsi="Times New Roman"/>
                <w:sz w:val="24"/>
                <w:szCs w:val="24"/>
              </w:rPr>
              <w:t>PGF2</w:t>
            </w:r>
            <w:r w:rsidRPr="006E0E86">
              <w:rPr>
                <w:rFonts w:ascii="Times New Roman" w:hAnsi="Times New Roman"/>
                <w:sz w:val="24"/>
                <w:szCs w:val="24"/>
              </w:rPr>
              <w:t xml:space="preserve"> priemonės valdytojo sudaromose </w:t>
            </w:r>
            <w:r>
              <w:rPr>
                <w:rFonts w:ascii="Times New Roman" w:hAnsi="Times New Roman"/>
                <w:sz w:val="24"/>
                <w:szCs w:val="24"/>
              </w:rPr>
              <w:t>Faktoringo sandorių</w:t>
            </w:r>
            <w:r w:rsidRPr="006E0E86">
              <w:rPr>
                <w:rFonts w:ascii="Times New Roman" w:hAnsi="Times New Roman"/>
                <w:sz w:val="24"/>
                <w:szCs w:val="24"/>
              </w:rPr>
              <w:t xml:space="preserve"> sutartyse turi būti nustatyta analogiška pareiga </w:t>
            </w:r>
            <w:r>
              <w:rPr>
                <w:rFonts w:ascii="Times New Roman" w:hAnsi="Times New Roman"/>
                <w:sz w:val="24"/>
                <w:szCs w:val="24"/>
              </w:rPr>
              <w:t>Faktoringo</w:t>
            </w:r>
            <w:r w:rsidRPr="006E0E86">
              <w:rPr>
                <w:rFonts w:ascii="Times New Roman" w:hAnsi="Times New Roman"/>
                <w:sz w:val="24"/>
                <w:szCs w:val="24"/>
              </w:rPr>
              <w:t xml:space="preserve"> gavėjui. </w:t>
            </w:r>
          </w:p>
          <w:p w14:paraId="2BCA6BB0" w14:textId="77777777" w:rsidR="00035106"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t>PGF2</w:t>
            </w:r>
            <w:r w:rsidRPr="006E0E86">
              <w:rPr>
                <w:rFonts w:ascii="Times New Roman" w:hAnsi="Times New Roman"/>
                <w:sz w:val="24"/>
                <w:szCs w:val="24"/>
              </w:rPr>
              <w:t xml:space="preserve"> priemonės valdytojas</w:t>
            </w:r>
            <w:r>
              <w:rPr>
                <w:rFonts w:ascii="Times New Roman" w:hAnsi="Times New Roman"/>
                <w:sz w:val="24"/>
                <w:szCs w:val="24"/>
              </w:rPr>
              <w:t xml:space="preserve"> </w:t>
            </w:r>
            <w:r w:rsidRPr="006E0E86">
              <w:rPr>
                <w:rFonts w:ascii="Times New Roman" w:hAnsi="Times New Roman"/>
                <w:sz w:val="24"/>
                <w:szCs w:val="24"/>
              </w:rPr>
              <w:t xml:space="preserve">privalo saugoti visus su </w:t>
            </w:r>
            <w:r>
              <w:rPr>
                <w:rFonts w:ascii="Times New Roman" w:hAnsi="Times New Roman"/>
                <w:sz w:val="24"/>
                <w:szCs w:val="24"/>
              </w:rPr>
              <w:t>Faktoringo sandoriais</w:t>
            </w:r>
            <w:r w:rsidRPr="006E0E86">
              <w:rPr>
                <w:rFonts w:ascii="Times New Roman" w:hAnsi="Times New Roman"/>
                <w:sz w:val="24"/>
                <w:szCs w:val="24"/>
              </w:rPr>
              <w:t xml:space="preserve"> ir </w:t>
            </w:r>
            <w:r>
              <w:rPr>
                <w:rFonts w:ascii="Times New Roman" w:hAnsi="Times New Roman"/>
                <w:sz w:val="24"/>
                <w:szCs w:val="24"/>
              </w:rPr>
              <w:t>Faktoringo</w:t>
            </w:r>
            <w:r w:rsidRPr="006E0E86">
              <w:rPr>
                <w:rFonts w:ascii="Times New Roman" w:hAnsi="Times New Roman"/>
                <w:sz w:val="24"/>
                <w:szCs w:val="24"/>
              </w:rPr>
              <w:t xml:space="preserve"> gavėjais susijusius dokumentus</w:t>
            </w:r>
            <w:r w:rsidRPr="00E9337D">
              <w:rPr>
                <w:rFonts w:ascii="Times New Roman" w:hAnsi="Times New Roman"/>
                <w:sz w:val="24"/>
                <w:szCs w:val="24"/>
              </w:rPr>
              <w:t xml:space="preserve"> ne trumpesniu nei 1 metų laikotarpiu po </w:t>
            </w:r>
            <w:r>
              <w:rPr>
                <w:rFonts w:ascii="Times New Roman" w:hAnsi="Times New Roman"/>
                <w:sz w:val="24"/>
                <w:szCs w:val="24"/>
              </w:rPr>
              <w:t xml:space="preserve">PGF2 priemonės uždarymo ir ne trumpesniu kaip </w:t>
            </w:r>
            <w:r>
              <w:rPr>
                <w:rFonts w:ascii="Times New Roman" w:eastAsia="Times New Roman" w:hAnsi="Times New Roman"/>
                <w:sz w:val="24"/>
                <w:szCs w:val="24"/>
              </w:rPr>
              <w:t>Reglamento (ES) Nr. 1407/2013 6 str. 4 d. nustatytu laikotarpiu.</w:t>
            </w:r>
          </w:p>
          <w:p w14:paraId="0F921542" w14:textId="77777777" w:rsidR="00035106" w:rsidRPr="00142589" w:rsidRDefault="00035106" w:rsidP="009873E8">
            <w:pPr>
              <w:pStyle w:val="ListParagraph"/>
              <w:tabs>
                <w:tab w:val="left" w:pos="412"/>
              </w:tabs>
              <w:spacing w:after="0" w:line="240" w:lineRule="auto"/>
              <w:ind w:left="0"/>
              <w:jc w:val="both"/>
              <w:rPr>
                <w:rFonts w:ascii="Times New Roman" w:hAnsi="Times New Roman"/>
                <w:sz w:val="24"/>
                <w:szCs w:val="24"/>
              </w:rPr>
            </w:pPr>
            <w:r>
              <w:rPr>
                <w:rFonts w:ascii="Times New Roman" w:hAnsi="Times New Roman"/>
                <w:sz w:val="24"/>
                <w:szCs w:val="24"/>
              </w:rPr>
              <w:t>PGF2 priemonės valdytojas dokumentus reikalingus atlikti auditui ar patikroms teikia neatlygintinai</w:t>
            </w:r>
          </w:p>
        </w:tc>
      </w:tr>
      <w:tr w:rsidR="00035106" w:rsidRPr="00B751E6" w14:paraId="01D79491" w14:textId="77777777" w:rsidTr="00D95057">
        <w:tc>
          <w:tcPr>
            <w:tcW w:w="2030" w:type="dxa"/>
            <w:tcBorders>
              <w:bottom w:val="single" w:sz="4" w:space="0" w:color="000000"/>
            </w:tcBorders>
          </w:tcPr>
          <w:p w14:paraId="0C607B43" w14:textId="77777777" w:rsidR="00035106" w:rsidRPr="00C65FDF" w:rsidRDefault="00035106" w:rsidP="009873E8">
            <w:pPr>
              <w:autoSpaceDE w:val="0"/>
              <w:autoSpaceDN w:val="0"/>
              <w:spacing w:after="0" w:line="240" w:lineRule="auto"/>
              <w:contextualSpacing/>
              <w:rPr>
                <w:rFonts w:ascii="Times New Roman" w:hAnsi="Times New Roman"/>
                <w:b/>
                <w:sz w:val="24"/>
                <w:szCs w:val="24"/>
              </w:rPr>
            </w:pPr>
            <w:r w:rsidRPr="00C65FDF">
              <w:rPr>
                <w:rFonts w:ascii="Times New Roman" w:hAnsi="Times New Roman"/>
                <w:b/>
                <w:sz w:val="24"/>
                <w:szCs w:val="24"/>
              </w:rPr>
              <w:lastRenderedPageBreak/>
              <w:t>Kitos sąlygos</w:t>
            </w:r>
          </w:p>
        </w:tc>
        <w:tc>
          <w:tcPr>
            <w:tcW w:w="7321" w:type="dxa"/>
            <w:tcBorders>
              <w:bottom w:val="single" w:sz="4" w:space="0" w:color="000000"/>
            </w:tcBorders>
          </w:tcPr>
          <w:p w14:paraId="6C65761B" w14:textId="77777777" w:rsidR="00035106" w:rsidRDefault="00035106" w:rsidP="009873E8">
            <w:pPr>
              <w:spacing w:after="0" w:line="240" w:lineRule="auto"/>
              <w:jc w:val="both"/>
              <w:rPr>
                <w:rFonts w:ascii="Times New Roman" w:hAnsi="Times New Roman"/>
                <w:sz w:val="24"/>
                <w:szCs w:val="24"/>
              </w:rPr>
            </w:pPr>
            <w:r w:rsidRPr="00886CC7">
              <w:rPr>
                <w:rFonts w:ascii="Times New Roman" w:hAnsi="Times New Roman"/>
                <w:sz w:val="24"/>
                <w:szCs w:val="24"/>
              </w:rPr>
              <w:t xml:space="preserve">Be kitų nuostatų, </w:t>
            </w:r>
            <w:r>
              <w:rPr>
                <w:rFonts w:ascii="Times New Roman" w:hAnsi="Times New Roman"/>
                <w:sz w:val="24"/>
                <w:szCs w:val="24"/>
              </w:rPr>
              <w:t>S</w:t>
            </w:r>
            <w:r w:rsidRPr="00886CC7">
              <w:rPr>
                <w:rFonts w:ascii="Times New Roman" w:hAnsi="Times New Roman"/>
                <w:sz w:val="24"/>
                <w:szCs w:val="24"/>
              </w:rPr>
              <w:t xml:space="preserve">utartyse nustatomos kitos sąlygos: </w:t>
            </w:r>
            <w:r>
              <w:rPr>
                <w:rFonts w:ascii="Times New Roman" w:hAnsi="Times New Roman"/>
                <w:sz w:val="24"/>
                <w:szCs w:val="24"/>
              </w:rPr>
              <w:t>Faktoringo sandorių</w:t>
            </w:r>
            <w:r w:rsidRPr="00886CC7">
              <w:rPr>
                <w:rFonts w:ascii="Times New Roman" w:hAnsi="Times New Roman"/>
                <w:sz w:val="24"/>
                <w:szCs w:val="24"/>
              </w:rPr>
              <w:t xml:space="preserve"> įtraukimo ir išėmimo iš Portfeli</w:t>
            </w:r>
            <w:r>
              <w:rPr>
                <w:rFonts w:ascii="Times New Roman" w:hAnsi="Times New Roman"/>
                <w:sz w:val="24"/>
                <w:szCs w:val="24"/>
              </w:rPr>
              <w:t>o</w:t>
            </w:r>
            <w:r w:rsidRPr="00886CC7">
              <w:rPr>
                <w:rFonts w:ascii="Times New Roman" w:hAnsi="Times New Roman"/>
                <w:sz w:val="24"/>
                <w:szCs w:val="24"/>
              </w:rPr>
              <w:t xml:space="preserve"> tvarka, Portfeli</w:t>
            </w:r>
            <w:r>
              <w:rPr>
                <w:rFonts w:ascii="Times New Roman" w:hAnsi="Times New Roman"/>
                <w:sz w:val="24"/>
                <w:szCs w:val="24"/>
              </w:rPr>
              <w:t>o</w:t>
            </w:r>
            <w:r w:rsidRPr="00886CC7">
              <w:rPr>
                <w:rFonts w:ascii="Times New Roman" w:hAnsi="Times New Roman"/>
                <w:sz w:val="24"/>
                <w:szCs w:val="24"/>
              </w:rPr>
              <w:t xml:space="preserve"> dydžio koregavimo tvarka,</w:t>
            </w:r>
            <w:r>
              <w:rPr>
                <w:rFonts w:ascii="Times New Roman" w:hAnsi="Times New Roman"/>
                <w:sz w:val="24"/>
                <w:szCs w:val="24"/>
              </w:rPr>
              <w:t xml:space="preserve"> Garantijos mokesčio mokėjimo tvarka,</w:t>
            </w:r>
            <w:r w:rsidRPr="00886CC7">
              <w:rPr>
                <w:rFonts w:ascii="Times New Roman" w:hAnsi="Times New Roman"/>
                <w:sz w:val="24"/>
                <w:szCs w:val="24"/>
              </w:rPr>
              <w:t xml:space="preserve"> </w:t>
            </w:r>
            <w:r>
              <w:rPr>
                <w:rFonts w:ascii="Times New Roman" w:hAnsi="Times New Roman"/>
                <w:sz w:val="24"/>
                <w:szCs w:val="24"/>
              </w:rPr>
              <w:t>I</w:t>
            </w:r>
            <w:r w:rsidRPr="00886CC7">
              <w:rPr>
                <w:rFonts w:ascii="Times New Roman" w:hAnsi="Times New Roman"/>
                <w:sz w:val="24"/>
                <w:szCs w:val="24"/>
              </w:rPr>
              <w:t xml:space="preserve">šmokų mokėjimo tvarka, išieškotų skolų grąžinimo </w:t>
            </w:r>
            <w:r>
              <w:rPr>
                <w:rFonts w:ascii="Times New Roman" w:hAnsi="Times New Roman"/>
                <w:sz w:val="24"/>
                <w:szCs w:val="24"/>
              </w:rPr>
              <w:t xml:space="preserve">INVEGOS </w:t>
            </w:r>
            <w:r w:rsidRPr="00886CC7">
              <w:rPr>
                <w:rFonts w:ascii="Times New Roman" w:hAnsi="Times New Roman"/>
                <w:sz w:val="24"/>
                <w:szCs w:val="24"/>
              </w:rPr>
              <w:t xml:space="preserve">fondui tvarka, </w:t>
            </w:r>
            <w:r w:rsidRPr="00145126">
              <w:rPr>
                <w:rFonts w:ascii="Times New Roman" w:hAnsi="Times New Roman"/>
                <w:sz w:val="24"/>
                <w:szCs w:val="24"/>
              </w:rPr>
              <w:t>pagrindžiančių dokumentų saugojimo</w:t>
            </w:r>
            <w:r>
              <w:rPr>
                <w:rFonts w:ascii="Times New Roman" w:hAnsi="Times New Roman"/>
                <w:sz w:val="24"/>
                <w:szCs w:val="24"/>
              </w:rPr>
              <w:t xml:space="preserve"> tvarka,</w:t>
            </w:r>
            <w:r w:rsidRPr="00886CC7">
              <w:rPr>
                <w:rFonts w:ascii="Times New Roman" w:hAnsi="Times New Roman"/>
                <w:sz w:val="24"/>
                <w:szCs w:val="24"/>
              </w:rPr>
              <w:t xml:space="preserve"> </w:t>
            </w:r>
            <w:r>
              <w:rPr>
                <w:rFonts w:ascii="Times New Roman" w:hAnsi="Times New Roman"/>
                <w:sz w:val="24"/>
                <w:szCs w:val="24"/>
              </w:rPr>
              <w:t>S</w:t>
            </w:r>
            <w:r w:rsidRPr="00886CC7">
              <w:rPr>
                <w:rFonts w:ascii="Times New Roman" w:hAnsi="Times New Roman"/>
                <w:sz w:val="24"/>
                <w:szCs w:val="24"/>
              </w:rPr>
              <w:t xml:space="preserve">utarties šalių teisės ir pareigos, ataskaitų </w:t>
            </w:r>
            <w:r>
              <w:rPr>
                <w:rFonts w:ascii="Times New Roman" w:hAnsi="Times New Roman"/>
                <w:sz w:val="24"/>
                <w:szCs w:val="24"/>
              </w:rPr>
              <w:t xml:space="preserve">formos ir jų pateikimo </w:t>
            </w:r>
            <w:r w:rsidRPr="00886CC7">
              <w:rPr>
                <w:rFonts w:ascii="Times New Roman" w:hAnsi="Times New Roman"/>
                <w:sz w:val="24"/>
                <w:szCs w:val="24"/>
              </w:rPr>
              <w:t xml:space="preserve">tvarka, </w:t>
            </w:r>
            <w:r>
              <w:rPr>
                <w:rFonts w:ascii="Times New Roman" w:hAnsi="Times New Roman"/>
                <w:sz w:val="24"/>
                <w:szCs w:val="24"/>
              </w:rPr>
              <w:t>S</w:t>
            </w:r>
            <w:r w:rsidRPr="00145126">
              <w:rPr>
                <w:rFonts w:ascii="Times New Roman" w:hAnsi="Times New Roman"/>
                <w:sz w:val="24"/>
                <w:szCs w:val="24"/>
              </w:rPr>
              <w:t xml:space="preserve">utarties sąlygų keitimo galimi atvejai ir tvarka </w:t>
            </w:r>
            <w:r w:rsidRPr="00886CC7">
              <w:rPr>
                <w:rFonts w:ascii="Times New Roman" w:hAnsi="Times New Roman"/>
                <w:sz w:val="24"/>
                <w:szCs w:val="24"/>
              </w:rPr>
              <w:t>bei kitos sąlygos.</w:t>
            </w:r>
          </w:p>
          <w:p w14:paraId="0B70CF91" w14:textId="77777777" w:rsidR="00035106" w:rsidRPr="006E0E86" w:rsidRDefault="00035106" w:rsidP="009873E8">
            <w:pPr>
              <w:spacing w:after="0" w:line="240" w:lineRule="auto"/>
              <w:jc w:val="both"/>
              <w:rPr>
                <w:rFonts w:ascii="Times New Roman" w:hAnsi="Times New Roman"/>
                <w:sz w:val="24"/>
                <w:szCs w:val="24"/>
              </w:rPr>
            </w:pPr>
            <w:r>
              <w:rPr>
                <w:rFonts w:ascii="Times New Roman" w:hAnsi="Times New Roman"/>
                <w:sz w:val="24"/>
                <w:szCs w:val="24"/>
              </w:rPr>
              <w:t>Sutarties vykdymo laikotarpiu pasikeitus taikytiniems teisės aktams, direktyvoms, taisyklėms ar gairėms, Sutarties šalims bus taikomos aktualios ir galiojančios nuostatos</w:t>
            </w:r>
          </w:p>
        </w:tc>
      </w:tr>
    </w:tbl>
    <w:p w14:paraId="466B3C91" w14:textId="77777777" w:rsidR="00035106" w:rsidRDefault="00035106" w:rsidP="00035106">
      <w:pPr>
        <w:keepNext/>
        <w:autoSpaceDE w:val="0"/>
        <w:autoSpaceDN w:val="0"/>
        <w:adjustRightInd w:val="0"/>
        <w:spacing w:after="0" w:line="240" w:lineRule="auto"/>
        <w:jc w:val="center"/>
        <w:rPr>
          <w:rFonts w:ascii="Times New Roman" w:hAnsi="Times New Roman"/>
          <w:sz w:val="24"/>
          <w:szCs w:val="24"/>
        </w:rPr>
      </w:pPr>
    </w:p>
    <w:p w14:paraId="1AFF61DE" w14:textId="77777777" w:rsidR="00035106" w:rsidRPr="00342F63" w:rsidRDefault="00035106" w:rsidP="00035106">
      <w:pPr>
        <w:spacing w:after="0" w:line="240" w:lineRule="auto"/>
        <w:rPr>
          <w:rFonts w:ascii="Times New Roman" w:hAnsi="Times New Roman"/>
          <w:sz w:val="24"/>
          <w:szCs w:val="24"/>
        </w:rPr>
      </w:pPr>
      <w:r>
        <w:rPr>
          <w:rFonts w:ascii="Times New Roman" w:hAnsi="Times New Roman"/>
          <w:sz w:val="24"/>
          <w:szCs w:val="24"/>
        </w:rPr>
        <w:br w:type="page"/>
      </w:r>
    </w:p>
    <w:p w14:paraId="0CA676E2" w14:textId="77777777" w:rsidR="00F707D3" w:rsidRPr="00464FB9" w:rsidRDefault="00F855DD" w:rsidP="00F707D3">
      <w:pPr>
        <w:tabs>
          <w:tab w:val="left" w:pos="1418"/>
        </w:tabs>
        <w:spacing w:after="0" w:line="240" w:lineRule="auto"/>
        <w:ind w:left="993"/>
        <w:contextualSpacing/>
        <w:jc w:val="right"/>
        <w:rPr>
          <w:rFonts w:ascii="Times New Roman" w:hAnsi="Times New Roman"/>
          <w:lang w:eastAsia="lt-LT"/>
        </w:rPr>
      </w:pPr>
      <w:r w:rsidRPr="00531CBF">
        <w:rPr>
          <w:rFonts w:ascii="Times New Roman" w:hAnsi="Times New Roman"/>
          <w:lang w:eastAsia="lt-LT"/>
        </w:rPr>
        <w:lastRenderedPageBreak/>
        <w:t>Aprašo 2</w:t>
      </w:r>
      <w:r w:rsidR="00F707D3" w:rsidRPr="00464FB9">
        <w:rPr>
          <w:rFonts w:ascii="Times New Roman" w:hAnsi="Times New Roman"/>
          <w:lang w:eastAsia="lt-LT"/>
        </w:rPr>
        <w:t xml:space="preserve"> priedas</w:t>
      </w:r>
    </w:p>
    <w:p w14:paraId="692B7B6A" w14:textId="77777777" w:rsidR="00F707D3" w:rsidRPr="00464FB9" w:rsidRDefault="00F707D3" w:rsidP="00F707D3">
      <w:pPr>
        <w:spacing w:after="0" w:line="240" w:lineRule="auto"/>
        <w:ind w:right="-178"/>
        <w:jc w:val="center"/>
        <w:rPr>
          <w:rFonts w:ascii="Times New Roman" w:hAnsi="Times New Roman"/>
          <w:sz w:val="18"/>
          <w:lang w:eastAsia="lt-LT"/>
        </w:rPr>
      </w:pPr>
    </w:p>
    <w:p w14:paraId="442A7E01"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Herbas arba prek</w:t>
      </w:r>
      <w:r w:rsidR="00AF3744" w:rsidRPr="00464FB9">
        <w:rPr>
          <w:rFonts w:ascii="Times New Roman" w:hAnsi="Times New Roman"/>
          <w:sz w:val="18"/>
          <w:lang w:eastAsia="lt-LT"/>
        </w:rPr>
        <w:t>ės</w:t>
      </w:r>
      <w:r w:rsidRPr="00464FB9">
        <w:rPr>
          <w:rFonts w:ascii="Times New Roman" w:hAnsi="Times New Roman"/>
          <w:sz w:val="18"/>
          <w:lang w:eastAsia="lt-LT"/>
        </w:rPr>
        <w:t xml:space="preserve"> ženklas</w:t>
      </w:r>
    </w:p>
    <w:p w14:paraId="2D30C6CE" w14:textId="77777777" w:rsidR="00F707D3" w:rsidRPr="00464FB9" w:rsidRDefault="00F707D3" w:rsidP="00F707D3">
      <w:pPr>
        <w:spacing w:after="0" w:line="240" w:lineRule="auto"/>
        <w:ind w:right="-178"/>
        <w:rPr>
          <w:rFonts w:ascii="Times New Roman" w:hAnsi="Times New Roman"/>
          <w:sz w:val="18"/>
          <w:lang w:eastAsia="lt-LT"/>
        </w:rPr>
      </w:pPr>
      <w:r w:rsidRPr="00464FB9">
        <w:rPr>
          <w:rFonts w:ascii="Times New Roman" w:hAnsi="Times New Roman"/>
          <w:sz w:val="18"/>
          <w:lang w:eastAsia="lt-LT"/>
        </w:rPr>
        <w:t xml:space="preserve">                                                           </w:t>
      </w:r>
    </w:p>
    <w:p w14:paraId="43478987"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w:t>
      </w:r>
      <w:r w:rsidR="0010484F" w:rsidRPr="00464FB9">
        <w:rPr>
          <w:rFonts w:ascii="Times New Roman" w:hAnsi="Times New Roman"/>
          <w:sz w:val="18"/>
          <w:lang w:eastAsia="lt-LT"/>
        </w:rPr>
        <w:t>juridinio asmens</w:t>
      </w:r>
      <w:r w:rsidRPr="00464FB9">
        <w:rPr>
          <w:rFonts w:ascii="Times New Roman" w:hAnsi="Times New Roman"/>
          <w:sz w:val="18"/>
          <w:lang w:eastAsia="lt-LT"/>
        </w:rPr>
        <w:t xml:space="preserve"> pavadinimas)</w:t>
      </w:r>
    </w:p>
    <w:p w14:paraId="2A73DED4" w14:textId="77777777" w:rsidR="00F707D3" w:rsidRPr="00464FB9" w:rsidRDefault="00F707D3" w:rsidP="00F707D3">
      <w:pPr>
        <w:spacing w:after="0" w:line="240" w:lineRule="auto"/>
        <w:ind w:right="-178"/>
        <w:jc w:val="center"/>
        <w:rPr>
          <w:rFonts w:ascii="Times New Roman" w:hAnsi="Times New Roman"/>
          <w:sz w:val="18"/>
          <w:lang w:eastAsia="lt-LT"/>
        </w:rPr>
      </w:pPr>
    </w:p>
    <w:p w14:paraId="3A383C3D"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1A6BC61B" w14:textId="77777777" w:rsidR="00F707D3" w:rsidRPr="00464FB9" w:rsidRDefault="00F707D3" w:rsidP="00F707D3">
      <w:pPr>
        <w:spacing w:after="0" w:line="240" w:lineRule="auto"/>
        <w:ind w:right="-178"/>
        <w:jc w:val="center"/>
        <w:rPr>
          <w:rFonts w:ascii="Times New Roman" w:hAnsi="Times New Roman"/>
          <w:lang w:eastAsia="lt-LT"/>
        </w:rPr>
      </w:pPr>
    </w:p>
    <w:p w14:paraId="339BBA66" w14:textId="77777777" w:rsidR="00F707D3" w:rsidRPr="00464FB9" w:rsidRDefault="00F707D3" w:rsidP="00F707D3">
      <w:pPr>
        <w:spacing w:after="0" w:line="240" w:lineRule="auto"/>
        <w:jc w:val="center"/>
        <w:rPr>
          <w:rFonts w:ascii="Times New Roman" w:hAnsi="Times New Roman"/>
          <w:b/>
          <w:bCs/>
          <w:lang w:eastAsia="lt-LT"/>
        </w:rPr>
      </w:pPr>
    </w:p>
    <w:p w14:paraId="784AA48E" w14:textId="77777777" w:rsidR="00F707D3" w:rsidRPr="00464FB9" w:rsidRDefault="00F707D3" w:rsidP="0009478C">
      <w:pPr>
        <w:spacing w:after="0" w:line="240" w:lineRule="auto"/>
        <w:jc w:val="center"/>
        <w:rPr>
          <w:rFonts w:ascii="Times New Roman" w:hAnsi="Times New Roman"/>
          <w:lang w:eastAsia="lt-LT"/>
        </w:rPr>
      </w:pPr>
      <w:r w:rsidRPr="00464FB9">
        <w:rPr>
          <w:rFonts w:ascii="Times New Roman" w:hAnsi="Times New Roman"/>
          <w:lang w:eastAsia="lt-LT"/>
        </w:rPr>
        <w:t>UAB „INVESTICIJŲ IR VERSLO GARANTIJOS“</w:t>
      </w:r>
    </w:p>
    <w:p w14:paraId="6297E30E" w14:textId="77777777" w:rsidR="00F707D3" w:rsidRPr="00464FB9" w:rsidRDefault="00F707D3" w:rsidP="00F707D3">
      <w:pPr>
        <w:tabs>
          <w:tab w:val="center" w:pos="2520"/>
        </w:tabs>
        <w:spacing w:after="0" w:line="240" w:lineRule="auto"/>
        <w:jc w:val="both"/>
        <w:rPr>
          <w:rFonts w:ascii="Times New Roman" w:hAnsi="Times New Roman"/>
          <w:b/>
          <w:lang w:eastAsia="lt-LT"/>
        </w:rPr>
      </w:pPr>
    </w:p>
    <w:p w14:paraId="77EE7982" w14:textId="77777777" w:rsidR="00F707D3" w:rsidRPr="00464FB9" w:rsidRDefault="00F707D3" w:rsidP="00F707D3">
      <w:pPr>
        <w:spacing w:after="0" w:line="240" w:lineRule="auto"/>
        <w:jc w:val="center"/>
        <w:rPr>
          <w:rFonts w:ascii="Times New Roman" w:hAnsi="Times New Roman"/>
          <w:b/>
          <w:lang w:eastAsia="lt-LT"/>
        </w:rPr>
      </w:pPr>
      <w:r w:rsidRPr="00464FB9">
        <w:rPr>
          <w:rFonts w:ascii="Times New Roman" w:hAnsi="Times New Roman"/>
          <w:b/>
          <w:lang w:eastAsia="lt-LT"/>
        </w:rPr>
        <w:t>PRAŠYMAS</w:t>
      </w:r>
    </w:p>
    <w:p w14:paraId="12B85FDF" w14:textId="77777777" w:rsidR="00F707D3" w:rsidRPr="00464FB9" w:rsidRDefault="00F707D3" w:rsidP="00F707D3">
      <w:pPr>
        <w:spacing w:after="0" w:line="240" w:lineRule="auto"/>
        <w:jc w:val="center"/>
        <w:rPr>
          <w:rFonts w:ascii="Times New Roman" w:hAnsi="Times New Roman"/>
          <w:b/>
          <w:lang w:eastAsia="lt-LT"/>
        </w:rPr>
      </w:pPr>
      <w:r w:rsidRPr="00464FB9">
        <w:rPr>
          <w:rFonts w:ascii="Times New Roman" w:hAnsi="Times New Roman"/>
          <w:b/>
          <w:lang w:eastAsia="lt-LT"/>
        </w:rPr>
        <w:t xml:space="preserve">DĖL </w:t>
      </w:r>
      <w:r w:rsidR="00EA70F9" w:rsidRPr="00464FB9">
        <w:rPr>
          <w:rFonts w:ascii="Times New Roman" w:hAnsi="Times New Roman"/>
          <w:b/>
          <w:lang w:eastAsia="lt-LT"/>
        </w:rPr>
        <w:t>D</w:t>
      </w:r>
      <w:r w:rsidR="00D414E2" w:rsidRPr="00464FB9">
        <w:rPr>
          <w:rFonts w:ascii="Times New Roman" w:hAnsi="Times New Roman"/>
          <w:b/>
          <w:lang w:eastAsia="lt-LT"/>
        </w:rPr>
        <w:t>ALYVAVIMO ĮGYVENDINAN</w:t>
      </w:r>
      <w:r w:rsidR="00EA70F9" w:rsidRPr="00464FB9">
        <w:rPr>
          <w:rFonts w:ascii="Times New Roman" w:hAnsi="Times New Roman"/>
          <w:b/>
          <w:lang w:eastAsia="lt-LT"/>
        </w:rPr>
        <w:t xml:space="preserve">T </w:t>
      </w:r>
      <w:r w:rsidR="00446EF6" w:rsidRPr="00464FB9">
        <w:rPr>
          <w:rFonts w:ascii="Times New Roman" w:hAnsi="Times New Roman"/>
          <w:b/>
          <w:lang w:eastAsia="lt-LT"/>
        </w:rPr>
        <w:t xml:space="preserve">FINANSŲ INŽINERIJOS PRIEMONĘ „PORTFELINĖS GARANTIJOS FAKTORINGUI 2“ </w:t>
      </w:r>
    </w:p>
    <w:p w14:paraId="4642BA5D" w14:textId="77777777" w:rsidR="00F707D3" w:rsidRPr="00464FB9" w:rsidRDefault="00F707D3" w:rsidP="00F707D3">
      <w:pPr>
        <w:spacing w:after="0" w:line="240" w:lineRule="auto"/>
        <w:jc w:val="center"/>
        <w:rPr>
          <w:rFonts w:ascii="Times New Roman" w:hAnsi="Times New Roman"/>
          <w:b/>
          <w:i/>
          <w:lang w:eastAsia="lt-LT"/>
        </w:rPr>
      </w:pPr>
    </w:p>
    <w:p w14:paraId="08F45F26" w14:textId="77777777" w:rsidR="00F707D3" w:rsidRPr="00464FB9" w:rsidRDefault="00F707D3" w:rsidP="00F707D3">
      <w:pPr>
        <w:spacing w:after="0" w:line="240" w:lineRule="auto"/>
        <w:jc w:val="center"/>
        <w:rPr>
          <w:rFonts w:ascii="Times New Roman" w:hAnsi="Times New Roman"/>
          <w:i/>
          <w:lang w:eastAsia="lt-LT"/>
        </w:rPr>
      </w:pPr>
    </w:p>
    <w:p w14:paraId="21F2F4B8" w14:textId="77777777" w:rsidR="00F707D3" w:rsidRPr="00464FB9" w:rsidRDefault="00F707D3" w:rsidP="00F707D3">
      <w:pPr>
        <w:shd w:val="clear" w:color="auto" w:fill="FFFFFF"/>
        <w:spacing w:after="0" w:line="240" w:lineRule="auto"/>
        <w:jc w:val="center"/>
        <w:rPr>
          <w:rFonts w:ascii="Times New Roman" w:hAnsi="Times New Roman"/>
          <w:b/>
          <w:bCs/>
          <w:color w:val="000000"/>
          <w:lang w:eastAsia="lt-LT"/>
        </w:rPr>
      </w:pPr>
      <w:r w:rsidRPr="00464FB9">
        <w:rPr>
          <w:rFonts w:ascii="Times New Roman" w:hAnsi="Times New Roman"/>
          <w:lang w:eastAsia="lt-LT"/>
        </w:rPr>
        <w:t>_____________</w:t>
      </w:r>
      <w:r w:rsidRPr="00464FB9">
        <w:rPr>
          <w:rFonts w:ascii="Times New Roman" w:hAnsi="Times New Roman"/>
          <w:b/>
          <w:bCs/>
          <w:color w:val="000000"/>
          <w:lang w:eastAsia="lt-LT"/>
        </w:rPr>
        <w:t xml:space="preserve"> </w:t>
      </w:r>
      <w:r w:rsidRPr="00464FB9">
        <w:rPr>
          <w:rFonts w:ascii="Times New Roman" w:hAnsi="Times New Roman"/>
          <w:lang w:eastAsia="lt-LT"/>
        </w:rPr>
        <w:t>Nr.______</w:t>
      </w:r>
    </w:p>
    <w:p w14:paraId="00A30E5D" w14:textId="77777777" w:rsidR="00F707D3" w:rsidRPr="00464FB9" w:rsidRDefault="00F707D3" w:rsidP="00F707D3">
      <w:pPr>
        <w:pBdr>
          <w:bottom w:val="single" w:sz="12" w:space="1" w:color="auto"/>
        </w:pBdr>
        <w:shd w:val="clear" w:color="auto" w:fill="FFFFFF"/>
        <w:spacing w:after="0" w:line="240" w:lineRule="auto"/>
        <w:jc w:val="center"/>
        <w:rPr>
          <w:rFonts w:ascii="Times New Roman" w:hAnsi="Times New Roman"/>
          <w:bCs/>
          <w:color w:val="000000"/>
          <w:lang w:eastAsia="lt-LT"/>
        </w:rPr>
      </w:pPr>
      <w:r w:rsidRPr="00464FB9">
        <w:rPr>
          <w:rFonts w:ascii="Times New Roman" w:hAnsi="Times New Roman"/>
          <w:bCs/>
          <w:color w:val="000000"/>
          <w:lang w:eastAsia="lt-LT"/>
        </w:rPr>
        <w:t>(Data)</w:t>
      </w:r>
    </w:p>
    <w:p w14:paraId="0A6ABF42" w14:textId="77777777" w:rsidR="00F707D3" w:rsidRPr="00464FB9" w:rsidRDefault="00F707D3" w:rsidP="00F707D3">
      <w:pPr>
        <w:shd w:val="clear" w:color="auto" w:fill="FFFFFF"/>
        <w:spacing w:after="0" w:line="240" w:lineRule="auto"/>
        <w:jc w:val="center"/>
        <w:rPr>
          <w:rFonts w:ascii="Times New Roman" w:hAnsi="Times New Roman"/>
          <w:bCs/>
          <w:color w:val="000000"/>
          <w:lang w:eastAsia="lt-LT"/>
        </w:rPr>
      </w:pPr>
      <w:r w:rsidRPr="00464FB9">
        <w:rPr>
          <w:rFonts w:ascii="Times New Roman" w:hAnsi="Times New Roman"/>
          <w:bCs/>
          <w:color w:val="000000"/>
          <w:lang w:eastAsia="lt-LT"/>
        </w:rPr>
        <w:t>(Sudarymo vieta)</w:t>
      </w:r>
    </w:p>
    <w:p w14:paraId="3C3806AB" w14:textId="77777777" w:rsidR="00F707D3" w:rsidRPr="00464FB9" w:rsidRDefault="00F707D3" w:rsidP="00F707D3">
      <w:pPr>
        <w:spacing w:after="0" w:line="240" w:lineRule="auto"/>
        <w:jc w:val="center"/>
        <w:rPr>
          <w:rFonts w:ascii="Times New Roman" w:hAnsi="Times New Roman"/>
          <w:lang w:eastAsia="lt-LT"/>
        </w:rPr>
      </w:pPr>
    </w:p>
    <w:p w14:paraId="4C649C3C" w14:textId="77777777" w:rsidR="00F707D3" w:rsidRPr="00464FB9" w:rsidRDefault="00F707D3" w:rsidP="00F707D3">
      <w:pPr>
        <w:spacing w:after="0" w:line="240" w:lineRule="auto"/>
        <w:jc w:val="center"/>
        <w:rPr>
          <w:rFonts w:ascii="Times New Roman" w:hAnsi="Times New Roman"/>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425"/>
      </w:tblGrid>
      <w:tr w:rsidR="00F707D3" w:rsidRPr="00464FB9" w14:paraId="61E4A092" w14:textId="77777777" w:rsidTr="00D95057">
        <w:tc>
          <w:tcPr>
            <w:tcW w:w="5068" w:type="dxa"/>
            <w:tcBorders>
              <w:top w:val="single" w:sz="4" w:space="0" w:color="auto"/>
              <w:left w:val="single" w:sz="4" w:space="0" w:color="auto"/>
              <w:bottom w:val="single" w:sz="4" w:space="0" w:color="auto"/>
              <w:right w:val="single" w:sz="4" w:space="0" w:color="auto"/>
            </w:tcBorders>
          </w:tcPr>
          <w:p w14:paraId="4ACA7E51" w14:textId="77777777" w:rsidR="00F707D3" w:rsidRPr="00464FB9" w:rsidRDefault="00522131" w:rsidP="00F707D3">
            <w:pPr>
              <w:spacing w:after="0" w:line="240" w:lineRule="auto"/>
              <w:rPr>
                <w:rFonts w:ascii="Times New Roman" w:hAnsi="Times New Roman"/>
                <w:lang w:eastAsia="lt-LT"/>
              </w:rPr>
            </w:pPr>
            <w:r w:rsidRPr="00464FB9">
              <w:rPr>
                <w:rFonts w:ascii="Times New Roman" w:hAnsi="Times New Roman"/>
                <w:lang w:eastAsia="lt-LT"/>
              </w:rPr>
              <w:t>Juridinio asmens pavadinimas</w:t>
            </w:r>
            <w:r w:rsidR="00F707D3" w:rsidRPr="00464FB9">
              <w:rPr>
                <w:rFonts w:ascii="Times New Roman" w:hAnsi="Times New Roman"/>
                <w:lang w:eastAsia="lt-LT"/>
              </w:rPr>
              <w:t xml:space="preserve"> </w:t>
            </w:r>
          </w:p>
          <w:p w14:paraId="555CBF11" w14:textId="77777777" w:rsidR="00F233D6" w:rsidRPr="00464FB9" w:rsidRDefault="00F233D6" w:rsidP="00C57D7A">
            <w:pPr>
              <w:spacing w:after="0" w:line="240" w:lineRule="auto"/>
              <w:rPr>
                <w:rFonts w:ascii="Times New Roman" w:hAnsi="Times New Roman"/>
                <w:lang w:eastAsia="lt-LT"/>
              </w:rPr>
            </w:pPr>
            <w:r w:rsidRPr="00464FB9">
              <w:rPr>
                <w:rFonts w:ascii="Times New Roman" w:hAnsi="Times New Roman"/>
                <w:lang w:eastAsia="lt-LT"/>
              </w:rPr>
              <w:t xml:space="preserve">(toliau </w:t>
            </w:r>
            <w:r w:rsidR="002D39B0">
              <w:rPr>
                <w:rFonts w:ascii="Times New Roman" w:hAnsi="Times New Roman"/>
                <w:lang w:eastAsia="lt-LT"/>
              </w:rPr>
              <w:t>–</w:t>
            </w:r>
            <w:r w:rsidR="008D110E" w:rsidRPr="00464FB9">
              <w:rPr>
                <w:rFonts w:ascii="Times New Roman" w:hAnsi="Times New Roman"/>
                <w:lang w:eastAsia="lt-LT"/>
              </w:rPr>
              <w:t xml:space="preserve"> finansų įstaiga</w:t>
            </w:r>
            <w:r w:rsidRPr="00464FB9">
              <w:rPr>
                <w:rFonts w:ascii="Times New Roman" w:hAnsi="Times New Roman"/>
                <w:lang w:eastAsia="lt-LT"/>
              </w:rPr>
              <w:t>)</w:t>
            </w:r>
          </w:p>
        </w:tc>
        <w:tc>
          <w:tcPr>
            <w:tcW w:w="4425" w:type="dxa"/>
            <w:tcBorders>
              <w:top w:val="single" w:sz="4" w:space="0" w:color="auto"/>
              <w:left w:val="single" w:sz="4" w:space="0" w:color="auto"/>
              <w:bottom w:val="single" w:sz="4" w:space="0" w:color="auto"/>
              <w:right w:val="single" w:sz="4" w:space="0" w:color="auto"/>
            </w:tcBorders>
          </w:tcPr>
          <w:p w14:paraId="621AE09E" w14:textId="77777777" w:rsidR="00F707D3" w:rsidRPr="00464FB9" w:rsidRDefault="00F707D3" w:rsidP="00F707D3">
            <w:pPr>
              <w:spacing w:after="0" w:line="240" w:lineRule="auto"/>
              <w:jc w:val="both"/>
              <w:rPr>
                <w:rFonts w:ascii="Times New Roman" w:hAnsi="Times New Roman"/>
                <w:lang w:eastAsia="lt-LT"/>
              </w:rPr>
            </w:pPr>
          </w:p>
          <w:p w14:paraId="3C27E763"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15605A4B" w14:textId="77777777" w:rsidTr="00D95057">
        <w:tc>
          <w:tcPr>
            <w:tcW w:w="5068" w:type="dxa"/>
            <w:tcBorders>
              <w:top w:val="single" w:sz="4" w:space="0" w:color="auto"/>
              <w:left w:val="single" w:sz="4" w:space="0" w:color="auto"/>
              <w:bottom w:val="single" w:sz="4" w:space="0" w:color="auto"/>
              <w:right w:val="single" w:sz="4" w:space="0" w:color="auto"/>
            </w:tcBorders>
          </w:tcPr>
          <w:p w14:paraId="1AF0F88D"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 xml:space="preserve">Buveinės adresas </w:t>
            </w:r>
          </w:p>
        </w:tc>
        <w:tc>
          <w:tcPr>
            <w:tcW w:w="4425" w:type="dxa"/>
            <w:tcBorders>
              <w:top w:val="single" w:sz="4" w:space="0" w:color="auto"/>
              <w:left w:val="single" w:sz="4" w:space="0" w:color="auto"/>
              <w:bottom w:val="single" w:sz="4" w:space="0" w:color="auto"/>
              <w:right w:val="single" w:sz="4" w:space="0" w:color="auto"/>
            </w:tcBorders>
          </w:tcPr>
          <w:p w14:paraId="297C0833" w14:textId="77777777" w:rsidR="00F707D3" w:rsidRPr="00464FB9" w:rsidRDefault="00F707D3" w:rsidP="00F707D3">
            <w:pPr>
              <w:spacing w:after="0" w:line="240" w:lineRule="auto"/>
              <w:jc w:val="both"/>
              <w:rPr>
                <w:rFonts w:ascii="Times New Roman" w:hAnsi="Times New Roman"/>
                <w:lang w:eastAsia="lt-LT"/>
              </w:rPr>
            </w:pPr>
          </w:p>
          <w:p w14:paraId="1653513D"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78FD0E69" w14:textId="77777777" w:rsidTr="00D95057">
        <w:tc>
          <w:tcPr>
            <w:tcW w:w="5068" w:type="dxa"/>
            <w:tcBorders>
              <w:top w:val="single" w:sz="4" w:space="0" w:color="auto"/>
              <w:left w:val="single" w:sz="4" w:space="0" w:color="auto"/>
              <w:bottom w:val="single" w:sz="4" w:space="0" w:color="auto"/>
              <w:right w:val="single" w:sz="4" w:space="0" w:color="auto"/>
            </w:tcBorders>
          </w:tcPr>
          <w:p w14:paraId="2C74AD83"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Už prašymą atsakingo kontaktinio asmens vardas, pavardė</w:t>
            </w:r>
          </w:p>
        </w:tc>
        <w:tc>
          <w:tcPr>
            <w:tcW w:w="4425" w:type="dxa"/>
            <w:tcBorders>
              <w:top w:val="single" w:sz="4" w:space="0" w:color="auto"/>
              <w:left w:val="single" w:sz="4" w:space="0" w:color="auto"/>
              <w:bottom w:val="single" w:sz="4" w:space="0" w:color="auto"/>
              <w:right w:val="single" w:sz="4" w:space="0" w:color="auto"/>
            </w:tcBorders>
          </w:tcPr>
          <w:p w14:paraId="13315242" w14:textId="77777777" w:rsidR="00F707D3" w:rsidRPr="00464FB9" w:rsidRDefault="00F707D3" w:rsidP="00F707D3">
            <w:pPr>
              <w:spacing w:after="0" w:line="240" w:lineRule="auto"/>
              <w:jc w:val="both"/>
              <w:rPr>
                <w:rFonts w:ascii="Times New Roman" w:hAnsi="Times New Roman"/>
                <w:lang w:eastAsia="lt-LT"/>
              </w:rPr>
            </w:pPr>
          </w:p>
          <w:p w14:paraId="662D7562"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22504C8D" w14:textId="77777777" w:rsidTr="00D95057">
        <w:tc>
          <w:tcPr>
            <w:tcW w:w="5068" w:type="dxa"/>
            <w:tcBorders>
              <w:top w:val="single" w:sz="4" w:space="0" w:color="auto"/>
              <w:left w:val="single" w:sz="4" w:space="0" w:color="auto"/>
              <w:bottom w:val="single" w:sz="4" w:space="0" w:color="auto"/>
              <w:right w:val="single" w:sz="4" w:space="0" w:color="auto"/>
            </w:tcBorders>
          </w:tcPr>
          <w:p w14:paraId="1F1EBBDF"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Telefono numeris</w:t>
            </w:r>
          </w:p>
        </w:tc>
        <w:tc>
          <w:tcPr>
            <w:tcW w:w="4425" w:type="dxa"/>
            <w:tcBorders>
              <w:top w:val="single" w:sz="4" w:space="0" w:color="auto"/>
              <w:left w:val="single" w:sz="4" w:space="0" w:color="auto"/>
              <w:bottom w:val="single" w:sz="4" w:space="0" w:color="auto"/>
              <w:right w:val="single" w:sz="4" w:space="0" w:color="auto"/>
            </w:tcBorders>
          </w:tcPr>
          <w:p w14:paraId="791A18E0" w14:textId="77777777" w:rsidR="00F707D3" w:rsidRPr="00464FB9" w:rsidRDefault="00F707D3" w:rsidP="00F707D3">
            <w:pPr>
              <w:spacing w:after="0" w:line="240" w:lineRule="auto"/>
              <w:jc w:val="both"/>
              <w:rPr>
                <w:rFonts w:ascii="Times New Roman" w:hAnsi="Times New Roman"/>
                <w:lang w:eastAsia="lt-LT"/>
              </w:rPr>
            </w:pPr>
          </w:p>
          <w:p w14:paraId="7939326C"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6D2ABFAF" w14:textId="77777777" w:rsidTr="00D95057">
        <w:tc>
          <w:tcPr>
            <w:tcW w:w="5068" w:type="dxa"/>
            <w:tcBorders>
              <w:top w:val="single" w:sz="4" w:space="0" w:color="auto"/>
              <w:left w:val="single" w:sz="4" w:space="0" w:color="auto"/>
              <w:bottom w:val="single" w:sz="4" w:space="0" w:color="auto"/>
              <w:right w:val="single" w:sz="4" w:space="0" w:color="auto"/>
            </w:tcBorders>
          </w:tcPr>
          <w:p w14:paraId="7D9585AD"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El. pašto adresas</w:t>
            </w:r>
          </w:p>
        </w:tc>
        <w:tc>
          <w:tcPr>
            <w:tcW w:w="4425" w:type="dxa"/>
            <w:tcBorders>
              <w:top w:val="single" w:sz="4" w:space="0" w:color="auto"/>
              <w:left w:val="single" w:sz="4" w:space="0" w:color="auto"/>
              <w:bottom w:val="single" w:sz="4" w:space="0" w:color="auto"/>
              <w:right w:val="single" w:sz="4" w:space="0" w:color="auto"/>
            </w:tcBorders>
          </w:tcPr>
          <w:p w14:paraId="6C36307C" w14:textId="77777777" w:rsidR="00F707D3" w:rsidRPr="00464FB9" w:rsidRDefault="00F707D3" w:rsidP="00F707D3">
            <w:pPr>
              <w:spacing w:after="0" w:line="240" w:lineRule="auto"/>
              <w:jc w:val="both"/>
              <w:rPr>
                <w:rFonts w:ascii="Times New Roman" w:hAnsi="Times New Roman"/>
                <w:lang w:eastAsia="lt-LT"/>
              </w:rPr>
            </w:pPr>
          </w:p>
          <w:p w14:paraId="75EF01F3" w14:textId="77777777" w:rsidR="00F707D3" w:rsidRPr="00464FB9" w:rsidRDefault="00F707D3" w:rsidP="00F707D3">
            <w:pPr>
              <w:spacing w:after="0" w:line="240" w:lineRule="auto"/>
              <w:jc w:val="both"/>
              <w:rPr>
                <w:rFonts w:ascii="Times New Roman" w:hAnsi="Times New Roman"/>
                <w:lang w:eastAsia="lt-LT"/>
              </w:rPr>
            </w:pPr>
          </w:p>
        </w:tc>
      </w:tr>
      <w:tr w:rsidR="002D39B0" w:rsidRPr="00C57D7A" w14:paraId="6B9EE2D5" w14:textId="77777777" w:rsidTr="00D95057">
        <w:tc>
          <w:tcPr>
            <w:tcW w:w="5068" w:type="dxa"/>
            <w:tcBorders>
              <w:top w:val="single" w:sz="4" w:space="0" w:color="auto"/>
              <w:left w:val="single" w:sz="4" w:space="0" w:color="auto"/>
              <w:bottom w:val="single" w:sz="4" w:space="0" w:color="auto"/>
              <w:right w:val="single" w:sz="4" w:space="0" w:color="auto"/>
            </w:tcBorders>
          </w:tcPr>
          <w:p w14:paraId="1C0898E2" w14:textId="77777777" w:rsidR="002D39B0" w:rsidRPr="002D39B0" w:rsidRDefault="002D39B0" w:rsidP="007B5103">
            <w:pPr>
              <w:spacing w:after="0" w:line="240" w:lineRule="auto"/>
              <w:jc w:val="both"/>
              <w:rPr>
                <w:rFonts w:ascii="Times New Roman" w:hAnsi="Times New Roman"/>
                <w:b/>
                <w:lang w:eastAsia="lt-LT"/>
              </w:rPr>
            </w:pPr>
            <w:r w:rsidRPr="002D39B0">
              <w:rPr>
                <w:rFonts w:ascii="Times New Roman" w:hAnsi="Times New Roman"/>
                <w:b/>
                <w:lang w:eastAsia="lt-LT"/>
              </w:rPr>
              <w:t>Per Sutarties laikotarpį planuojama į Portfelį įtraukti Faktoringo sandorių limitų suma, Eur</w:t>
            </w:r>
          </w:p>
          <w:p w14:paraId="10DDD6C5" w14:textId="77777777" w:rsidR="002D39B0" w:rsidRDefault="002D39B0" w:rsidP="002D39B0">
            <w:pPr>
              <w:spacing w:after="0" w:line="240" w:lineRule="auto"/>
              <w:jc w:val="both"/>
              <w:rPr>
                <w:rFonts w:ascii="Times New Roman" w:hAnsi="Times New Roman"/>
                <w:lang w:eastAsia="lt-LT"/>
              </w:rPr>
            </w:pPr>
            <w:r w:rsidRPr="002D39B0">
              <w:rPr>
                <w:rFonts w:ascii="Times New Roman" w:hAnsi="Times New Roman"/>
                <w:lang w:eastAsia="lt-LT"/>
              </w:rPr>
              <w:t>Per Sutarties laikotarpį planuojama į Portfelį įtraukti F</w:t>
            </w:r>
            <w:r>
              <w:rPr>
                <w:rFonts w:ascii="Times New Roman" w:hAnsi="Times New Roman"/>
                <w:lang w:eastAsia="lt-LT"/>
              </w:rPr>
              <w:t>aktoringo sandorių limitų suma negali viršyti</w:t>
            </w:r>
            <w:r w:rsidRPr="002D39B0">
              <w:rPr>
                <w:rFonts w:ascii="Times New Roman" w:hAnsi="Times New Roman"/>
                <w:lang w:eastAsia="lt-LT"/>
              </w:rPr>
              <w:t xml:space="preserve"> </w:t>
            </w:r>
            <w:r>
              <w:rPr>
                <w:rFonts w:ascii="Times New Roman" w:hAnsi="Times New Roman"/>
                <w:lang w:eastAsia="lt-LT"/>
              </w:rPr>
              <w:t>finansų įstaigos</w:t>
            </w:r>
            <w:r w:rsidRPr="002D39B0">
              <w:rPr>
                <w:rFonts w:ascii="Times New Roman" w:hAnsi="Times New Roman"/>
                <w:lang w:eastAsia="lt-LT"/>
              </w:rPr>
              <w:t xml:space="preserve"> verslo subjektams išduotų faktoringo sandorių (su verslo subjektais pasirašytų ir galiojančių Faktoringo sutarčių) faktoringo limitų sum</w:t>
            </w:r>
            <w:r>
              <w:rPr>
                <w:rFonts w:ascii="Times New Roman" w:hAnsi="Times New Roman"/>
                <w:lang w:eastAsia="lt-LT"/>
              </w:rPr>
              <w:t>os</w:t>
            </w:r>
            <w:r w:rsidRPr="002D39B0">
              <w:rPr>
                <w:rFonts w:ascii="Times New Roman" w:hAnsi="Times New Roman"/>
                <w:lang w:eastAsia="lt-LT"/>
              </w:rPr>
              <w:t xml:space="preserve"> portfelyje </w:t>
            </w:r>
            <w:r>
              <w:rPr>
                <w:rFonts w:ascii="Times New Roman" w:hAnsi="Times New Roman"/>
                <w:lang w:eastAsia="lt-LT"/>
              </w:rPr>
              <w:t>(</w:t>
            </w:r>
            <w:r w:rsidRPr="002D39B0">
              <w:rPr>
                <w:rFonts w:ascii="Times New Roman" w:hAnsi="Times New Roman"/>
                <w:lang w:eastAsia="lt-LT"/>
              </w:rPr>
              <w:t>paskelbimo apie kvietimą dieną</w:t>
            </w:r>
            <w:r>
              <w:rPr>
                <w:rFonts w:ascii="Times New Roman" w:hAnsi="Times New Roman"/>
                <w:lang w:eastAsia="lt-LT"/>
              </w:rPr>
              <w:t>) padaugintos du kartus</w:t>
            </w:r>
          </w:p>
        </w:tc>
        <w:tc>
          <w:tcPr>
            <w:tcW w:w="4425" w:type="dxa"/>
            <w:tcBorders>
              <w:top w:val="single" w:sz="4" w:space="0" w:color="auto"/>
              <w:left w:val="single" w:sz="4" w:space="0" w:color="auto"/>
              <w:bottom w:val="single" w:sz="4" w:space="0" w:color="auto"/>
              <w:right w:val="single" w:sz="4" w:space="0" w:color="auto"/>
            </w:tcBorders>
          </w:tcPr>
          <w:p w14:paraId="2984EDAE" w14:textId="77777777" w:rsidR="002D39B0" w:rsidRPr="00464FB9" w:rsidRDefault="002D39B0" w:rsidP="007B5103">
            <w:pPr>
              <w:spacing w:after="0" w:line="240" w:lineRule="auto"/>
              <w:jc w:val="both"/>
              <w:rPr>
                <w:rFonts w:ascii="Times New Roman" w:hAnsi="Times New Roman"/>
                <w:lang w:eastAsia="lt-LT"/>
              </w:rPr>
            </w:pPr>
          </w:p>
        </w:tc>
      </w:tr>
      <w:tr w:rsidR="00C57D7A" w:rsidRPr="00C57D7A" w14:paraId="4D6C12E2" w14:textId="77777777" w:rsidTr="00D95057">
        <w:tc>
          <w:tcPr>
            <w:tcW w:w="5068" w:type="dxa"/>
            <w:tcBorders>
              <w:top w:val="single" w:sz="4" w:space="0" w:color="auto"/>
              <w:left w:val="single" w:sz="4" w:space="0" w:color="auto"/>
              <w:bottom w:val="single" w:sz="4" w:space="0" w:color="auto"/>
              <w:right w:val="single" w:sz="4" w:space="0" w:color="auto"/>
            </w:tcBorders>
          </w:tcPr>
          <w:p w14:paraId="4970EF2D" w14:textId="77777777" w:rsidR="003B63B6" w:rsidRPr="002D39B0" w:rsidRDefault="00C57D7A" w:rsidP="00C57D7A">
            <w:pPr>
              <w:spacing w:after="0" w:line="240" w:lineRule="auto"/>
              <w:jc w:val="both"/>
              <w:rPr>
                <w:rFonts w:ascii="Times New Roman" w:hAnsi="Times New Roman"/>
                <w:b/>
                <w:lang w:eastAsia="lt-LT"/>
              </w:rPr>
            </w:pPr>
            <w:r w:rsidRPr="002D39B0">
              <w:rPr>
                <w:rFonts w:ascii="Times New Roman" w:hAnsi="Times New Roman"/>
                <w:b/>
                <w:lang w:eastAsia="lt-LT"/>
              </w:rPr>
              <w:t>Prašoma skirti PGF2 priemonės lėšų suma, Eur</w:t>
            </w:r>
            <w:r w:rsidR="002D39B0">
              <w:rPr>
                <w:rFonts w:ascii="Times New Roman" w:hAnsi="Times New Roman"/>
                <w:b/>
                <w:lang w:eastAsia="lt-LT"/>
              </w:rPr>
              <w:t>*</w:t>
            </w:r>
          </w:p>
          <w:p w14:paraId="0C947D79" w14:textId="77777777" w:rsidR="00C57D7A" w:rsidRPr="00464FB9" w:rsidRDefault="00C57D7A" w:rsidP="00C57D7A">
            <w:pPr>
              <w:spacing w:after="0" w:line="240" w:lineRule="auto"/>
              <w:jc w:val="both"/>
              <w:rPr>
                <w:rFonts w:ascii="Times New Roman" w:hAnsi="Times New Roman"/>
                <w:lang w:eastAsia="lt-LT"/>
              </w:rPr>
            </w:pPr>
          </w:p>
        </w:tc>
        <w:tc>
          <w:tcPr>
            <w:tcW w:w="4425" w:type="dxa"/>
            <w:tcBorders>
              <w:top w:val="single" w:sz="4" w:space="0" w:color="auto"/>
              <w:left w:val="single" w:sz="4" w:space="0" w:color="auto"/>
              <w:bottom w:val="single" w:sz="4" w:space="0" w:color="auto"/>
              <w:right w:val="single" w:sz="4" w:space="0" w:color="auto"/>
            </w:tcBorders>
          </w:tcPr>
          <w:p w14:paraId="379E428E" w14:textId="77777777" w:rsidR="00C57D7A" w:rsidRPr="00464FB9" w:rsidRDefault="00C57D7A" w:rsidP="00F707D3">
            <w:pPr>
              <w:spacing w:after="0" w:line="240" w:lineRule="auto"/>
              <w:jc w:val="both"/>
              <w:rPr>
                <w:rFonts w:ascii="Times New Roman" w:hAnsi="Times New Roman"/>
                <w:lang w:eastAsia="lt-LT"/>
              </w:rPr>
            </w:pPr>
          </w:p>
        </w:tc>
      </w:tr>
    </w:tbl>
    <w:p w14:paraId="461D4503" w14:textId="77777777" w:rsidR="00F707D3" w:rsidRPr="002D39B0" w:rsidRDefault="002D39B0" w:rsidP="00D95057">
      <w:pPr>
        <w:spacing w:after="0" w:line="240" w:lineRule="auto"/>
        <w:ind w:right="-709"/>
        <w:jc w:val="both"/>
        <w:rPr>
          <w:rFonts w:ascii="Times New Roman" w:hAnsi="Times New Roman"/>
          <w:bCs/>
          <w:sz w:val="20"/>
          <w:szCs w:val="20"/>
        </w:rPr>
      </w:pPr>
      <w:r w:rsidRPr="002D39B0">
        <w:rPr>
          <w:rFonts w:ascii="Times New Roman" w:hAnsi="Times New Roman"/>
          <w:sz w:val="20"/>
          <w:szCs w:val="20"/>
          <w:lang w:eastAsia="lt-LT"/>
        </w:rPr>
        <w:t>*</w:t>
      </w:r>
      <w:r w:rsidRPr="002D39B0">
        <w:rPr>
          <w:rFonts w:ascii="Times New Roman" w:hAnsi="Times New Roman"/>
          <w:bCs/>
          <w:sz w:val="20"/>
          <w:szCs w:val="20"/>
        </w:rPr>
        <w:t xml:space="preserve"> Prašoma skirti PGF2 priemonės lėšų suma, Eur apskaičiuojama taip: Per Sutarties laikotarpį planuojama į Portfelį įtraukti Faktoringo sandorių limitų suma * garantijos dydis (80 proc.) * viršutinės ribos normos dydis (20 proc.)</w:t>
      </w:r>
    </w:p>
    <w:p w14:paraId="6BED66EB" w14:textId="77777777" w:rsidR="002D39B0" w:rsidRPr="00464FB9" w:rsidRDefault="002D39B0" w:rsidP="00C57D7A">
      <w:pPr>
        <w:spacing w:after="0" w:line="240" w:lineRule="auto"/>
        <w:jc w:val="both"/>
        <w:rPr>
          <w:rFonts w:ascii="Times New Roman" w:hAnsi="Times New Roman"/>
          <w:lang w:eastAsia="lt-LT"/>
        </w:rPr>
      </w:pPr>
    </w:p>
    <w:p w14:paraId="0D92359E" w14:textId="77777777" w:rsidR="00F707D3" w:rsidRPr="00464FB9" w:rsidRDefault="00F707D3" w:rsidP="006E1A5C">
      <w:pPr>
        <w:spacing w:after="0" w:line="240" w:lineRule="auto"/>
        <w:ind w:right="-755" w:firstLine="720"/>
        <w:jc w:val="both"/>
        <w:rPr>
          <w:rFonts w:ascii="Times New Roman" w:hAnsi="Times New Roman"/>
          <w:sz w:val="20"/>
          <w:szCs w:val="20"/>
          <w:lang w:eastAsia="lt-LT"/>
        </w:rPr>
      </w:pPr>
      <w:r w:rsidRPr="00464FB9">
        <w:rPr>
          <w:rFonts w:ascii="Times New Roman" w:hAnsi="Times New Roman"/>
          <w:sz w:val="20"/>
          <w:szCs w:val="20"/>
          <w:lang w:eastAsia="lt-LT"/>
        </w:rPr>
        <w:t xml:space="preserve">Šiuo prašymu pažymime, kad sutinkame su visomis </w:t>
      </w:r>
      <w:r w:rsidR="00561556" w:rsidRPr="00464FB9">
        <w:rPr>
          <w:rFonts w:ascii="Times New Roman" w:hAnsi="Times New Roman"/>
          <w:sz w:val="20"/>
          <w:szCs w:val="20"/>
          <w:lang w:eastAsia="lt-LT"/>
        </w:rPr>
        <w:t xml:space="preserve">INVEGOS fondo </w:t>
      </w:r>
      <w:r w:rsidR="000433CD" w:rsidRPr="00464FB9">
        <w:rPr>
          <w:rFonts w:ascii="Times New Roman" w:hAnsi="Times New Roman"/>
          <w:sz w:val="20"/>
          <w:szCs w:val="20"/>
          <w:lang w:eastAsia="lt-LT"/>
        </w:rPr>
        <w:t xml:space="preserve">finansų </w:t>
      </w:r>
      <w:r w:rsidR="00FB21AD" w:rsidRPr="00464FB9">
        <w:rPr>
          <w:rFonts w:ascii="Times New Roman" w:hAnsi="Times New Roman"/>
          <w:sz w:val="20"/>
          <w:szCs w:val="20"/>
          <w:lang w:eastAsia="lt-LT"/>
        </w:rPr>
        <w:t xml:space="preserve">inžinerijos priemonės </w:t>
      </w:r>
      <w:r w:rsidR="00446EF6" w:rsidRPr="00464FB9">
        <w:rPr>
          <w:rFonts w:ascii="Times New Roman" w:hAnsi="Times New Roman"/>
          <w:sz w:val="20"/>
          <w:szCs w:val="20"/>
          <w:lang w:eastAsia="lt-LT"/>
        </w:rPr>
        <w:t>„</w:t>
      </w:r>
      <w:r w:rsidR="00FB21AD" w:rsidRPr="00464FB9">
        <w:rPr>
          <w:rFonts w:ascii="Times New Roman" w:hAnsi="Times New Roman"/>
          <w:sz w:val="20"/>
          <w:szCs w:val="20"/>
          <w:lang w:eastAsia="lt-LT"/>
        </w:rPr>
        <w:t xml:space="preserve">Portfelinės </w:t>
      </w:r>
      <w:r w:rsidR="000433CD" w:rsidRPr="00464FB9">
        <w:rPr>
          <w:rFonts w:ascii="Times New Roman" w:hAnsi="Times New Roman"/>
          <w:sz w:val="20"/>
          <w:szCs w:val="20"/>
          <w:lang w:eastAsia="lt-LT"/>
        </w:rPr>
        <w:t>garantijos</w:t>
      </w:r>
      <w:r w:rsidR="00FB21AD" w:rsidRPr="00464FB9">
        <w:rPr>
          <w:rFonts w:ascii="Times New Roman" w:hAnsi="Times New Roman"/>
          <w:sz w:val="20"/>
          <w:szCs w:val="20"/>
          <w:lang w:eastAsia="lt-LT"/>
        </w:rPr>
        <w:t xml:space="preserve"> faktoringui</w:t>
      </w:r>
      <w:r w:rsidR="000433CD" w:rsidRPr="00464FB9">
        <w:rPr>
          <w:rFonts w:ascii="Times New Roman" w:hAnsi="Times New Roman"/>
          <w:sz w:val="20"/>
          <w:szCs w:val="20"/>
          <w:lang w:eastAsia="lt-LT"/>
        </w:rPr>
        <w:t xml:space="preserve"> 2“ </w:t>
      </w:r>
      <w:r w:rsidR="00E8786D" w:rsidRPr="00464FB9">
        <w:rPr>
          <w:rFonts w:ascii="Times New Roman" w:hAnsi="Times New Roman"/>
          <w:sz w:val="20"/>
          <w:szCs w:val="20"/>
          <w:lang w:eastAsia="lt-LT"/>
        </w:rPr>
        <w:t xml:space="preserve">(toliau – PGF2) </w:t>
      </w:r>
      <w:r w:rsidR="000433CD" w:rsidRPr="00464FB9">
        <w:rPr>
          <w:rFonts w:ascii="Times New Roman" w:hAnsi="Times New Roman"/>
          <w:sz w:val="20"/>
          <w:szCs w:val="20"/>
          <w:lang w:eastAsia="lt-LT"/>
        </w:rPr>
        <w:t>įgyvendinimo sąlygų aprašo</w:t>
      </w:r>
      <w:r w:rsidRPr="00464FB9">
        <w:rPr>
          <w:rFonts w:ascii="Times New Roman" w:hAnsi="Times New Roman"/>
          <w:sz w:val="20"/>
          <w:szCs w:val="20"/>
          <w:lang w:eastAsia="lt-LT"/>
        </w:rPr>
        <w:t xml:space="preserve"> sąlygomis, </w:t>
      </w:r>
    </w:p>
    <w:p w14:paraId="3D1FA5C5" w14:textId="77777777" w:rsidR="00F707D3" w:rsidRPr="00464FB9" w:rsidRDefault="00F707D3" w:rsidP="006E1A5C">
      <w:pPr>
        <w:spacing w:after="0" w:line="240" w:lineRule="auto"/>
        <w:ind w:right="-755" w:firstLine="720"/>
        <w:jc w:val="both"/>
        <w:rPr>
          <w:rFonts w:ascii="Times New Roman" w:hAnsi="Times New Roman"/>
          <w:sz w:val="20"/>
          <w:szCs w:val="20"/>
          <w:lang w:eastAsia="lt-LT"/>
        </w:rPr>
      </w:pPr>
      <w:r w:rsidRPr="00464FB9">
        <w:rPr>
          <w:rFonts w:ascii="Times New Roman" w:hAnsi="Times New Roman"/>
          <w:sz w:val="20"/>
          <w:szCs w:val="20"/>
          <w:lang w:eastAsia="lt-LT"/>
        </w:rPr>
        <w:t xml:space="preserve">Teikiame </w:t>
      </w:r>
      <w:r w:rsidR="000433CD" w:rsidRPr="00464FB9">
        <w:rPr>
          <w:rFonts w:ascii="Times New Roman" w:hAnsi="Times New Roman"/>
          <w:sz w:val="20"/>
          <w:szCs w:val="20"/>
          <w:lang w:eastAsia="lt-LT"/>
        </w:rPr>
        <w:t xml:space="preserve">šį </w:t>
      </w:r>
      <w:r w:rsidRPr="00464FB9">
        <w:rPr>
          <w:rFonts w:ascii="Times New Roman" w:hAnsi="Times New Roman"/>
          <w:sz w:val="20"/>
          <w:szCs w:val="20"/>
          <w:lang w:eastAsia="lt-LT"/>
        </w:rPr>
        <w:t xml:space="preserve">prašymą ir dokumentus, patvirtinančius gebėjimą įgyvendinti </w:t>
      </w:r>
      <w:r w:rsidR="00E8786D" w:rsidRPr="00464FB9">
        <w:rPr>
          <w:rFonts w:ascii="Times New Roman" w:hAnsi="Times New Roman"/>
          <w:sz w:val="20"/>
          <w:szCs w:val="20"/>
          <w:lang w:eastAsia="lt-LT"/>
        </w:rPr>
        <w:t xml:space="preserve">PGF2 ir </w:t>
      </w:r>
      <w:r w:rsidR="00C9544C" w:rsidRPr="00464FB9">
        <w:rPr>
          <w:rFonts w:ascii="Times New Roman" w:hAnsi="Times New Roman"/>
          <w:sz w:val="20"/>
          <w:szCs w:val="20"/>
          <w:lang w:eastAsia="lt-LT"/>
        </w:rPr>
        <w:t>atitikimą</w:t>
      </w:r>
      <w:r w:rsidRPr="00464FB9">
        <w:rPr>
          <w:rFonts w:ascii="Times New Roman" w:hAnsi="Times New Roman"/>
          <w:sz w:val="20"/>
          <w:szCs w:val="20"/>
          <w:lang w:eastAsia="lt-LT"/>
        </w:rPr>
        <w:t xml:space="preserve"> keliamiems </w:t>
      </w:r>
      <w:r w:rsidR="004A3DE3">
        <w:rPr>
          <w:rFonts w:ascii="Times New Roman" w:hAnsi="Times New Roman"/>
          <w:sz w:val="20"/>
          <w:szCs w:val="20"/>
          <w:lang w:eastAsia="lt-LT"/>
        </w:rPr>
        <w:t xml:space="preserve">tinkamumo </w:t>
      </w:r>
      <w:r w:rsidRPr="00464FB9">
        <w:rPr>
          <w:rFonts w:ascii="Times New Roman" w:hAnsi="Times New Roman"/>
          <w:sz w:val="20"/>
          <w:szCs w:val="20"/>
          <w:lang w:eastAsia="lt-LT"/>
        </w:rPr>
        <w:t xml:space="preserve">reikalavimams </w:t>
      </w:r>
      <w:r w:rsidR="00C9544C" w:rsidRPr="00464FB9">
        <w:rPr>
          <w:rFonts w:ascii="Times New Roman" w:hAnsi="Times New Roman"/>
          <w:sz w:val="20"/>
          <w:szCs w:val="20"/>
          <w:lang w:eastAsia="lt-LT"/>
        </w:rPr>
        <w:t xml:space="preserve">bei </w:t>
      </w:r>
      <w:r w:rsidRPr="00464FB9">
        <w:rPr>
          <w:rFonts w:ascii="Times New Roman" w:hAnsi="Times New Roman"/>
          <w:sz w:val="20"/>
          <w:szCs w:val="20"/>
          <w:lang w:eastAsia="lt-LT"/>
        </w:rPr>
        <w:t xml:space="preserve">patvirtiname, kad: </w:t>
      </w:r>
    </w:p>
    <w:p w14:paraId="02275953" w14:textId="77777777" w:rsidR="00F707D3" w:rsidRPr="00464FB9" w:rsidRDefault="00F707D3" w:rsidP="006E1A5C">
      <w:pPr>
        <w:spacing w:after="0" w:line="240" w:lineRule="auto"/>
        <w:ind w:right="-755" w:firstLine="709"/>
        <w:jc w:val="both"/>
        <w:rPr>
          <w:rFonts w:ascii="Times New Roman" w:hAnsi="Times New Roman"/>
          <w:sz w:val="20"/>
          <w:szCs w:val="20"/>
          <w:lang w:eastAsia="lt-LT"/>
        </w:rPr>
      </w:pPr>
      <w:r w:rsidRPr="00464FB9">
        <w:rPr>
          <w:rFonts w:ascii="Times New Roman" w:hAnsi="Times New Roman"/>
          <w:sz w:val="20"/>
          <w:szCs w:val="20"/>
          <w:lang w:eastAsia="lt-LT"/>
        </w:rPr>
        <w:t xml:space="preserve">1) </w:t>
      </w:r>
      <w:bookmarkStart w:id="9" w:name="_Hlk35803962"/>
      <w:r w:rsidR="00BF1B1A" w:rsidRPr="00464FB9">
        <w:rPr>
          <w:rFonts w:ascii="Times New Roman" w:hAnsi="Times New Roman"/>
          <w:sz w:val="20"/>
          <w:szCs w:val="20"/>
          <w:lang w:eastAsia="lt-LT"/>
        </w:rPr>
        <w:t>paraišką teikianti</w:t>
      </w:r>
      <w:r w:rsidR="00B75D87" w:rsidRPr="00464FB9">
        <w:rPr>
          <w:rFonts w:ascii="Times New Roman" w:hAnsi="Times New Roman"/>
          <w:sz w:val="20"/>
          <w:szCs w:val="20"/>
          <w:lang w:eastAsia="lt-LT"/>
        </w:rPr>
        <w:t xml:space="preserve"> finansų įstaiga </w:t>
      </w:r>
      <w:bookmarkEnd w:id="9"/>
      <w:r w:rsidR="008D110E" w:rsidRPr="00464FB9">
        <w:rPr>
          <w:rFonts w:ascii="Times New Roman" w:hAnsi="Times New Roman"/>
          <w:sz w:val="20"/>
          <w:szCs w:val="20"/>
          <w:lang w:eastAsia="lt-LT"/>
        </w:rPr>
        <w:t xml:space="preserve">ir </w:t>
      </w:r>
      <w:r w:rsidRPr="00464FB9">
        <w:rPr>
          <w:rFonts w:ascii="Times New Roman" w:hAnsi="Times New Roman"/>
          <w:sz w:val="20"/>
          <w:szCs w:val="20"/>
          <w:lang w:eastAsia="lt-LT"/>
        </w:rPr>
        <w:t>jo</w:t>
      </w:r>
      <w:r w:rsidR="008D110E" w:rsidRPr="00464FB9">
        <w:rPr>
          <w:rFonts w:ascii="Times New Roman" w:hAnsi="Times New Roman"/>
          <w:sz w:val="20"/>
          <w:szCs w:val="20"/>
          <w:lang w:eastAsia="lt-LT"/>
        </w:rPr>
        <w:t>s</w:t>
      </w:r>
      <w:r w:rsidRPr="00464FB9">
        <w:rPr>
          <w:rFonts w:ascii="Times New Roman" w:hAnsi="Times New Roman"/>
          <w:sz w:val="20"/>
          <w:szCs w:val="20"/>
          <w:lang w:eastAsia="lt-LT"/>
        </w:rPr>
        <w:t xml:space="preserve"> atstovai žino, kad </w:t>
      </w:r>
      <w:r w:rsidR="00446EF6" w:rsidRPr="00464FB9">
        <w:rPr>
          <w:rFonts w:ascii="Times New Roman" w:hAnsi="Times New Roman"/>
          <w:sz w:val="20"/>
          <w:szCs w:val="20"/>
          <w:lang w:eastAsia="lt-LT"/>
        </w:rPr>
        <w:t xml:space="preserve">PGF2 </w:t>
      </w:r>
      <w:r w:rsidR="008D110E" w:rsidRPr="00464FB9">
        <w:rPr>
          <w:rFonts w:ascii="Times New Roman" w:hAnsi="Times New Roman"/>
          <w:sz w:val="20"/>
          <w:szCs w:val="20"/>
          <w:lang w:eastAsia="lt-LT"/>
        </w:rPr>
        <w:t xml:space="preserve">priemonė </w:t>
      </w:r>
      <w:r w:rsidRPr="00464FB9">
        <w:rPr>
          <w:rFonts w:ascii="Times New Roman" w:hAnsi="Times New Roman"/>
          <w:sz w:val="20"/>
          <w:szCs w:val="20"/>
          <w:lang w:eastAsia="lt-LT"/>
        </w:rPr>
        <w:t>yra finansuojama iš į INVEGOS fondą grįžusių ir (ar) grįšiančių lėšų;</w:t>
      </w:r>
    </w:p>
    <w:p w14:paraId="3A9A8810" w14:textId="77777777" w:rsidR="00F707D3" w:rsidRPr="00464FB9" w:rsidRDefault="00F707D3" w:rsidP="007A2A64">
      <w:pPr>
        <w:spacing w:after="0" w:line="240" w:lineRule="auto"/>
        <w:ind w:right="-709" w:firstLine="709"/>
        <w:jc w:val="both"/>
        <w:rPr>
          <w:rFonts w:ascii="Times New Roman" w:hAnsi="Times New Roman"/>
          <w:sz w:val="20"/>
          <w:szCs w:val="20"/>
          <w:lang w:eastAsia="lt-LT"/>
        </w:rPr>
      </w:pPr>
      <w:r w:rsidRPr="00464FB9">
        <w:rPr>
          <w:rFonts w:ascii="Times New Roman" w:hAnsi="Times New Roman"/>
          <w:sz w:val="20"/>
          <w:szCs w:val="20"/>
          <w:lang w:eastAsia="lt-LT"/>
        </w:rPr>
        <w:t xml:space="preserve">2) </w:t>
      </w:r>
      <w:r w:rsidR="008D110E" w:rsidRPr="00464FB9">
        <w:rPr>
          <w:rFonts w:ascii="Times New Roman" w:hAnsi="Times New Roman"/>
          <w:sz w:val="20"/>
          <w:szCs w:val="20"/>
          <w:lang w:eastAsia="lt-LT"/>
        </w:rPr>
        <w:t xml:space="preserve">paraišką teikianti finansų įstaiga </w:t>
      </w:r>
      <w:r w:rsidRPr="00464FB9">
        <w:rPr>
          <w:rFonts w:ascii="Times New Roman" w:hAnsi="Times New Roman"/>
          <w:sz w:val="20"/>
          <w:szCs w:val="20"/>
          <w:lang w:eastAsia="lt-LT"/>
        </w:rPr>
        <w:t>ir jo</w:t>
      </w:r>
      <w:r w:rsidR="008D110E" w:rsidRPr="00464FB9">
        <w:rPr>
          <w:rFonts w:ascii="Times New Roman" w:hAnsi="Times New Roman"/>
          <w:sz w:val="20"/>
          <w:szCs w:val="20"/>
          <w:lang w:eastAsia="lt-LT"/>
        </w:rPr>
        <w:t>s</w:t>
      </w:r>
      <w:r w:rsidRPr="00464FB9">
        <w:rPr>
          <w:rFonts w:ascii="Times New Roman" w:hAnsi="Times New Roman"/>
          <w:sz w:val="20"/>
          <w:szCs w:val="20"/>
          <w:lang w:eastAsia="lt-LT"/>
        </w:rPr>
        <w:t xml:space="preserve"> atstovai </w:t>
      </w:r>
      <w:r w:rsidR="00044F3D" w:rsidRPr="00464FB9">
        <w:rPr>
          <w:rFonts w:ascii="Times New Roman" w:hAnsi="Times New Roman"/>
          <w:sz w:val="20"/>
          <w:szCs w:val="20"/>
          <w:lang w:eastAsia="lt-LT"/>
        </w:rPr>
        <w:t xml:space="preserve">patvirtina, kad faktoringo sandorio mokesčiai, palūkanos ir kiti mokėjimai, mokami faktoringo sandorių gavėjų, </w:t>
      </w:r>
      <w:r w:rsidR="00AC7881" w:rsidRPr="00464FB9">
        <w:rPr>
          <w:rFonts w:ascii="Times New Roman" w:hAnsi="Times New Roman"/>
          <w:sz w:val="20"/>
          <w:szCs w:val="20"/>
          <w:lang w:eastAsia="lt-LT"/>
        </w:rPr>
        <w:t>dalyvaujančių PGF2</w:t>
      </w:r>
      <w:r w:rsidR="00446EF6" w:rsidRPr="00464FB9">
        <w:rPr>
          <w:rFonts w:ascii="Times New Roman" w:hAnsi="Times New Roman"/>
          <w:sz w:val="20"/>
          <w:szCs w:val="20"/>
          <w:lang w:eastAsia="lt-LT"/>
        </w:rPr>
        <w:t xml:space="preserve"> </w:t>
      </w:r>
      <w:r w:rsidR="00AC7881" w:rsidRPr="00464FB9">
        <w:rPr>
          <w:rFonts w:ascii="Times New Roman" w:hAnsi="Times New Roman"/>
          <w:sz w:val="20"/>
          <w:szCs w:val="20"/>
          <w:lang w:eastAsia="lt-LT"/>
        </w:rPr>
        <w:t xml:space="preserve">priemonėje </w:t>
      </w:r>
      <w:r w:rsidR="00044F3D" w:rsidRPr="00464FB9">
        <w:rPr>
          <w:rFonts w:ascii="Times New Roman" w:hAnsi="Times New Roman"/>
          <w:sz w:val="20"/>
          <w:szCs w:val="20"/>
          <w:lang w:eastAsia="lt-LT"/>
        </w:rPr>
        <w:t>atitiks įprastą finansų įstaigos veiklą</w:t>
      </w:r>
      <w:r w:rsidR="00446EF6" w:rsidRPr="00464FB9">
        <w:rPr>
          <w:rFonts w:ascii="Times New Roman" w:hAnsi="Times New Roman"/>
          <w:sz w:val="20"/>
          <w:szCs w:val="20"/>
          <w:lang w:eastAsia="lt-LT"/>
        </w:rPr>
        <w:t xml:space="preserve"> ir praktiką</w:t>
      </w:r>
      <w:r w:rsidR="00044F3D" w:rsidRPr="00464FB9">
        <w:rPr>
          <w:rFonts w:ascii="Times New Roman" w:hAnsi="Times New Roman"/>
          <w:sz w:val="20"/>
          <w:szCs w:val="20"/>
          <w:lang w:eastAsia="lt-LT"/>
        </w:rPr>
        <w:t xml:space="preserve"> </w:t>
      </w:r>
      <w:r w:rsidR="00446EF6" w:rsidRPr="00464FB9">
        <w:rPr>
          <w:rFonts w:ascii="Times New Roman" w:hAnsi="Times New Roman"/>
          <w:sz w:val="20"/>
          <w:szCs w:val="20"/>
          <w:lang w:eastAsia="lt-LT"/>
        </w:rPr>
        <w:t>bei</w:t>
      </w:r>
      <w:r w:rsidR="00AC7881" w:rsidRPr="00464FB9">
        <w:rPr>
          <w:rFonts w:ascii="Times New Roman" w:hAnsi="Times New Roman"/>
          <w:sz w:val="20"/>
          <w:szCs w:val="20"/>
          <w:lang w:eastAsia="lt-LT"/>
        </w:rPr>
        <w:t>,</w:t>
      </w:r>
      <w:r w:rsidR="00044F3D" w:rsidRPr="00464FB9">
        <w:rPr>
          <w:rFonts w:ascii="Times New Roman" w:hAnsi="Times New Roman"/>
          <w:sz w:val="20"/>
          <w:szCs w:val="20"/>
          <w:lang w:eastAsia="lt-LT"/>
        </w:rPr>
        <w:t xml:space="preserve"> esant poreikiui ir „Invegos“ prašymui</w:t>
      </w:r>
      <w:r w:rsidR="00AC7881" w:rsidRPr="00464FB9">
        <w:rPr>
          <w:rFonts w:ascii="Times New Roman" w:hAnsi="Times New Roman"/>
          <w:sz w:val="20"/>
          <w:szCs w:val="20"/>
          <w:lang w:eastAsia="lt-LT"/>
        </w:rPr>
        <w:t>,</w:t>
      </w:r>
      <w:r w:rsidR="00044F3D" w:rsidRPr="00464FB9">
        <w:rPr>
          <w:rFonts w:ascii="Times New Roman" w:hAnsi="Times New Roman"/>
          <w:sz w:val="20"/>
          <w:szCs w:val="20"/>
          <w:lang w:eastAsia="lt-LT"/>
        </w:rPr>
        <w:t xml:space="preserve"> pateiks tai patvirtinančius įrodymus;</w:t>
      </w:r>
    </w:p>
    <w:p w14:paraId="5562AF85" w14:textId="77777777" w:rsidR="00F707D3" w:rsidRPr="00464FB9" w:rsidRDefault="00A82C7D" w:rsidP="007A2A64">
      <w:pPr>
        <w:spacing w:after="0" w:line="240" w:lineRule="auto"/>
        <w:ind w:right="-709" w:firstLine="709"/>
        <w:jc w:val="both"/>
        <w:rPr>
          <w:rFonts w:ascii="Times New Roman" w:hAnsi="Times New Roman"/>
          <w:sz w:val="20"/>
          <w:szCs w:val="20"/>
          <w:lang w:eastAsia="lt-LT"/>
        </w:rPr>
      </w:pPr>
      <w:r w:rsidRPr="00FE7CF5">
        <w:rPr>
          <w:rFonts w:ascii="Times New Roman" w:hAnsi="Times New Roman"/>
          <w:sz w:val="20"/>
          <w:szCs w:val="20"/>
          <w:lang w:eastAsia="lt-LT"/>
        </w:rPr>
        <w:t>3</w:t>
      </w:r>
      <w:r w:rsidR="00F707D3" w:rsidRPr="00464FB9">
        <w:rPr>
          <w:rFonts w:ascii="Times New Roman" w:hAnsi="Times New Roman"/>
          <w:sz w:val="20"/>
          <w:szCs w:val="20"/>
          <w:lang w:eastAsia="lt-LT"/>
        </w:rPr>
        <w:t xml:space="preserve">) </w:t>
      </w:r>
      <w:r w:rsidR="007A2D9D" w:rsidRPr="00464FB9">
        <w:rPr>
          <w:rFonts w:ascii="Times New Roman" w:hAnsi="Times New Roman"/>
          <w:sz w:val="20"/>
          <w:szCs w:val="20"/>
          <w:lang w:eastAsia="lt-LT"/>
        </w:rPr>
        <w:t xml:space="preserve">finansų </w:t>
      </w:r>
      <w:r w:rsidR="007503A2" w:rsidRPr="00464FB9">
        <w:rPr>
          <w:rFonts w:ascii="Times New Roman" w:hAnsi="Times New Roman"/>
          <w:sz w:val="20"/>
          <w:szCs w:val="20"/>
          <w:lang w:eastAsia="lt-LT"/>
        </w:rPr>
        <w:t xml:space="preserve">įstaigai </w:t>
      </w:r>
      <w:r w:rsidR="00F707D3" w:rsidRPr="00464FB9">
        <w:rPr>
          <w:rFonts w:ascii="Times New Roman" w:hAnsi="Times New Roman"/>
          <w:sz w:val="20"/>
          <w:szCs w:val="20"/>
          <w:lang w:eastAsia="lt-LT"/>
        </w:rPr>
        <w:t xml:space="preserve">nėra iškelta </w:t>
      </w:r>
      <w:r w:rsidR="00E9388E">
        <w:rPr>
          <w:rFonts w:ascii="Times New Roman" w:hAnsi="Times New Roman"/>
          <w:sz w:val="20"/>
          <w:szCs w:val="20"/>
          <w:lang w:eastAsia="lt-LT"/>
        </w:rPr>
        <w:t>nemokumo ar</w:t>
      </w:r>
      <w:r w:rsidR="00F707D3" w:rsidRPr="00464FB9">
        <w:rPr>
          <w:rFonts w:ascii="Times New Roman" w:hAnsi="Times New Roman"/>
          <w:sz w:val="20"/>
          <w:szCs w:val="20"/>
          <w:lang w:eastAsia="lt-LT"/>
        </w:rPr>
        <w:t xml:space="preserve"> restruktūrizavimo</w:t>
      </w:r>
      <w:r w:rsidR="007503A2" w:rsidRPr="00464FB9">
        <w:rPr>
          <w:rFonts w:ascii="Times New Roman" w:hAnsi="Times New Roman"/>
          <w:sz w:val="20"/>
          <w:szCs w:val="20"/>
          <w:lang w:eastAsia="lt-LT"/>
        </w:rPr>
        <w:t xml:space="preserve"> byla</w:t>
      </w:r>
      <w:r w:rsidR="00F707D3" w:rsidRPr="00464FB9">
        <w:rPr>
          <w:rFonts w:ascii="Times New Roman" w:hAnsi="Times New Roman"/>
          <w:sz w:val="20"/>
          <w:szCs w:val="20"/>
          <w:lang w:eastAsia="lt-LT"/>
        </w:rPr>
        <w:t>, nėra pradėtas ikiteisminis tyrimas dėl ūkinės komercinės veiklos arba jis (jie) nėra likviduojamas (-i), nėra priimtas kreditorių susirinkimo nutarimas bankroto procedūras vykdyti ne teismo tvarka;</w:t>
      </w:r>
    </w:p>
    <w:p w14:paraId="45F46CC3" w14:textId="77777777" w:rsidR="00F707D3" w:rsidRPr="00A82C7D" w:rsidRDefault="00A82C7D" w:rsidP="00FE7CF5">
      <w:pPr>
        <w:spacing w:after="0" w:line="240" w:lineRule="auto"/>
        <w:ind w:right="-755" w:firstLine="709"/>
        <w:jc w:val="both"/>
        <w:rPr>
          <w:rFonts w:ascii="Times New Roman" w:hAnsi="Times New Roman"/>
          <w:sz w:val="20"/>
          <w:szCs w:val="20"/>
          <w:lang w:eastAsia="lt-LT"/>
        </w:rPr>
      </w:pPr>
      <w:r>
        <w:rPr>
          <w:rFonts w:ascii="Times New Roman" w:hAnsi="Times New Roman"/>
          <w:sz w:val="20"/>
          <w:szCs w:val="20"/>
          <w:lang w:eastAsia="lt-LT"/>
        </w:rPr>
        <w:lastRenderedPageBreak/>
        <w:t>4</w:t>
      </w:r>
      <w:r w:rsidR="00F707D3" w:rsidRPr="00A82C7D">
        <w:rPr>
          <w:rFonts w:ascii="Times New Roman" w:hAnsi="Times New Roman"/>
          <w:sz w:val="20"/>
          <w:szCs w:val="20"/>
          <w:lang w:eastAsia="lt-LT"/>
        </w:rPr>
        <w:t xml:space="preserve">) </w:t>
      </w:r>
      <w:r w:rsidR="007A2D9D" w:rsidRPr="00A82C7D">
        <w:rPr>
          <w:rFonts w:ascii="Times New Roman" w:hAnsi="Times New Roman"/>
          <w:sz w:val="20"/>
          <w:szCs w:val="20"/>
          <w:lang w:eastAsia="lt-LT"/>
        </w:rPr>
        <w:t>finansų įstaiga</w:t>
      </w:r>
      <w:r w:rsidR="00F707D3" w:rsidRPr="00A82C7D">
        <w:rPr>
          <w:rFonts w:ascii="Times New Roman" w:hAnsi="Times New Roman"/>
          <w:sz w:val="20"/>
          <w:szCs w:val="20"/>
          <w:lang w:eastAsia="lt-LT"/>
        </w:rPr>
        <w:t xml:space="preserve"> prašymo pateikimo metu yra įvykd</w:t>
      </w:r>
      <w:r w:rsidR="007A2D9D" w:rsidRPr="00A82C7D">
        <w:rPr>
          <w:rFonts w:ascii="Times New Roman" w:hAnsi="Times New Roman"/>
          <w:sz w:val="20"/>
          <w:szCs w:val="20"/>
          <w:lang w:eastAsia="lt-LT"/>
        </w:rPr>
        <w:t>žiusi</w:t>
      </w:r>
      <w:r w:rsidR="00F707D3" w:rsidRPr="00A82C7D">
        <w:rPr>
          <w:rFonts w:ascii="Times New Roman" w:hAnsi="Times New Roman"/>
          <w:sz w:val="20"/>
          <w:szCs w:val="20"/>
          <w:lang w:eastAsia="lt-LT"/>
        </w:rPr>
        <w:t xml:space="preserve"> su mokesčių ir socialinio draudimo įmokų mokėjimu susijusius įsipareigojimus pagal </w:t>
      </w:r>
      <w:r w:rsidR="00991C92" w:rsidRPr="00A82C7D">
        <w:rPr>
          <w:rFonts w:ascii="Times New Roman" w:hAnsi="Times New Roman"/>
          <w:sz w:val="20"/>
          <w:szCs w:val="20"/>
          <w:lang w:eastAsia="lt-LT"/>
        </w:rPr>
        <w:t>finansų įstaigos</w:t>
      </w:r>
      <w:r w:rsidR="00F707D3" w:rsidRPr="00A82C7D">
        <w:rPr>
          <w:rFonts w:ascii="Times New Roman" w:hAnsi="Times New Roman"/>
          <w:sz w:val="20"/>
          <w:szCs w:val="20"/>
          <w:lang w:eastAsia="lt-LT"/>
        </w:rPr>
        <w:t xml:space="preserve"> veiklai taikomus teisės aktus;</w:t>
      </w:r>
    </w:p>
    <w:p w14:paraId="4CFD60D0" w14:textId="77777777" w:rsidR="00F707D3" w:rsidRDefault="00A82C7D" w:rsidP="0009478C">
      <w:pPr>
        <w:spacing w:after="0" w:line="240" w:lineRule="auto"/>
        <w:ind w:right="-755" w:firstLine="709"/>
        <w:jc w:val="both"/>
        <w:rPr>
          <w:rFonts w:ascii="Times New Roman" w:hAnsi="Times New Roman"/>
          <w:sz w:val="20"/>
          <w:szCs w:val="20"/>
          <w:lang w:eastAsia="lt-LT"/>
        </w:rPr>
      </w:pPr>
      <w:r>
        <w:rPr>
          <w:rFonts w:ascii="Times New Roman" w:hAnsi="Times New Roman"/>
          <w:sz w:val="20"/>
          <w:szCs w:val="20"/>
          <w:lang w:eastAsia="lt-LT"/>
        </w:rPr>
        <w:t>5</w:t>
      </w:r>
      <w:r w:rsidR="00F707D3" w:rsidRPr="00A82C7D">
        <w:rPr>
          <w:rFonts w:ascii="Times New Roman" w:hAnsi="Times New Roman"/>
          <w:sz w:val="20"/>
          <w:szCs w:val="20"/>
          <w:lang w:eastAsia="lt-LT"/>
        </w:rPr>
        <w:t xml:space="preserve">) </w:t>
      </w:r>
      <w:r w:rsidR="00991C92" w:rsidRPr="00A82C7D">
        <w:rPr>
          <w:rFonts w:ascii="Times New Roman" w:hAnsi="Times New Roman"/>
          <w:sz w:val="20"/>
          <w:szCs w:val="20"/>
          <w:lang w:eastAsia="lt-LT"/>
        </w:rPr>
        <w:t>finansų</w:t>
      </w:r>
      <w:r w:rsidR="00991C92" w:rsidRPr="00464FB9">
        <w:rPr>
          <w:rFonts w:ascii="Times New Roman" w:hAnsi="Times New Roman"/>
          <w:sz w:val="20"/>
          <w:szCs w:val="20"/>
          <w:lang w:eastAsia="lt-LT"/>
        </w:rPr>
        <w:t xml:space="preserve"> įstaigos</w:t>
      </w:r>
      <w:r w:rsidR="00F707D3" w:rsidRPr="00464FB9">
        <w:rPr>
          <w:rFonts w:ascii="Times New Roman" w:hAnsi="Times New Roman"/>
          <w:sz w:val="20"/>
          <w:szCs w:val="20"/>
          <w:lang w:eastAsia="lt-LT"/>
        </w:rPr>
        <w:t xml:space="preserve"> vadovas, turintis (-ys) teisę juridinio asmens vardu sudaryti sandorį, ar buhalteris (-iai), ar kitas (-i) asmuo (asmenys), turintis (-ys) teisę surašyti ir pasirašyti apskaitos dokumentus, neturi neišnykusio arba nepanaikinto teistumo arba dėl </w:t>
      </w:r>
      <w:r w:rsidR="003F1F04" w:rsidRPr="00464FB9">
        <w:rPr>
          <w:rFonts w:ascii="Times New Roman" w:hAnsi="Times New Roman"/>
          <w:sz w:val="20"/>
          <w:szCs w:val="20"/>
          <w:lang w:eastAsia="lt-LT"/>
        </w:rPr>
        <w:t>finansų įstaigos</w:t>
      </w:r>
      <w:r w:rsidR="00F707D3" w:rsidRPr="00464FB9">
        <w:rPr>
          <w:rFonts w:ascii="Times New Roman" w:hAnsi="Times New Roman"/>
          <w:sz w:val="20"/>
          <w:szCs w:val="20"/>
          <w:lang w:eastAsia="lt-LT"/>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w:t>
      </w:r>
      <w:r w:rsidR="00F707D3" w:rsidRPr="00535561">
        <w:rPr>
          <w:rFonts w:ascii="Times New Roman" w:hAnsi="Times New Roman"/>
          <w:sz w:val="20"/>
          <w:szCs w:val="20"/>
          <w:lang w:eastAsia="lt-LT"/>
        </w:rPr>
        <w:t>dokumentu, antspaudo, spaudo ar blanko suklastojimą, dalyvavimą kokioje nors kitoje neteisėtoje veikloje, kenkiančioje Lietuvos Respublikos ir (arba) Europos Sąjungos finansiniams interesams;</w:t>
      </w:r>
    </w:p>
    <w:p w14:paraId="2F77DB96" w14:textId="77777777" w:rsidR="004A3DE3" w:rsidRPr="00535561" w:rsidRDefault="004A3DE3" w:rsidP="0009478C">
      <w:pPr>
        <w:spacing w:after="0" w:line="240" w:lineRule="auto"/>
        <w:ind w:right="-755" w:firstLine="709"/>
        <w:jc w:val="both"/>
        <w:rPr>
          <w:rFonts w:ascii="Times New Roman" w:hAnsi="Times New Roman"/>
          <w:strike/>
          <w:sz w:val="20"/>
          <w:szCs w:val="20"/>
          <w:lang w:eastAsia="lt-LT"/>
        </w:rPr>
      </w:pPr>
      <w:r>
        <w:rPr>
          <w:rFonts w:ascii="Times New Roman" w:hAnsi="Times New Roman"/>
          <w:sz w:val="20"/>
          <w:szCs w:val="20"/>
          <w:lang w:eastAsia="lt-LT"/>
        </w:rPr>
        <w:t xml:space="preserve">6) </w:t>
      </w:r>
      <w:bookmarkStart w:id="10" w:name="_Hlk36385011"/>
      <w:r>
        <w:rPr>
          <w:rFonts w:ascii="Times New Roman" w:hAnsi="Times New Roman"/>
          <w:sz w:val="20"/>
          <w:szCs w:val="20"/>
          <w:lang w:eastAsia="lt-LT"/>
        </w:rPr>
        <w:t xml:space="preserve">finansų įstaiga ir jos atstovai yra informuoti ir žino, kad pateiktus melagingą informaciją, kurią „Invega“ </w:t>
      </w:r>
      <w:r w:rsidRPr="004A3DE3">
        <w:rPr>
          <w:rFonts w:ascii="Times New Roman" w:hAnsi="Times New Roman"/>
          <w:sz w:val="20"/>
          <w:szCs w:val="20"/>
          <w:lang w:eastAsia="lt-LT"/>
        </w:rPr>
        <w:t>gali įrodyti bet kokiomis teisėtomis priemonėmis,</w:t>
      </w:r>
      <w:r>
        <w:rPr>
          <w:rFonts w:ascii="Times New Roman" w:hAnsi="Times New Roman"/>
          <w:sz w:val="20"/>
          <w:szCs w:val="20"/>
          <w:lang w:eastAsia="lt-LT"/>
        </w:rPr>
        <w:t xml:space="preserve"> šis </w:t>
      </w:r>
      <w:r w:rsidRPr="004A3DE3">
        <w:rPr>
          <w:rFonts w:ascii="Times New Roman" w:hAnsi="Times New Roman"/>
          <w:sz w:val="20"/>
          <w:szCs w:val="20"/>
          <w:lang w:eastAsia="lt-LT"/>
        </w:rPr>
        <w:t xml:space="preserve"> </w:t>
      </w:r>
      <w:r>
        <w:rPr>
          <w:rFonts w:ascii="Times New Roman" w:hAnsi="Times New Roman"/>
          <w:sz w:val="20"/>
          <w:szCs w:val="20"/>
          <w:lang w:eastAsia="lt-LT"/>
        </w:rPr>
        <w:t>prašymas bus atmestas</w:t>
      </w:r>
      <w:bookmarkEnd w:id="10"/>
      <w:r>
        <w:rPr>
          <w:rFonts w:ascii="Times New Roman" w:hAnsi="Times New Roman"/>
          <w:sz w:val="20"/>
          <w:szCs w:val="20"/>
          <w:lang w:eastAsia="lt-LT"/>
        </w:rPr>
        <w:t>.</w:t>
      </w:r>
    </w:p>
    <w:p w14:paraId="242FE309" w14:textId="77777777" w:rsidR="00F707D3" w:rsidRPr="00535561" w:rsidRDefault="00F707D3" w:rsidP="0009478C">
      <w:pPr>
        <w:spacing w:after="0" w:line="240" w:lineRule="auto"/>
        <w:ind w:right="-755" w:firstLine="709"/>
        <w:jc w:val="both"/>
        <w:rPr>
          <w:rFonts w:ascii="Times New Roman" w:hAnsi="Times New Roman"/>
          <w:sz w:val="20"/>
          <w:szCs w:val="20"/>
          <w:lang w:eastAsia="lt-LT"/>
        </w:rPr>
      </w:pPr>
    </w:p>
    <w:p w14:paraId="5C258611" w14:textId="77777777" w:rsidR="00F707D3" w:rsidRPr="00535561" w:rsidRDefault="00F707D3" w:rsidP="00F707D3">
      <w:pPr>
        <w:spacing w:after="0" w:line="240" w:lineRule="auto"/>
        <w:ind w:right="-755" w:firstLine="709"/>
        <w:jc w:val="both"/>
        <w:rPr>
          <w:rFonts w:ascii="Times New Roman" w:hAnsi="Times New Roman"/>
          <w:lang w:eastAsia="lt-LT"/>
        </w:rPr>
      </w:pPr>
    </w:p>
    <w:p w14:paraId="2695240D" w14:textId="63E0DC33" w:rsidR="00F707D3" w:rsidRPr="00535561" w:rsidRDefault="00F707D3" w:rsidP="00F707D3">
      <w:pPr>
        <w:spacing w:after="0" w:line="240" w:lineRule="auto"/>
        <w:ind w:right="-755" w:firstLine="720"/>
        <w:jc w:val="both"/>
        <w:rPr>
          <w:rFonts w:ascii="Times New Roman" w:hAnsi="Times New Roman"/>
          <w:lang w:eastAsia="lt-LT"/>
        </w:rPr>
      </w:pPr>
      <w:r w:rsidRPr="00535561">
        <w:rPr>
          <w:rFonts w:ascii="Times New Roman" w:hAnsi="Times New Roman"/>
          <w:lang w:eastAsia="lt-LT"/>
        </w:rPr>
        <w:t>Kartu su prašymu pateikiami šie dokumentai (pasirašydami prašymą ar kiekvieną dokumentą patvirtiname, kad dokumentų skaitmeninės kopijos yra tikros</w:t>
      </w:r>
      <w:r w:rsidR="00A82C7D">
        <w:rPr>
          <w:rFonts w:ascii="Times New Roman" w:hAnsi="Times New Roman"/>
          <w:lang w:eastAsia="lt-LT"/>
        </w:rPr>
        <w:t>.</w:t>
      </w:r>
      <w:r w:rsidR="00A82C7D" w:rsidRPr="00A82C7D">
        <w:rPr>
          <w:rFonts w:ascii="Times New Roman" w:hAnsi="Times New Roman"/>
          <w:lang w:eastAsia="lt-LT"/>
        </w:rPr>
        <w:t xml:space="preserve"> Tais atvejais, kai visas prašymas su pridedamais dokumentais pasirašomas kvalifikuotu elektroniniu parašu, </w:t>
      </w:r>
      <w:r w:rsidR="00A82C7D">
        <w:rPr>
          <w:rFonts w:ascii="Times New Roman" w:hAnsi="Times New Roman"/>
          <w:lang w:eastAsia="lt-LT"/>
        </w:rPr>
        <w:t>kiekvieno</w:t>
      </w:r>
      <w:r w:rsidR="00A82C7D" w:rsidRPr="00A82C7D">
        <w:rPr>
          <w:rFonts w:ascii="Times New Roman" w:hAnsi="Times New Roman"/>
          <w:lang w:eastAsia="lt-LT"/>
        </w:rPr>
        <w:t xml:space="preserve"> dokumento atskirai pasirašyti neprivaloma</w:t>
      </w:r>
      <w:r w:rsidRPr="00535561">
        <w:rPr>
          <w:rFonts w:ascii="Times New Roman" w:hAnsi="Times New Roman"/>
          <w:lang w:eastAsia="lt-LT"/>
        </w:rPr>
        <w:t>):</w:t>
      </w:r>
    </w:p>
    <w:p w14:paraId="4294D373" w14:textId="77777777" w:rsidR="00F707D3" w:rsidRPr="00535561" w:rsidRDefault="00F707D3" w:rsidP="00F707D3">
      <w:pPr>
        <w:spacing w:after="0" w:line="240" w:lineRule="auto"/>
        <w:ind w:firstLine="720"/>
        <w:jc w:val="both"/>
        <w:rPr>
          <w:rFonts w:ascii="Times New Roman" w:hAnsi="Times New Roman"/>
          <w:lang w:eastAsia="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F707D3" w:rsidRPr="00535561" w14:paraId="0A14BD90" w14:textId="77777777" w:rsidTr="007A2A64">
        <w:tc>
          <w:tcPr>
            <w:tcW w:w="675" w:type="dxa"/>
            <w:tcBorders>
              <w:top w:val="single" w:sz="4" w:space="0" w:color="auto"/>
              <w:left w:val="single" w:sz="4" w:space="0" w:color="auto"/>
              <w:bottom w:val="single" w:sz="4" w:space="0" w:color="auto"/>
              <w:right w:val="single" w:sz="4" w:space="0" w:color="auto"/>
            </w:tcBorders>
          </w:tcPr>
          <w:p w14:paraId="6280BC9D"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Eil.Nr.</w:t>
            </w:r>
          </w:p>
          <w:p w14:paraId="7FD0CB11" w14:textId="77777777" w:rsidR="00F707D3" w:rsidRPr="00535561" w:rsidRDefault="00F707D3" w:rsidP="00F707D3">
            <w:pPr>
              <w:spacing w:after="0" w:line="240" w:lineRule="auto"/>
              <w:jc w:val="center"/>
              <w:rPr>
                <w:rFonts w:ascii="Times New Roman" w:hAnsi="Times New Roman"/>
                <w:b/>
                <w:sz w:val="12"/>
                <w:lang w:eastAsia="lt-LT"/>
              </w:rPr>
            </w:pPr>
          </w:p>
        </w:tc>
        <w:tc>
          <w:tcPr>
            <w:tcW w:w="6521" w:type="dxa"/>
            <w:tcBorders>
              <w:top w:val="single" w:sz="4" w:space="0" w:color="auto"/>
              <w:left w:val="single" w:sz="4" w:space="0" w:color="auto"/>
              <w:bottom w:val="single" w:sz="4" w:space="0" w:color="auto"/>
              <w:right w:val="single" w:sz="4" w:space="0" w:color="auto"/>
            </w:tcBorders>
          </w:tcPr>
          <w:p w14:paraId="080B4AEF"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Pateiktų dokumentų pavadinimas</w:t>
            </w:r>
          </w:p>
        </w:tc>
        <w:tc>
          <w:tcPr>
            <w:tcW w:w="2693" w:type="dxa"/>
            <w:tcBorders>
              <w:top w:val="single" w:sz="4" w:space="0" w:color="auto"/>
              <w:left w:val="single" w:sz="4" w:space="0" w:color="auto"/>
              <w:bottom w:val="single" w:sz="4" w:space="0" w:color="auto"/>
              <w:right w:val="single" w:sz="4" w:space="0" w:color="auto"/>
            </w:tcBorders>
          </w:tcPr>
          <w:p w14:paraId="34465AC3"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Dokumento puslapių skaičius</w:t>
            </w:r>
          </w:p>
        </w:tc>
      </w:tr>
      <w:tr w:rsidR="00F707D3" w:rsidRPr="00535561" w14:paraId="7D7AF6B2" w14:textId="77777777" w:rsidTr="007A2A64">
        <w:tc>
          <w:tcPr>
            <w:tcW w:w="675" w:type="dxa"/>
            <w:tcBorders>
              <w:top w:val="single" w:sz="4" w:space="0" w:color="auto"/>
              <w:left w:val="single" w:sz="4" w:space="0" w:color="auto"/>
              <w:bottom w:val="single" w:sz="4" w:space="0" w:color="auto"/>
              <w:right w:val="single" w:sz="4" w:space="0" w:color="auto"/>
            </w:tcBorders>
          </w:tcPr>
          <w:p w14:paraId="58B9052B" w14:textId="77777777" w:rsidR="00F707D3" w:rsidRPr="00535561" w:rsidRDefault="00F707D3" w:rsidP="00F707D3">
            <w:pPr>
              <w:spacing w:after="0" w:line="240" w:lineRule="auto"/>
              <w:jc w:val="both"/>
              <w:rPr>
                <w:rFonts w:ascii="Times New Roman" w:hAnsi="Times New Roman"/>
                <w:b/>
                <w:lang w:eastAsia="lt-LT"/>
              </w:rPr>
            </w:pPr>
            <w:r w:rsidRPr="00535561">
              <w:rPr>
                <w:rFonts w:ascii="Times New Roman" w:hAnsi="Times New Roman"/>
                <w:b/>
                <w:lang w:eastAsia="lt-LT"/>
              </w:rPr>
              <w:t>1.</w:t>
            </w:r>
          </w:p>
        </w:tc>
        <w:tc>
          <w:tcPr>
            <w:tcW w:w="6521" w:type="dxa"/>
            <w:tcBorders>
              <w:top w:val="single" w:sz="4" w:space="0" w:color="auto"/>
              <w:left w:val="single" w:sz="4" w:space="0" w:color="auto"/>
              <w:bottom w:val="single" w:sz="4" w:space="0" w:color="auto"/>
              <w:right w:val="single" w:sz="4" w:space="0" w:color="auto"/>
            </w:tcBorders>
          </w:tcPr>
          <w:p w14:paraId="4D0823E1" w14:textId="77777777" w:rsidR="00F707D3" w:rsidRPr="00535561" w:rsidRDefault="00A82C7D" w:rsidP="00A82C7D">
            <w:pPr>
              <w:spacing w:after="0" w:line="240" w:lineRule="auto"/>
              <w:jc w:val="both"/>
              <w:rPr>
                <w:rFonts w:ascii="Times New Roman" w:hAnsi="Times New Roman"/>
                <w:lang w:eastAsia="lt-LT"/>
              </w:rPr>
            </w:pPr>
            <w:r>
              <w:rPr>
                <w:rFonts w:ascii="Times New Roman" w:hAnsi="Times New Roman"/>
                <w:lang w:eastAsia="lt-LT"/>
              </w:rPr>
              <w:t>PGF2 priemonės įgyvendinimo aprašymas</w:t>
            </w:r>
          </w:p>
        </w:tc>
        <w:tc>
          <w:tcPr>
            <w:tcW w:w="2693" w:type="dxa"/>
            <w:tcBorders>
              <w:top w:val="single" w:sz="4" w:space="0" w:color="auto"/>
              <w:left w:val="single" w:sz="4" w:space="0" w:color="auto"/>
              <w:bottom w:val="single" w:sz="4" w:space="0" w:color="auto"/>
              <w:right w:val="single" w:sz="4" w:space="0" w:color="auto"/>
            </w:tcBorders>
          </w:tcPr>
          <w:p w14:paraId="4C553FBC" w14:textId="77777777" w:rsidR="00F707D3" w:rsidRPr="00535561" w:rsidRDefault="00F707D3" w:rsidP="00F707D3">
            <w:pPr>
              <w:spacing w:after="0" w:line="240" w:lineRule="auto"/>
              <w:jc w:val="both"/>
              <w:rPr>
                <w:rFonts w:ascii="Times New Roman" w:hAnsi="Times New Roman"/>
                <w:lang w:eastAsia="lt-LT"/>
              </w:rPr>
            </w:pPr>
          </w:p>
        </w:tc>
      </w:tr>
      <w:tr w:rsidR="00F707D3" w:rsidRPr="00535561" w14:paraId="215B48D3" w14:textId="77777777" w:rsidTr="007A2A64">
        <w:tc>
          <w:tcPr>
            <w:tcW w:w="675" w:type="dxa"/>
            <w:tcBorders>
              <w:top w:val="single" w:sz="4" w:space="0" w:color="auto"/>
              <w:left w:val="single" w:sz="4" w:space="0" w:color="auto"/>
              <w:bottom w:val="single" w:sz="4" w:space="0" w:color="auto"/>
              <w:right w:val="single" w:sz="4" w:space="0" w:color="auto"/>
            </w:tcBorders>
          </w:tcPr>
          <w:p w14:paraId="7156FDFA" w14:textId="77777777" w:rsidR="00F707D3" w:rsidRPr="00535561" w:rsidRDefault="00F707D3" w:rsidP="00F707D3">
            <w:pPr>
              <w:spacing w:after="0" w:line="240" w:lineRule="auto"/>
              <w:jc w:val="both"/>
              <w:rPr>
                <w:rFonts w:ascii="Times New Roman" w:hAnsi="Times New Roman"/>
                <w:b/>
                <w:lang w:eastAsia="lt-LT"/>
              </w:rPr>
            </w:pPr>
            <w:r w:rsidRPr="00535561">
              <w:rPr>
                <w:rFonts w:ascii="Times New Roman" w:hAnsi="Times New Roman"/>
                <w:b/>
                <w:lang w:eastAsia="lt-LT"/>
              </w:rPr>
              <w:t>2.</w:t>
            </w:r>
          </w:p>
        </w:tc>
        <w:tc>
          <w:tcPr>
            <w:tcW w:w="6521" w:type="dxa"/>
            <w:tcBorders>
              <w:top w:val="single" w:sz="4" w:space="0" w:color="auto"/>
              <w:left w:val="single" w:sz="4" w:space="0" w:color="auto"/>
              <w:bottom w:val="single" w:sz="4" w:space="0" w:color="auto"/>
              <w:right w:val="single" w:sz="4" w:space="0" w:color="auto"/>
            </w:tcBorders>
          </w:tcPr>
          <w:p w14:paraId="315A4EA4" w14:textId="77777777" w:rsidR="00F707D3" w:rsidRPr="00535561" w:rsidRDefault="00F707D3" w:rsidP="00F707D3">
            <w:pPr>
              <w:tabs>
                <w:tab w:val="left" w:pos="1296"/>
                <w:tab w:val="center" w:pos="4153"/>
                <w:tab w:val="right" w:pos="8306"/>
              </w:tabs>
              <w:spacing w:after="0" w:line="240" w:lineRule="auto"/>
              <w:jc w:val="both"/>
              <w:rPr>
                <w:rFonts w:ascii="Times New Roman" w:eastAsia="Times New Roman" w:hAnsi="Times New Roman"/>
                <w:lang w:eastAsia="lt-LT"/>
              </w:rPr>
            </w:pPr>
            <w:r w:rsidRPr="00535561">
              <w:rPr>
                <w:rFonts w:ascii="Times New Roman" w:eastAsia="Times New Roman" w:hAnsi="Times New Roman"/>
                <w:lang w:eastAsia="lt-LT"/>
              </w:rPr>
              <w:t xml:space="preserve">Pažyma apie atitikimą </w:t>
            </w:r>
            <w:r w:rsidR="00FE7CF5">
              <w:rPr>
                <w:rFonts w:ascii="Times New Roman" w:eastAsia="Times New Roman" w:hAnsi="Times New Roman"/>
                <w:lang w:eastAsia="lt-LT"/>
              </w:rPr>
              <w:t xml:space="preserve">tinkamumo </w:t>
            </w:r>
            <w:r w:rsidRPr="00535561">
              <w:rPr>
                <w:rFonts w:ascii="Times New Roman" w:eastAsia="Times New Roman" w:hAnsi="Times New Roman"/>
                <w:lang w:eastAsia="lt-LT"/>
              </w:rPr>
              <w:t>reikalavimams (Prašymo 1 priedas)</w:t>
            </w:r>
          </w:p>
        </w:tc>
        <w:tc>
          <w:tcPr>
            <w:tcW w:w="2693" w:type="dxa"/>
            <w:tcBorders>
              <w:top w:val="single" w:sz="4" w:space="0" w:color="auto"/>
              <w:left w:val="single" w:sz="4" w:space="0" w:color="auto"/>
              <w:bottom w:val="single" w:sz="4" w:space="0" w:color="auto"/>
              <w:right w:val="single" w:sz="4" w:space="0" w:color="auto"/>
            </w:tcBorders>
          </w:tcPr>
          <w:p w14:paraId="7087B5ED" w14:textId="77777777" w:rsidR="00F707D3" w:rsidRPr="00535561" w:rsidRDefault="00F707D3" w:rsidP="00F707D3">
            <w:pPr>
              <w:spacing w:after="0" w:line="240" w:lineRule="auto"/>
              <w:jc w:val="both"/>
              <w:rPr>
                <w:rFonts w:ascii="Times New Roman" w:hAnsi="Times New Roman"/>
                <w:lang w:eastAsia="lt-LT"/>
              </w:rPr>
            </w:pPr>
          </w:p>
        </w:tc>
      </w:tr>
      <w:tr w:rsidR="00F707D3" w:rsidRPr="00464FB9" w14:paraId="5AFA084F" w14:textId="77777777" w:rsidTr="007A2A64">
        <w:tc>
          <w:tcPr>
            <w:tcW w:w="675" w:type="dxa"/>
            <w:tcBorders>
              <w:top w:val="single" w:sz="4" w:space="0" w:color="auto"/>
              <w:left w:val="single" w:sz="4" w:space="0" w:color="auto"/>
              <w:bottom w:val="single" w:sz="4" w:space="0" w:color="auto"/>
              <w:right w:val="single" w:sz="4" w:space="0" w:color="auto"/>
            </w:tcBorders>
          </w:tcPr>
          <w:p w14:paraId="460586B7" w14:textId="77777777" w:rsidR="00F707D3" w:rsidRPr="00535561" w:rsidRDefault="00F707D3" w:rsidP="00F707D3">
            <w:pPr>
              <w:spacing w:after="0" w:line="240" w:lineRule="auto"/>
              <w:jc w:val="both"/>
              <w:rPr>
                <w:rFonts w:ascii="Times New Roman" w:hAnsi="Times New Roman"/>
                <w:b/>
                <w:lang w:eastAsia="lt-LT"/>
              </w:rPr>
            </w:pPr>
            <w:r w:rsidRPr="00535561">
              <w:rPr>
                <w:rFonts w:ascii="Times New Roman" w:hAnsi="Times New Roman"/>
                <w:b/>
                <w:lang w:eastAsia="lt-LT"/>
              </w:rPr>
              <w:t>3.</w:t>
            </w:r>
          </w:p>
        </w:tc>
        <w:tc>
          <w:tcPr>
            <w:tcW w:w="6521" w:type="dxa"/>
            <w:tcBorders>
              <w:top w:val="single" w:sz="4" w:space="0" w:color="auto"/>
              <w:left w:val="single" w:sz="4" w:space="0" w:color="auto"/>
              <w:bottom w:val="single" w:sz="4" w:space="0" w:color="auto"/>
              <w:right w:val="single" w:sz="4" w:space="0" w:color="auto"/>
            </w:tcBorders>
          </w:tcPr>
          <w:p w14:paraId="5D0DFFEF" w14:textId="77777777" w:rsidR="00F707D3" w:rsidRPr="00535561" w:rsidRDefault="00F707D3" w:rsidP="003943BC">
            <w:pPr>
              <w:spacing w:after="0" w:line="240" w:lineRule="auto"/>
              <w:jc w:val="both"/>
              <w:rPr>
                <w:rFonts w:ascii="Times New Roman" w:hAnsi="Times New Roman"/>
                <w:lang w:eastAsia="lt-LT"/>
              </w:rPr>
            </w:pPr>
            <w:r w:rsidRPr="00535561">
              <w:rPr>
                <w:rFonts w:ascii="Times New Roman" w:hAnsi="Times New Roman"/>
                <w:lang w:eastAsia="lt-LT"/>
              </w:rPr>
              <w:t>Audituotos finansinės ataskaitos už paskutinius finansinius metus</w:t>
            </w:r>
          </w:p>
        </w:tc>
        <w:tc>
          <w:tcPr>
            <w:tcW w:w="2693" w:type="dxa"/>
            <w:tcBorders>
              <w:top w:val="single" w:sz="4" w:space="0" w:color="auto"/>
              <w:left w:val="single" w:sz="4" w:space="0" w:color="auto"/>
              <w:bottom w:val="single" w:sz="4" w:space="0" w:color="auto"/>
              <w:right w:val="single" w:sz="4" w:space="0" w:color="auto"/>
            </w:tcBorders>
          </w:tcPr>
          <w:p w14:paraId="7D204B69" w14:textId="77777777" w:rsidR="00F707D3" w:rsidRPr="00535561" w:rsidRDefault="00F707D3" w:rsidP="00F707D3">
            <w:pPr>
              <w:spacing w:after="0" w:line="240" w:lineRule="auto"/>
              <w:jc w:val="both"/>
              <w:rPr>
                <w:rFonts w:ascii="Times New Roman" w:hAnsi="Times New Roman"/>
                <w:lang w:eastAsia="lt-LT"/>
              </w:rPr>
            </w:pPr>
          </w:p>
        </w:tc>
      </w:tr>
      <w:tr w:rsidR="00446EF6" w:rsidRPr="00464FB9" w14:paraId="64DCDC31" w14:textId="77777777" w:rsidTr="007A2A64">
        <w:tc>
          <w:tcPr>
            <w:tcW w:w="675" w:type="dxa"/>
            <w:tcBorders>
              <w:top w:val="single" w:sz="4" w:space="0" w:color="auto"/>
              <w:left w:val="single" w:sz="4" w:space="0" w:color="auto"/>
              <w:bottom w:val="single" w:sz="4" w:space="0" w:color="auto"/>
              <w:right w:val="single" w:sz="4" w:space="0" w:color="auto"/>
            </w:tcBorders>
          </w:tcPr>
          <w:p w14:paraId="451DA0A1" w14:textId="77777777" w:rsidR="00446EF6" w:rsidRPr="00A82C7D" w:rsidRDefault="00A82C7D" w:rsidP="00F707D3">
            <w:pPr>
              <w:spacing w:after="0" w:line="240" w:lineRule="auto"/>
              <w:jc w:val="both"/>
              <w:rPr>
                <w:rFonts w:ascii="Times New Roman" w:hAnsi="Times New Roman"/>
                <w:b/>
                <w:lang w:eastAsia="lt-LT"/>
              </w:rPr>
            </w:pPr>
            <w:r>
              <w:rPr>
                <w:rFonts w:ascii="Times New Roman" w:hAnsi="Times New Roman"/>
                <w:b/>
                <w:lang w:eastAsia="lt-LT"/>
              </w:rPr>
              <w:t>4.</w:t>
            </w:r>
          </w:p>
        </w:tc>
        <w:tc>
          <w:tcPr>
            <w:tcW w:w="6521" w:type="dxa"/>
            <w:tcBorders>
              <w:top w:val="single" w:sz="4" w:space="0" w:color="auto"/>
              <w:left w:val="single" w:sz="4" w:space="0" w:color="auto"/>
              <w:bottom w:val="single" w:sz="4" w:space="0" w:color="auto"/>
              <w:right w:val="single" w:sz="4" w:space="0" w:color="auto"/>
            </w:tcBorders>
          </w:tcPr>
          <w:p w14:paraId="1CA829D7" w14:textId="77777777" w:rsidR="00446EF6" w:rsidRPr="00A82C7D" w:rsidRDefault="00A82C7D" w:rsidP="00A82C7D">
            <w:pPr>
              <w:spacing w:after="0" w:line="240" w:lineRule="auto"/>
              <w:jc w:val="both"/>
              <w:rPr>
                <w:rFonts w:ascii="Times New Roman" w:hAnsi="Times New Roman"/>
                <w:lang w:eastAsia="lt-LT"/>
              </w:rPr>
            </w:pPr>
            <w:r>
              <w:rPr>
                <w:rFonts w:ascii="Times New Roman" w:hAnsi="Times New Roman"/>
                <w:lang w:eastAsia="lt-LT"/>
              </w:rPr>
              <w:t>Faktoringo gavėjų ir/ar faktoringo sandorių kredito rizikos vertinimo metodika</w:t>
            </w:r>
          </w:p>
        </w:tc>
        <w:tc>
          <w:tcPr>
            <w:tcW w:w="2693" w:type="dxa"/>
            <w:tcBorders>
              <w:top w:val="single" w:sz="4" w:space="0" w:color="auto"/>
              <w:left w:val="single" w:sz="4" w:space="0" w:color="auto"/>
              <w:bottom w:val="single" w:sz="4" w:space="0" w:color="auto"/>
              <w:right w:val="single" w:sz="4" w:space="0" w:color="auto"/>
            </w:tcBorders>
          </w:tcPr>
          <w:p w14:paraId="7A59DF6A" w14:textId="77777777" w:rsidR="00446EF6" w:rsidRPr="00A82C7D" w:rsidRDefault="00446EF6" w:rsidP="00F707D3">
            <w:pPr>
              <w:spacing w:after="0" w:line="240" w:lineRule="auto"/>
              <w:jc w:val="both"/>
              <w:rPr>
                <w:rFonts w:ascii="Times New Roman" w:hAnsi="Times New Roman"/>
                <w:lang w:eastAsia="lt-LT"/>
              </w:rPr>
            </w:pPr>
          </w:p>
        </w:tc>
      </w:tr>
    </w:tbl>
    <w:p w14:paraId="07F83938" w14:textId="77777777" w:rsidR="00F707D3" w:rsidRPr="00535561" w:rsidRDefault="00F707D3" w:rsidP="00535561">
      <w:pPr>
        <w:tabs>
          <w:tab w:val="left" w:pos="851"/>
        </w:tabs>
        <w:autoSpaceDE w:val="0"/>
        <w:autoSpaceDN w:val="0"/>
        <w:adjustRightInd w:val="0"/>
        <w:spacing w:after="0" w:line="240" w:lineRule="auto"/>
        <w:ind w:right="-755" w:firstLine="709"/>
        <w:jc w:val="both"/>
        <w:rPr>
          <w:rFonts w:ascii="Times New Roman" w:hAnsi="Times New Roman"/>
          <w:sz w:val="18"/>
          <w:szCs w:val="18"/>
          <w:lang w:eastAsia="lt-LT"/>
        </w:rPr>
      </w:pPr>
    </w:p>
    <w:p w14:paraId="58B7BEA8" w14:textId="77777777" w:rsidR="00A82C7D" w:rsidRPr="00535561" w:rsidRDefault="00A82C7D" w:rsidP="00F707D3">
      <w:pPr>
        <w:tabs>
          <w:tab w:val="left" w:pos="993"/>
        </w:tabs>
        <w:spacing w:after="0" w:line="240" w:lineRule="auto"/>
        <w:ind w:firstLine="709"/>
        <w:jc w:val="both"/>
        <w:rPr>
          <w:rFonts w:ascii="Times New Roman" w:hAnsi="Times New Roman"/>
          <w:lang w:eastAsia="lt-LT"/>
        </w:rPr>
      </w:pPr>
    </w:p>
    <w:p w14:paraId="1C1A1E68" w14:textId="2CEF3690" w:rsidR="00F707D3" w:rsidRDefault="00F707D3" w:rsidP="00F707D3">
      <w:pPr>
        <w:spacing w:after="0" w:line="240" w:lineRule="auto"/>
        <w:ind w:firstLine="720"/>
        <w:jc w:val="both"/>
        <w:rPr>
          <w:rFonts w:ascii="Times New Roman" w:hAnsi="Times New Roman"/>
          <w:lang w:eastAsia="lt-LT"/>
        </w:rPr>
      </w:pPr>
    </w:p>
    <w:p w14:paraId="700D0C86" w14:textId="3FA66532" w:rsidR="00035106" w:rsidRDefault="00035106" w:rsidP="00F707D3">
      <w:pPr>
        <w:spacing w:after="0" w:line="240" w:lineRule="auto"/>
        <w:ind w:firstLine="720"/>
        <w:jc w:val="both"/>
        <w:rPr>
          <w:rFonts w:ascii="Times New Roman" w:hAnsi="Times New Roman"/>
          <w:lang w:eastAsia="lt-LT"/>
        </w:rPr>
      </w:pPr>
    </w:p>
    <w:p w14:paraId="6D84F405" w14:textId="20926140" w:rsidR="00035106" w:rsidRDefault="00035106" w:rsidP="00F707D3">
      <w:pPr>
        <w:spacing w:after="0" w:line="240" w:lineRule="auto"/>
        <w:ind w:firstLine="720"/>
        <w:jc w:val="both"/>
        <w:rPr>
          <w:rFonts w:ascii="Times New Roman" w:hAnsi="Times New Roman"/>
          <w:lang w:eastAsia="lt-LT"/>
        </w:rPr>
      </w:pPr>
    </w:p>
    <w:p w14:paraId="2AA98A6D" w14:textId="45303796" w:rsidR="00035106" w:rsidRDefault="00035106" w:rsidP="00F707D3">
      <w:pPr>
        <w:spacing w:after="0" w:line="240" w:lineRule="auto"/>
        <w:ind w:firstLine="720"/>
        <w:jc w:val="both"/>
        <w:rPr>
          <w:rFonts w:ascii="Times New Roman" w:hAnsi="Times New Roman"/>
          <w:lang w:eastAsia="lt-LT"/>
        </w:rPr>
      </w:pPr>
    </w:p>
    <w:p w14:paraId="65D153FA" w14:textId="2A8F7989" w:rsidR="00035106" w:rsidRDefault="00035106" w:rsidP="00F707D3">
      <w:pPr>
        <w:spacing w:after="0" w:line="240" w:lineRule="auto"/>
        <w:ind w:firstLine="720"/>
        <w:jc w:val="both"/>
        <w:rPr>
          <w:rFonts w:ascii="Times New Roman" w:hAnsi="Times New Roman"/>
          <w:lang w:eastAsia="lt-LT"/>
        </w:rPr>
      </w:pPr>
    </w:p>
    <w:p w14:paraId="5D363CD5" w14:textId="77777777" w:rsidR="00035106" w:rsidRPr="00535561" w:rsidRDefault="00035106" w:rsidP="00F707D3">
      <w:pPr>
        <w:spacing w:after="0" w:line="240" w:lineRule="auto"/>
        <w:ind w:firstLine="720"/>
        <w:jc w:val="both"/>
        <w:rPr>
          <w:rFonts w:ascii="Times New Roman" w:hAnsi="Times New Roman"/>
          <w:lang w:eastAsia="lt-LT"/>
        </w:rPr>
      </w:pPr>
    </w:p>
    <w:tbl>
      <w:tblPr>
        <w:tblW w:w="0" w:type="auto"/>
        <w:tblLayout w:type="fixed"/>
        <w:tblLook w:val="01E0" w:firstRow="1" w:lastRow="1" w:firstColumn="1" w:lastColumn="1" w:noHBand="0" w:noVBand="0"/>
      </w:tblPr>
      <w:tblGrid>
        <w:gridCol w:w="2988"/>
        <w:gridCol w:w="296"/>
        <w:gridCol w:w="604"/>
        <w:gridCol w:w="1980"/>
        <w:gridCol w:w="701"/>
        <w:gridCol w:w="2611"/>
        <w:gridCol w:w="648"/>
      </w:tblGrid>
      <w:tr w:rsidR="00F707D3" w:rsidRPr="00535561" w14:paraId="63871561" w14:textId="77777777" w:rsidTr="00372765">
        <w:trPr>
          <w:trHeight w:val="324"/>
        </w:trPr>
        <w:tc>
          <w:tcPr>
            <w:tcW w:w="9828" w:type="dxa"/>
            <w:gridSpan w:val="7"/>
          </w:tcPr>
          <w:p w14:paraId="310D3A6C" w14:textId="77777777" w:rsidR="00F707D3" w:rsidRPr="00535561" w:rsidRDefault="00F707D3" w:rsidP="00F707D3">
            <w:pPr>
              <w:spacing w:after="0" w:line="240" w:lineRule="auto"/>
              <w:ind w:right="-108" w:firstLine="720"/>
              <w:jc w:val="both"/>
              <w:rPr>
                <w:rFonts w:ascii="Times New Roman" w:hAnsi="Times New Roman"/>
                <w:lang w:eastAsia="lt-LT"/>
              </w:rPr>
            </w:pPr>
          </w:p>
        </w:tc>
      </w:tr>
      <w:tr w:rsidR="00F707D3" w:rsidRPr="00535561" w14:paraId="0EF8CB90" w14:textId="77777777" w:rsidTr="00372765">
        <w:tc>
          <w:tcPr>
            <w:tcW w:w="2988" w:type="dxa"/>
          </w:tcPr>
          <w:p w14:paraId="504C0367" w14:textId="77777777" w:rsidR="00F707D3" w:rsidRPr="00535561" w:rsidRDefault="00F707D3" w:rsidP="00F707D3">
            <w:pPr>
              <w:spacing w:after="0" w:line="240" w:lineRule="auto"/>
              <w:jc w:val="both"/>
              <w:rPr>
                <w:rFonts w:ascii="Times New Roman" w:hAnsi="Times New Roman"/>
                <w:lang w:eastAsia="lt-LT"/>
              </w:rPr>
            </w:pPr>
          </w:p>
        </w:tc>
        <w:tc>
          <w:tcPr>
            <w:tcW w:w="6840" w:type="dxa"/>
            <w:gridSpan w:val="6"/>
          </w:tcPr>
          <w:p w14:paraId="0F2B661B" w14:textId="77777777" w:rsidR="00F707D3" w:rsidRPr="00535561" w:rsidRDefault="00F707D3" w:rsidP="00F707D3">
            <w:pPr>
              <w:spacing w:after="0" w:line="240" w:lineRule="auto"/>
              <w:jc w:val="both"/>
              <w:rPr>
                <w:rFonts w:ascii="Times New Roman" w:hAnsi="Times New Roman"/>
                <w:i/>
                <w:lang w:eastAsia="lt-LT"/>
              </w:rPr>
            </w:pPr>
          </w:p>
        </w:tc>
      </w:tr>
      <w:tr w:rsidR="00F707D3" w:rsidRPr="00535561" w14:paraId="03580C92" w14:textId="77777777" w:rsidTr="00372765">
        <w:trPr>
          <w:trHeight w:val="285"/>
        </w:trPr>
        <w:tc>
          <w:tcPr>
            <w:tcW w:w="3284" w:type="dxa"/>
            <w:gridSpan w:val="2"/>
            <w:tcBorders>
              <w:top w:val="nil"/>
              <w:left w:val="nil"/>
              <w:bottom w:val="single" w:sz="4" w:space="0" w:color="auto"/>
              <w:right w:val="nil"/>
            </w:tcBorders>
          </w:tcPr>
          <w:p w14:paraId="79A61E2A" w14:textId="77777777" w:rsidR="00F707D3" w:rsidRPr="00535561" w:rsidRDefault="00F707D3" w:rsidP="00F707D3">
            <w:pPr>
              <w:spacing w:after="0" w:line="240" w:lineRule="auto"/>
              <w:ind w:right="-1"/>
              <w:rPr>
                <w:rFonts w:ascii="Times New Roman" w:hAnsi="Times New Roman"/>
                <w:lang w:eastAsia="lt-LT"/>
              </w:rPr>
            </w:pPr>
          </w:p>
        </w:tc>
        <w:tc>
          <w:tcPr>
            <w:tcW w:w="604" w:type="dxa"/>
          </w:tcPr>
          <w:p w14:paraId="74E01CB4" w14:textId="77777777" w:rsidR="00F707D3" w:rsidRPr="00535561" w:rsidRDefault="00F707D3" w:rsidP="00F707D3">
            <w:pPr>
              <w:spacing w:after="0" w:line="240" w:lineRule="auto"/>
              <w:ind w:right="-1"/>
              <w:jc w:val="center"/>
              <w:rPr>
                <w:rFonts w:ascii="Times New Roman" w:hAnsi="Times New Roman"/>
                <w:lang w:eastAsia="lt-LT"/>
              </w:rPr>
            </w:pPr>
          </w:p>
        </w:tc>
        <w:tc>
          <w:tcPr>
            <w:tcW w:w="1980" w:type="dxa"/>
            <w:tcBorders>
              <w:top w:val="nil"/>
              <w:left w:val="nil"/>
              <w:bottom w:val="single" w:sz="4" w:space="0" w:color="auto"/>
              <w:right w:val="nil"/>
            </w:tcBorders>
          </w:tcPr>
          <w:p w14:paraId="54BA1183" w14:textId="77777777" w:rsidR="00F707D3" w:rsidRPr="00535561" w:rsidRDefault="00F707D3" w:rsidP="00F707D3">
            <w:pPr>
              <w:spacing w:after="0" w:line="240" w:lineRule="auto"/>
              <w:ind w:right="-1"/>
              <w:jc w:val="center"/>
              <w:rPr>
                <w:rFonts w:ascii="Times New Roman" w:hAnsi="Times New Roman"/>
                <w:lang w:eastAsia="lt-LT"/>
              </w:rPr>
            </w:pPr>
          </w:p>
        </w:tc>
        <w:tc>
          <w:tcPr>
            <w:tcW w:w="701" w:type="dxa"/>
          </w:tcPr>
          <w:p w14:paraId="013EACA1" w14:textId="77777777" w:rsidR="00F707D3" w:rsidRPr="00535561" w:rsidRDefault="00F707D3" w:rsidP="00F707D3">
            <w:pPr>
              <w:spacing w:after="0" w:line="240" w:lineRule="auto"/>
              <w:ind w:right="-1"/>
              <w:jc w:val="center"/>
              <w:rPr>
                <w:rFonts w:ascii="Times New Roman" w:hAnsi="Times New Roman"/>
                <w:lang w:eastAsia="lt-LT"/>
              </w:rPr>
            </w:pPr>
          </w:p>
        </w:tc>
        <w:tc>
          <w:tcPr>
            <w:tcW w:w="2611" w:type="dxa"/>
            <w:tcBorders>
              <w:top w:val="nil"/>
              <w:left w:val="nil"/>
              <w:bottom w:val="single" w:sz="4" w:space="0" w:color="auto"/>
              <w:right w:val="nil"/>
            </w:tcBorders>
          </w:tcPr>
          <w:p w14:paraId="5C714E64" w14:textId="77777777" w:rsidR="00F707D3" w:rsidRPr="00535561" w:rsidRDefault="00F707D3" w:rsidP="00F707D3">
            <w:pPr>
              <w:spacing w:after="0" w:line="240" w:lineRule="auto"/>
              <w:ind w:right="-1"/>
              <w:jc w:val="right"/>
              <w:rPr>
                <w:rFonts w:ascii="Times New Roman" w:hAnsi="Times New Roman"/>
                <w:lang w:eastAsia="lt-LT"/>
              </w:rPr>
            </w:pPr>
          </w:p>
        </w:tc>
        <w:tc>
          <w:tcPr>
            <w:tcW w:w="648" w:type="dxa"/>
          </w:tcPr>
          <w:p w14:paraId="01D92B20" w14:textId="77777777" w:rsidR="00F707D3" w:rsidRPr="00535561" w:rsidRDefault="00F707D3" w:rsidP="00F707D3">
            <w:pPr>
              <w:spacing w:after="0" w:line="240" w:lineRule="auto"/>
              <w:ind w:right="-1"/>
              <w:jc w:val="right"/>
              <w:rPr>
                <w:rFonts w:ascii="Times New Roman" w:hAnsi="Times New Roman"/>
                <w:lang w:eastAsia="lt-LT"/>
              </w:rPr>
            </w:pPr>
          </w:p>
        </w:tc>
      </w:tr>
      <w:tr w:rsidR="00F707D3" w:rsidRPr="00535561" w14:paraId="7339BEAE" w14:textId="77777777" w:rsidTr="00372765">
        <w:trPr>
          <w:trHeight w:val="186"/>
        </w:trPr>
        <w:tc>
          <w:tcPr>
            <w:tcW w:w="3284" w:type="dxa"/>
            <w:gridSpan w:val="2"/>
            <w:tcBorders>
              <w:top w:val="single" w:sz="4" w:space="0" w:color="auto"/>
              <w:left w:val="nil"/>
              <w:bottom w:val="nil"/>
              <w:right w:val="nil"/>
            </w:tcBorders>
          </w:tcPr>
          <w:p w14:paraId="63E6FB61" w14:textId="77777777" w:rsidR="00F707D3" w:rsidRPr="00535561" w:rsidRDefault="00F707D3" w:rsidP="00A82C7D">
            <w:pPr>
              <w:snapToGrid w:val="0"/>
              <w:spacing w:after="0" w:line="240" w:lineRule="auto"/>
              <w:rPr>
                <w:rFonts w:ascii="Times New Roman" w:eastAsia="Times New Roman" w:hAnsi="Times New Roman"/>
                <w:position w:val="6"/>
              </w:rPr>
            </w:pPr>
            <w:r w:rsidRPr="00535561">
              <w:rPr>
                <w:rFonts w:ascii="Times New Roman" w:eastAsia="Times New Roman" w:hAnsi="Times New Roman"/>
                <w:position w:val="6"/>
              </w:rPr>
              <w:t>(Pareigų pavadinimas)</w:t>
            </w:r>
          </w:p>
        </w:tc>
        <w:tc>
          <w:tcPr>
            <w:tcW w:w="604" w:type="dxa"/>
          </w:tcPr>
          <w:p w14:paraId="2F46ADDE" w14:textId="77777777" w:rsidR="00F707D3" w:rsidRPr="00535561" w:rsidRDefault="00F707D3" w:rsidP="00F707D3">
            <w:pPr>
              <w:spacing w:after="0" w:line="240" w:lineRule="auto"/>
              <w:ind w:right="-1"/>
              <w:jc w:val="center"/>
              <w:rPr>
                <w:rFonts w:ascii="Times New Roman" w:hAnsi="Times New Roman"/>
                <w:lang w:eastAsia="lt-LT"/>
              </w:rPr>
            </w:pPr>
          </w:p>
        </w:tc>
        <w:tc>
          <w:tcPr>
            <w:tcW w:w="1980" w:type="dxa"/>
            <w:tcBorders>
              <w:top w:val="single" w:sz="4" w:space="0" w:color="auto"/>
              <w:left w:val="nil"/>
              <w:bottom w:val="nil"/>
              <w:right w:val="nil"/>
            </w:tcBorders>
          </w:tcPr>
          <w:p w14:paraId="4588EEF2" w14:textId="77777777" w:rsidR="00F707D3" w:rsidRPr="00535561" w:rsidRDefault="00F707D3" w:rsidP="00A82C7D">
            <w:pPr>
              <w:spacing w:after="0" w:line="240" w:lineRule="auto"/>
              <w:ind w:right="-1"/>
              <w:jc w:val="center"/>
              <w:rPr>
                <w:rFonts w:ascii="Times New Roman" w:hAnsi="Times New Roman"/>
                <w:lang w:eastAsia="lt-LT"/>
              </w:rPr>
            </w:pPr>
            <w:r w:rsidRPr="00535561">
              <w:rPr>
                <w:rFonts w:ascii="Times New Roman" w:hAnsi="Times New Roman"/>
                <w:position w:val="6"/>
                <w:lang w:eastAsia="lt-LT"/>
              </w:rPr>
              <w:t>(Parašas)</w:t>
            </w:r>
            <w:r w:rsidRPr="00535561">
              <w:rPr>
                <w:rFonts w:ascii="Times New Roman" w:hAnsi="Times New Roman"/>
                <w:i/>
                <w:lang w:eastAsia="lt-LT"/>
              </w:rPr>
              <w:t xml:space="preserve"> </w:t>
            </w:r>
          </w:p>
        </w:tc>
        <w:tc>
          <w:tcPr>
            <w:tcW w:w="701" w:type="dxa"/>
          </w:tcPr>
          <w:p w14:paraId="314396D4" w14:textId="77777777" w:rsidR="00F707D3" w:rsidRPr="00535561" w:rsidRDefault="00F707D3" w:rsidP="00F707D3">
            <w:pPr>
              <w:spacing w:after="0" w:line="240" w:lineRule="auto"/>
              <w:ind w:right="-1"/>
              <w:jc w:val="center"/>
              <w:rPr>
                <w:rFonts w:ascii="Times New Roman" w:hAnsi="Times New Roman"/>
                <w:lang w:eastAsia="lt-LT"/>
              </w:rPr>
            </w:pPr>
          </w:p>
        </w:tc>
        <w:tc>
          <w:tcPr>
            <w:tcW w:w="2611" w:type="dxa"/>
            <w:tcBorders>
              <w:top w:val="single" w:sz="4" w:space="0" w:color="auto"/>
              <w:left w:val="nil"/>
              <w:bottom w:val="nil"/>
              <w:right w:val="nil"/>
            </w:tcBorders>
          </w:tcPr>
          <w:p w14:paraId="08FDFF7D" w14:textId="77777777" w:rsidR="00F707D3" w:rsidRPr="00535561" w:rsidRDefault="00F707D3" w:rsidP="00A82C7D">
            <w:pPr>
              <w:spacing w:after="0" w:line="240" w:lineRule="auto"/>
              <w:ind w:right="-1"/>
              <w:jc w:val="center"/>
              <w:rPr>
                <w:rFonts w:ascii="Times New Roman" w:hAnsi="Times New Roman"/>
                <w:lang w:eastAsia="lt-LT"/>
              </w:rPr>
            </w:pPr>
            <w:r w:rsidRPr="00535561">
              <w:rPr>
                <w:rFonts w:ascii="Times New Roman" w:hAnsi="Times New Roman"/>
                <w:position w:val="6"/>
                <w:lang w:eastAsia="lt-LT"/>
              </w:rPr>
              <w:t>(Vardas ir pavardė)</w:t>
            </w:r>
            <w:r w:rsidRPr="00535561">
              <w:rPr>
                <w:rFonts w:ascii="Times New Roman" w:hAnsi="Times New Roman"/>
                <w:i/>
                <w:lang w:eastAsia="lt-LT"/>
              </w:rPr>
              <w:t xml:space="preserve"> </w:t>
            </w:r>
          </w:p>
        </w:tc>
        <w:tc>
          <w:tcPr>
            <w:tcW w:w="648" w:type="dxa"/>
          </w:tcPr>
          <w:p w14:paraId="133F01EE" w14:textId="77777777" w:rsidR="00F707D3" w:rsidRPr="00535561" w:rsidRDefault="00F707D3" w:rsidP="00F707D3">
            <w:pPr>
              <w:spacing w:after="0" w:line="240" w:lineRule="auto"/>
              <w:ind w:right="-1"/>
              <w:jc w:val="center"/>
              <w:rPr>
                <w:rFonts w:ascii="Times New Roman" w:hAnsi="Times New Roman"/>
                <w:lang w:eastAsia="lt-LT"/>
              </w:rPr>
            </w:pPr>
          </w:p>
        </w:tc>
      </w:tr>
    </w:tbl>
    <w:p w14:paraId="09551466" w14:textId="77777777" w:rsidR="00F707D3" w:rsidRPr="00535561" w:rsidRDefault="00F707D3" w:rsidP="00F707D3">
      <w:pPr>
        <w:spacing w:after="0" w:line="240" w:lineRule="auto"/>
        <w:ind w:firstLine="851"/>
        <w:jc w:val="both"/>
        <w:rPr>
          <w:rFonts w:ascii="Times New Roman" w:hAnsi="Times New Roman"/>
          <w:lang w:eastAsia="lt-LT"/>
        </w:rPr>
      </w:pPr>
    </w:p>
    <w:p w14:paraId="1FFC31D9" w14:textId="77777777" w:rsidR="006E7051" w:rsidRPr="00464FB9" w:rsidRDefault="006E7051">
      <w:pPr>
        <w:spacing w:after="0" w:line="240" w:lineRule="auto"/>
        <w:rPr>
          <w:rFonts w:ascii="Times New Roman" w:hAnsi="Times New Roman"/>
          <w:sz w:val="24"/>
          <w:szCs w:val="24"/>
        </w:rPr>
        <w:sectPr w:rsidR="006E7051" w:rsidRPr="00464FB9" w:rsidSect="003A0F59">
          <w:pgSz w:w="11906" w:h="16838"/>
          <w:pgMar w:top="993" w:right="1416" w:bottom="709" w:left="1701" w:header="454" w:footer="567" w:gutter="0"/>
          <w:cols w:space="1296"/>
          <w:titlePg/>
          <w:docGrid w:linePitch="360"/>
        </w:sectPr>
      </w:pPr>
    </w:p>
    <w:p w14:paraId="29110C6D" w14:textId="77777777" w:rsidR="00F855DD" w:rsidRDefault="006E1A5C" w:rsidP="006E1A5C">
      <w:pPr>
        <w:spacing w:after="0" w:line="240" w:lineRule="auto"/>
        <w:jc w:val="right"/>
        <w:rPr>
          <w:rFonts w:ascii="Times New Roman" w:hAnsi="Times New Roman"/>
          <w:sz w:val="24"/>
          <w:szCs w:val="24"/>
          <w:lang w:val="en-US"/>
        </w:rPr>
      </w:pPr>
      <w:r>
        <w:rPr>
          <w:rFonts w:ascii="Times New Roman" w:hAnsi="Times New Roman"/>
          <w:sz w:val="24"/>
          <w:szCs w:val="24"/>
        </w:rPr>
        <w:lastRenderedPageBreak/>
        <w:t xml:space="preserve">Prašymo </w:t>
      </w:r>
      <w:r w:rsidRPr="00535561">
        <w:rPr>
          <w:rFonts w:ascii="Times New Roman" w:eastAsia="Times New Roman" w:hAnsi="Times New Roman"/>
          <w:lang w:eastAsia="lt-LT"/>
        </w:rPr>
        <w:t>1</w:t>
      </w:r>
      <w:r w:rsidRPr="00464FB9">
        <w:rPr>
          <w:rFonts w:ascii="Times New Roman" w:hAnsi="Times New Roman"/>
          <w:sz w:val="24"/>
          <w:szCs w:val="24"/>
          <w:lang w:val="en-US"/>
        </w:rPr>
        <w:t xml:space="preserve"> priedas</w:t>
      </w:r>
    </w:p>
    <w:p w14:paraId="0E168D17" w14:textId="77777777" w:rsidR="00FE7CF5" w:rsidRDefault="00FE7CF5" w:rsidP="006E1A5C">
      <w:pPr>
        <w:spacing w:after="0" w:line="240" w:lineRule="auto"/>
        <w:jc w:val="right"/>
        <w:rPr>
          <w:rFonts w:ascii="Times New Roman" w:hAnsi="Times New Roman"/>
          <w:sz w:val="24"/>
          <w:szCs w:val="24"/>
          <w:lang w:val="en-US"/>
        </w:rPr>
      </w:pPr>
    </w:p>
    <w:p w14:paraId="122F5684" w14:textId="77777777" w:rsidR="00FE7CF5" w:rsidRPr="00FE7CF5" w:rsidRDefault="00FE7CF5" w:rsidP="00FE7CF5">
      <w:pPr>
        <w:spacing w:after="0" w:line="240" w:lineRule="auto"/>
        <w:jc w:val="center"/>
        <w:rPr>
          <w:rFonts w:ascii="Times New Roman" w:hAnsi="Times New Roman"/>
          <w:b/>
          <w:sz w:val="24"/>
          <w:szCs w:val="24"/>
          <w:lang w:val="en-US"/>
        </w:rPr>
      </w:pPr>
      <w:r w:rsidRPr="00FE7CF5">
        <w:rPr>
          <w:rFonts w:ascii="Times New Roman" w:hAnsi="Times New Roman"/>
          <w:b/>
          <w:sz w:val="24"/>
          <w:szCs w:val="24"/>
          <w:lang w:val="en-US"/>
        </w:rPr>
        <w:t>PAŽYMA APIE ATITIKIMĄ TINKAMUMO REIKALAVIMAMS</w:t>
      </w:r>
    </w:p>
    <w:p w14:paraId="3D16D168" w14:textId="77777777" w:rsidR="006E1A5C" w:rsidRDefault="006E1A5C" w:rsidP="006E1A5C">
      <w:pPr>
        <w:spacing w:after="0" w:line="240" w:lineRule="auto"/>
        <w:jc w:val="right"/>
        <w:rPr>
          <w:rFonts w:ascii="Times New Roman" w:hAnsi="Times New Roman"/>
          <w:sz w:val="24"/>
          <w:szCs w:val="24"/>
          <w:lang w:val="en-US"/>
        </w:rPr>
      </w:pPr>
    </w:p>
    <w:tbl>
      <w:tblPr>
        <w:tblStyle w:val="TableGrid2"/>
        <w:tblW w:w="15304" w:type="dxa"/>
        <w:tblLook w:val="04A0" w:firstRow="1" w:lastRow="0" w:firstColumn="1" w:lastColumn="0" w:noHBand="0" w:noVBand="1"/>
      </w:tblPr>
      <w:tblGrid>
        <w:gridCol w:w="3539"/>
        <w:gridCol w:w="3260"/>
        <w:gridCol w:w="4395"/>
        <w:gridCol w:w="4110"/>
      </w:tblGrid>
      <w:tr w:rsidR="006E1A5C" w:rsidRPr="00E0686E" w14:paraId="122A09E8" w14:textId="77777777" w:rsidTr="00FE7CF5">
        <w:tc>
          <w:tcPr>
            <w:tcW w:w="3539" w:type="dxa"/>
          </w:tcPr>
          <w:p w14:paraId="2F6C5940" w14:textId="77777777" w:rsidR="006E1A5C" w:rsidRPr="00F30EC1" w:rsidRDefault="006E1A5C" w:rsidP="006E1A5C">
            <w:pPr>
              <w:spacing w:after="0"/>
              <w:jc w:val="both"/>
              <w:rPr>
                <w:rFonts w:ascii="Times New Roman" w:hAnsi="Times New Roman" w:cs="Times New Roman"/>
                <w:b/>
                <w:bCs/>
              </w:rPr>
            </w:pPr>
            <w:r w:rsidRPr="00F30EC1">
              <w:rPr>
                <w:rFonts w:ascii="Times New Roman" w:hAnsi="Times New Roman" w:cs="Times New Roman"/>
                <w:b/>
                <w:bCs/>
              </w:rPr>
              <w:t>Kriterijus</w:t>
            </w:r>
          </w:p>
        </w:tc>
        <w:tc>
          <w:tcPr>
            <w:tcW w:w="3260" w:type="dxa"/>
          </w:tcPr>
          <w:p w14:paraId="6AA8B740" w14:textId="77777777" w:rsidR="006E1A5C" w:rsidRPr="00E0686E" w:rsidRDefault="006E1A5C" w:rsidP="006E1A5C">
            <w:pPr>
              <w:spacing w:after="0"/>
              <w:jc w:val="both"/>
              <w:rPr>
                <w:rFonts w:ascii="Times New Roman" w:hAnsi="Times New Roman" w:cs="Times New Roman"/>
                <w:b/>
                <w:bCs/>
              </w:rPr>
            </w:pPr>
            <w:r w:rsidRPr="00E0686E">
              <w:rPr>
                <w:rFonts w:ascii="Times New Roman" w:hAnsi="Times New Roman" w:cs="Times New Roman"/>
                <w:b/>
                <w:bCs/>
              </w:rPr>
              <w:t xml:space="preserve">Lietuvos banko prižiūrimas </w:t>
            </w:r>
            <w:r>
              <w:rPr>
                <w:rFonts w:ascii="Times New Roman" w:hAnsi="Times New Roman" w:cs="Times New Roman"/>
                <w:b/>
                <w:bCs/>
              </w:rPr>
              <w:t>FT</w:t>
            </w:r>
          </w:p>
        </w:tc>
        <w:tc>
          <w:tcPr>
            <w:tcW w:w="4395" w:type="dxa"/>
          </w:tcPr>
          <w:p w14:paraId="658B0BA2" w14:textId="77777777" w:rsidR="006E1A5C" w:rsidRPr="00E0686E" w:rsidRDefault="006E1A5C" w:rsidP="006E1A5C">
            <w:pPr>
              <w:spacing w:after="0"/>
              <w:jc w:val="both"/>
              <w:rPr>
                <w:rFonts w:ascii="Times New Roman" w:hAnsi="Times New Roman" w:cs="Times New Roman"/>
                <w:b/>
                <w:bCs/>
              </w:rPr>
            </w:pPr>
            <w:r w:rsidRPr="00E0686E">
              <w:rPr>
                <w:rFonts w:ascii="Times New Roman" w:hAnsi="Times New Roman" w:cs="Times New Roman"/>
                <w:b/>
                <w:bCs/>
              </w:rPr>
              <w:t xml:space="preserve">Lietuvos banko neprižiūrimas </w:t>
            </w:r>
            <w:r>
              <w:rPr>
                <w:rFonts w:ascii="Times New Roman" w:hAnsi="Times New Roman" w:cs="Times New Roman"/>
                <w:b/>
                <w:bCs/>
              </w:rPr>
              <w:t>FT</w:t>
            </w:r>
          </w:p>
        </w:tc>
        <w:tc>
          <w:tcPr>
            <w:tcW w:w="4110" w:type="dxa"/>
          </w:tcPr>
          <w:p w14:paraId="224A2995" w14:textId="1C5AC345" w:rsidR="006E1A5C" w:rsidRPr="00E0686E" w:rsidRDefault="009D0109" w:rsidP="006E1A5C">
            <w:pPr>
              <w:spacing w:after="0"/>
              <w:jc w:val="both"/>
              <w:rPr>
                <w:rFonts w:ascii="Times New Roman" w:hAnsi="Times New Roman"/>
                <w:b/>
                <w:bCs/>
              </w:rPr>
            </w:pPr>
            <w:r>
              <w:rPr>
                <w:rFonts w:ascii="Times New Roman" w:hAnsi="Times New Roman"/>
                <w:b/>
                <w:bCs/>
              </w:rPr>
              <w:t xml:space="preserve">Žemiau šioje skiltyje įrašomi žodžiai:  </w:t>
            </w:r>
            <w:r w:rsidR="00A91FD3">
              <w:rPr>
                <w:rFonts w:ascii="Times New Roman" w:hAnsi="Times New Roman"/>
                <w:b/>
                <w:bCs/>
              </w:rPr>
              <w:t>„</w:t>
            </w:r>
            <w:r>
              <w:rPr>
                <w:rFonts w:ascii="Times New Roman" w:hAnsi="Times New Roman"/>
                <w:b/>
                <w:bCs/>
              </w:rPr>
              <w:t>K</w:t>
            </w:r>
            <w:r w:rsidR="00FE7CF5">
              <w:rPr>
                <w:rFonts w:ascii="Times New Roman" w:hAnsi="Times New Roman"/>
                <w:b/>
                <w:bCs/>
              </w:rPr>
              <w:t>riterijų atitinkame</w:t>
            </w:r>
            <w:r w:rsidR="006E1A5C">
              <w:rPr>
                <w:rFonts w:ascii="Times New Roman" w:hAnsi="Times New Roman"/>
                <w:b/>
                <w:bCs/>
              </w:rPr>
              <w:t>“ ir</w:t>
            </w:r>
            <w:r w:rsidR="00430C78">
              <w:rPr>
                <w:rFonts w:ascii="Times New Roman" w:hAnsi="Times New Roman"/>
                <w:b/>
                <w:bCs/>
              </w:rPr>
              <w:t xml:space="preserve"> </w:t>
            </w:r>
            <w:r w:rsidR="006E1A5C">
              <w:rPr>
                <w:rFonts w:ascii="Times New Roman" w:hAnsi="Times New Roman"/>
                <w:b/>
                <w:bCs/>
              </w:rPr>
              <w:t>nurodoma kur</w:t>
            </w:r>
            <w:r>
              <w:rPr>
                <w:rFonts w:ascii="Times New Roman" w:hAnsi="Times New Roman"/>
                <w:b/>
                <w:bCs/>
              </w:rPr>
              <w:t xml:space="preserve"> pateikiame</w:t>
            </w:r>
            <w:r w:rsidR="006E1A5C">
              <w:rPr>
                <w:rFonts w:ascii="Times New Roman" w:hAnsi="Times New Roman"/>
                <w:b/>
                <w:bCs/>
              </w:rPr>
              <w:t xml:space="preserve"> atitikimą patvirtinanti informacija </w:t>
            </w:r>
            <w:r>
              <w:rPr>
                <w:rFonts w:ascii="Times New Roman" w:hAnsi="Times New Roman"/>
                <w:b/>
                <w:bCs/>
              </w:rPr>
              <w:t>arba „Kriterijaus neatitinkame“ ir pateikiamas paaiškinimas</w:t>
            </w:r>
          </w:p>
        </w:tc>
      </w:tr>
      <w:tr w:rsidR="006E1A5C" w:rsidRPr="00E0686E" w14:paraId="387804EB" w14:textId="77777777" w:rsidTr="00FE7CF5">
        <w:tc>
          <w:tcPr>
            <w:tcW w:w="3539" w:type="dxa"/>
          </w:tcPr>
          <w:p w14:paraId="71CAB569" w14:textId="77777777" w:rsidR="006E1A5C" w:rsidRPr="00F30EC1" w:rsidRDefault="006E1A5C" w:rsidP="006E1A5C">
            <w:pPr>
              <w:spacing w:after="0"/>
              <w:jc w:val="both"/>
              <w:rPr>
                <w:rFonts w:ascii="Times New Roman" w:hAnsi="Times New Roman" w:cs="Times New Roman"/>
                <w:b/>
                <w:bCs/>
              </w:rPr>
            </w:pPr>
            <w:r w:rsidRPr="00F30EC1">
              <w:rPr>
                <w:rFonts w:ascii="Times New Roman" w:hAnsi="Times New Roman"/>
                <w:b/>
                <w:bCs/>
              </w:rPr>
              <w:t>FT yra finansų įstaiga, veikianti pagal Lietuvos Respublikos finansų įstaigų įstatymą, turinti teisę teikti finansines paslaugas</w:t>
            </w:r>
          </w:p>
        </w:tc>
        <w:tc>
          <w:tcPr>
            <w:tcW w:w="3260" w:type="dxa"/>
          </w:tcPr>
          <w:p w14:paraId="089E7CD3" w14:textId="77777777" w:rsidR="006E1A5C" w:rsidRPr="00E0686E" w:rsidRDefault="006E1A5C" w:rsidP="006E1A5C">
            <w:pPr>
              <w:spacing w:after="0"/>
              <w:jc w:val="both"/>
              <w:rPr>
                <w:rFonts w:ascii="Times New Roman" w:hAnsi="Times New Roman" w:cs="Times New Roman"/>
              </w:rPr>
            </w:pPr>
            <w:r>
              <w:rPr>
                <w:rFonts w:ascii="Times New Roman" w:hAnsi="Times New Roman" w:cs="Times New Roman"/>
              </w:rPr>
              <w:t>FT yra Lietuvos banko prižiūrimų finansų rinkų dalyvių sąraše</w:t>
            </w:r>
          </w:p>
        </w:tc>
        <w:tc>
          <w:tcPr>
            <w:tcW w:w="4395" w:type="dxa"/>
          </w:tcPr>
          <w:p w14:paraId="432771E9" w14:textId="77777777" w:rsidR="006E1A5C" w:rsidRPr="00E0686E" w:rsidRDefault="006E1A5C" w:rsidP="006E1A5C">
            <w:pPr>
              <w:spacing w:after="0"/>
              <w:jc w:val="both"/>
              <w:rPr>
                <w:rFonts w:ascii="Times New Roman" w:hAnsi="Times New Roman" w:cs="Times New Roman"/>
              </w:rPr>
            </w:pPr>
            <w:r>
              <w:rPr>
                <w:rFonts w:ascii="Times New Roman" w:hAnsi="Times New Roman" w:cs="Times New Roman"/>
              </w:rPr>
              <w:t>FT</w:t>
            </w:r>
            <w:r w:rsidRPr="00E0686E">
              <w:rPr>
                <w:rFonts w:ascii="Times New Roman" w:hAnsi="Times New Roman" w:cs="Times New Roman"/>
              </w:rPr>
              <w:t xml:space="preserve"> </w:t>
            </w:r>
            <w:r>
              <w:rPr>
                <w:rFonts w:ascii="Times New Roman" w:hAnsi="Times New Roman" w:cs="Times New Roman"/>
              </w:rPr>
              <w:t xml:space="preserve">turi </w:t>
            </w:r>
            <w:r w:rsidRPr="00E0686E">
              <w:rPr>
                <w:rFonts w:ascii="Times New Roman" w:hAnsi="Times New Roman" w:cs="Times New Roman"/>
              </w:rPr>
              <w:t xml:space="preserve">teisę teikti </w:t>
            </w:r>
            <w:r>
              <w:rPr>
                <w:rFonts w:ascii="Times New Roman" w:hAnsi="Times New Roman" w:cs="Times New Roman"/>
              </w:rPr>
              <w:t>finansavimo</w:t>
            </w:r>
            <w:r w:rsidRPr="00E0686E">
              <w:rPr>
                <w:rFonts w:ascii="Times New Roman" w:hAnsi="Times New Roman" w:cs="Times New Roman"/>
              </w:rPr>
              <w:t xml:space="preserve"> paslaugas</w:t>
            </w:r>
          </w:p>
        </w:tc>
        <w:tc>
          <w:tcPr>
            <w:tcW w:w="4110" w:type="dxa"/>
          </w:tcPr>
          <w:p w14:paraId="5B49C784" w14:textId="77777777" w:rsidR="006E1A5C" w:rsidRPr="00E0686E" w:rsidRDefault="006E1A5C" w:rsidP="006E1A5C">
            <w:pPr>
              <w:spacing w:after="0"/>
              <w:jc w:val="both"/>
              <w:rPr>
                <w:rFonts w:ascii="Times New Roman" w:hAnsi="Times New Roman"/>
              </w:rPr>
            </w:pPr>
          </w:p>
        </w:tc>
      </w:tr>
      <w:tr w:rsidR="006E1A5C" w:rsidRPr="00E0686E" w14:paraId="3227D2DB" w14:textId="77777777" w:rsidTr="00FE7CF5">
        <w:tc>
          <w:tcPr>
            <w:tcW w:w="3539" w:type="dxa"/>
          </w:tcPr>
          <w:p w14:paraId="6F618FC6" w14:textId="77777777" w:rsidR="006E1A5C" w:rsidRPr="00F30EC1" w:rsidRDefault="006E1A5C" w:rsidP="006E1A5C">
            <w:pPr>
              <w:spacing w:after="0"/>
              <w:jc w:val="both"/>
              <w:rPr>
                <w:rFonts w:ascii="Times New Roman" w:hAnsi="Times New Roman" w:cs="Times New Roman"/>
                <w:b/>
                <w:bCs/>
              </w:rPr>
            </w:pPr>
            <w:r w:rsidRPr="00F30EC1">
              <w:rPr>
                <w:rFonts w:ascii="Times New Roman" w:hAnsi="Times New Roman" w:cs="Times New Roman"/>
                <w:b/>
                <w:bCs/>
              </w:rPr>
              <w:t>FT ir jo grupės valdymo struktūra</w:t>
            </w:r>
          </w:p>
        </w:tc>
        <w:tc>
          <w:tcPr>
            <w:tcW w:w="3260" w:type="dxa"/>
          </w:tcPr>
          <w:p w14:paraId="0CD5880F"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Nereikia pateikti</w:t>
            </w:r>
          </w:p>
        </w:tc>
        <w:tc>
          <w:tcPr>
            <w:tcW w:w="4395" w:type="dxa"/>
          </w:tcPr>
          <w:p w14:paraId="76D154ED"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Privaloma pateikti</w:t>
            </w:r>
          </w:p>
        </w:tc>
        <w:tc>
          <w:tcPr>
            <w:tcW w:w="4110" w:type="dxa"/>
          </w:tcPr>
          <w:p w14:paraId="57B4121D" w14:textId="77777777" w:rsidR="006E1A5C" w:rsidRPr="00E0686E" w:rsidRDefault="006E1A5C" w:rsidP="006E1A5C">
            <w:pPr>
              <w:spacing w:after="0"/>
              <w:jc w:val="both"/>
              <w:rPr>
                <w:rFonts w:ascii="Times New Roman" w:hAnsi="Times New Roman"/>
              </w:rPr>
            </w:pPr>
          </w:p>
        </w:tc>
      </w:tr>
      <w:tr w:rsidR="006E1A5C" w:rsidRPr="00E0686E" w14:paraId="3B9241E3" w14:textId="77777777" w:rsidTr="00FE7CF5">
        <w:trPr>
          <w:trHeight w:val="1833"/>
        </w:trPr>
        <w:tc>
          <w:tcPr>
            <w:tcW w:w="3539" w:type="dxa"/>
            <w:vMerge w:val="restart"/>
          </w:tcPr>
          <w:p w14:paraId="3CD0D9C0" w14:textId="77777777" w:rsidR="006E1A5C" w:rsidRPr="003929B4" w:rsidRDefault="006E1A5C" w:rsidP="006E1A5C">
            <w:pPr>
              <w:spacing w:after="0"/>
              <w:jc w:val="both"/>
              <w:rPr>
                <w:rFonts w:ascii="Times New Roman" w:hAnsi="Times New Roman" w:cs="Times New Roman"/>
                <w:b/>
                <w:bCs/>
              </w:rPr>
            </w:pPr>
            <w:r w:rsidRPr="003929B4">
              <w:rPr>
                <w:rFonts w:ascii="Times New Roman" w:hAnsi="Times New Roman" w:cs="Times New Roman"/>
                <w:b/>
                <w:bCs/>
              </w:rPr>
              <w:t>Patirtis ir reputacija</w:t>
            </w:r>
          </w:p>
        </w:tc>
        <w:tc>
          <w:tcPr>
            <w:tcW w:w="3260" w:type="dxa"/>
          </w:tcPr>
          <w:p w14:paraId="333E6B73" w14:textId="76C24D0C"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Neturi būti taikomos</w:t>
            </w:r>
            <w:r w:rsidR="00C02EEC">
              <w:rPr>
                <w:rFonts w:ascii="Times New Roman" w:hAnsi="Times New Roman" w:cs="Times New Roman"/>
              </w:rPr>
              <w:t xml:space="preserve"> Lietuvos banko</w:t>
            </w:r>
            <w:r w:rsidRPr="00E0686E">
              <w:rPr>
                <w:rFonts w:ascii="Times New Roman" w:hAnsi="Times New Roman" w:cs="Times New Roman"/>
              </w:rPr>
              <w:t xml:space="preserve"> poveikio priemonės</w:t>
            </w:r>
            <w:r w:rsidR="00C02EEC">
              <w:rPr>
                <w:rFonts w:ascii="Times New Roman" w:hAnsi="Times New Roman" w:cs="Times New Roman"/>
              </w:rPr>
              <w:t>, išskyrus įspėjimą,</w:t>
            </w:r>
            <w:r w:rsidRPr="00E0686E">
              <w:rPr>
                <w:rFonts w:ascii="Times New Roman" w:hAnsi="Times New Roman" w:cs="Times New Roman"/>
              </w:rPr>
              <w:t xml:space="preserve"> ar veiklos apribojimai</w:t>
            </w:r>
            <w:r w:rsidR="00C02EEC">
              <w:rPr>
                <w:rFonts w:ascii="Times New Roman" w:hAnsi="Times New Roman" w:cs="Times New Roman"/>
              </w:rPr>
              <w:t>,</w:t>
            </w:r>
            <w:r w:rsidRPr="00E0686E">
              <w:rPr>
                <w:rFonts w:ascii="Times New Roman" w:hAnsi="Times New Roman" w:cs="Times New Roman"/>
              </w:rPr>
              <w:t xml:space="preserve"> remiantis Lietuvos banko duomenimis</w:t>
            </w:r>
            <w:r>
              <w:rPr>
                <w:rFonts w:ascii="Times New Roman" w:hAnsi="Times New Roman" w:cs="Times New Roman"/>
              </w:rPr>
              <w:t>*</w:t>
            </w:r>
          </w:p>
        </w:tc>
        <w:tc>
          <w:tcPr>
            <w:tcW w:w="4395" w:type="dxa"/>
          </w:tcPr>
          <w:p w14:paraId="7CACE64D" w14:textId="446C7A53" w:rsidR="006E1A5C" w:rsidRPr="00E0686E" w:rsidRDefault="006E1A5C" w:rsidP="006E1A5C">
            <w:pPr>
              <w:spacing w:after="0"/>
              <w:jc w:val="both"/>
              <w:rPr>
                <w:rFonts w:ascii="Times New Roman" w:hAnsi="Times New Roman" w:cs="Times New Roman"/>
              </w:rPr>
            </w:pPr>
            <w:r w:rsidRPr="00336EA2">
              <w:rPr>
                <w:rFonts w:ascii="Times New Roman" w:hAnsi="Times New Roman"/>
              </w:rPr>
              <w:t>FT, su juo susiję asmenys</w:t>
            </w:r>
            <w:r w:rsidRPr="00A82C7D">
              <w:rPr>
                <w:rFonts w:ascii="Times New Roman" w:hAnsi="Times New Roman"/>
              </w:rPr>
              <w:t>**</w:t>
            </w:r>
            <w:r w:rsidR="00551A54">
              <w:rPr>
                <w:rFonts w:ascii="Times New Roman" w:hAnsi="Times New Roman"/>
              </w:rPr>
              <w:t>*</w:t>
            </w:r>
            <w:r w:rsidRPr="00336EA2">
              <w:rPr>
                <w:rFonts w:ascii="Times New Roman" w:hAnsi="Times New Roman"/>
              </w:rPr>
              <w:t xml:space="preserve"> </w:t>
            </w:r>
            <w:r>
              <w:rPr>
                <w:rFonts w:ascii="Times New Roman" w:hAnsi="Times New Roman"/>
              </w:rPr>
              <w:t>ir</w:t>
            </w:r>
            <w:r w:rsidRPr="00336EA2">
              <w:rPr>
                <w:rFonts w:ascii="Times New Roman" w:hAnsi="Times New Roman"/>
              </w:rPr>
              <w:t xml:space="preserve"> administracijos, valdymo ir (ar) priežiūros organų nariai, turintys FT atstovavimo, sprendimo ar kontrolės įgaliojimus, negali būti minimi su korupcija susijusiuose viešai prieinamuose finansinių institucijų sankcijų sąrašuose</w:t>
            </w:r>
          </w:p>
        </w:tc>
        <w:tc>
          <w:tcPr>
            <w:tcW w:w="4110" w:type="dxa"/>
          </w:tcPr>
          <w:p w14:paraId="100C1BC6" w14:textId="77777777" w:rsidR="006E1A5C" w:rsidRPr="00E0686E" w:rsidRDefault="006E1A5C" w:rsidP="006E1A5C">
            <w:pPr>
              <w:spacing w:after="0"/>
              <w:jc w:val="both"/>
              <w:rPr>
                <w:rFonts w:ascii="Times New Roman" w:hAnsi="Times New Roman"/>
              </w:rPr>
            </w:pPr>
          </w:p>
        </w:tc>
      </w:tr>
      <w:tr w:rsidR="006E1A5C" w:rsidRPr="00E0686E" w14:paraId="433588C3" w14:textId="77777777" w:rsidTr="00FE7CF5">
        <w:tc>
          <w:tcPr>
            <w:tcW w:w="3539" w:type="dxa"/>
            <w:vMerge/>
          </w:tcPr>
          <w:p w14:paraId="74F67BD3" w14:textId="77777777" w:rsidR="006E1A5C" w:rsidRPr="003929B4" w:rsidRDefault="006E1A5C" w:rsidP="006E1A5C">
            <w:pPr>
              <w:spacing w:after="0"/>
              <w:jc w:val="both"/>
              <w:rPr>
                <w:rFonts w:ascii="Times New Roman" w:hAnsi="Times New Roman" w:cs="Times New Roman"/>
                <w:b/>
                <w:bCs/>
              </w:rPr>
            </w:pPr>
          </w:p>
        </w:tc>
        <w:tc>
          <w:tcPr>
            <w:tcW w:w="3260" w:type="dxa"/>
          </w:tcPr>
          <w:p w14:paraId="2EF9501B" w14:textId="77777777" w:rsidR="006E1A5C" w:rsidRPr="00E0686E" w:rsidRDefault="006E1A5C" w:rsidP="006E1A5C">
            <w:pPr>
              <w:spacing w:after="0"/>
              <w:jc w:val="both"/>
              <w:rPr>
                <w:rFonts w:ascii="Times New Roman" w:hAnsi="Times New Roman" w:cs="Times New Roman"/>
              </w:rPr>
            </w:pPr>
            <w:r>
              <w:rPr>
                <w:rFonts w:ascii="Times New Roman" w:hAnsi="Times New Roman" w:cs="Times New Roman"/>
              </w:rPr>
              <w:t>V</w:t>
            </w:r>
            <w:r w:rsidRPr="00DB04D2">
              <w:rPr>
                <w:rFonts w:ascii="Times New Roman" w:hAnsi="Times New Roman" w:cs="Times New Roman"/>
              </w:rPr>
              <w:t>adovai ir kreditavimo sprendimus priimantys asmenys turi turėti atitinkamą kvalifikaciją ir patirtį, leidžiančią tinkamai eiti pareigas</w:t>
            </w:r>
            <w:r>
              <w:rPr>
                <w:rFonts w:ascii="Times New Roman" w:hAnsi="Times New Roman" w:cs="Times New Roman"/>
              </w:rPr>
              <w:t>*</w:t>
            </w:r>
          </w:p>
        </w:tc>
        <w:tc>
          <w:tcPr>
            <w:tcW w:w="4395" w:type="dxa"/>
          </w:tcPr>
          <w:p w14:paraId="2D82D86D" w14:textId="77777777" w:rsidR="006E1A5C" w:rsidRPr="00DB04D2" w:rsidRDefault="006E1A5C" w:rsidP="006E1A5C">
            <w:pPr>
              <w:spacing w:after="0"/>
              <w:jc w:val="both"/>
              <w:rPr>
                <w:rFonts w:ascii="Times New Roman" w:hAnsi="Times New Roman" w:cs="Times New Roman"/>
              </w:rPr>
            </w:pPr>
            <w:r>
              <w:rPr>
                <w:rFonts w:ascii="Times New Roman" w:hAnsi="Times New Roman" w:cs="Times New Roman"/>
              </w:rPr>
              <w:t>FT v</w:t>
            </w:r>
            <w:r w:rsidRPr="00DB04D2">
              <w:rPr>
                <w:rFonts w:ascii="Times New Roman" w:hAnsi="Times New Roman" w:cs="Times New Roman"/>
              </w:rPr>
              <w:t>adovai ir kreditavimo sprendimus priimantys asmenys turi turėti atitinkamą kvalifikaciją ir patirtį, leidžiančią tinkamai eiti pareigas</w:t>
            </w:r>
          </w:p>
          <w:p w14:paraId="0FB5A56B" w14:textId="77777777" w:rsidR="006E1A5C" w:rsidRPr="00E0686E" w:rsidRDefault="006E1A5C" w:rsidP="006E1A5C">
            <w:pPr>
              <w:spacing w:after="0"/>
              <w:jc w:val="both"/>
              <w:rPr>
                <w:rFonts w:ascii="Times New Roman" w:hAnsi="Times New Roman" w:cs="Times New Roman"/>
              </w:rPr>
            </w:pPr>
          </w:p>
        </w:tc>
        <w:tc>
          <w:tcPr>
            <w:tcW w:w="4110" w:type="dxa"/>
          </w:tcPr>
          <w:p w14:paraId="4697A8DA" w14:textId="77777777" w:rsidR="006E1A5C" w:rsidRPr="00E0686E" w:rsidRDefault="006E1A5C" w:rsidP="006E1A5C">
            <w:pPr>
              <w:spacing w:after="0"/>
              <w:jc w:val="both"/>
              <w:rPr>
                <w:rFonts w:ascii="Times New Roman" w:hAnsi="Times New Roman"/>
              </w:rPr>
            </w:pPr>
          </w:p>
        </w:tc>
      </w:tr>
      <w:tr w:rsidR="006E1A5C" w:rsidRPr="00E0686E" w14:paraId="6FDE1C9D" w14:textId="77777777" w:rsidTr="00FE7CF5">
        <w:tc>
          <w:tcPr>
            <w:tcW w:w="3539" w:type="dxa"/>
          </w:tcPr>
          <w:p w14:paraId="77CC8B4F" w14:textId="77777777" w:rsidR="006E1A5C" w:rsidRPr="000E56E8" w:rsidRDefault="006E1A5C" w:rsidP="006E1A5C">
            <w:pPr>
              <w:spacing w:after="0"/>
              <w:jc w:val="both"/>
              <w:rPr>
                <w:rFonts w:ascii="Times New Roman" w:hAnsi="Times New Roman"/>
                <w:b/>
                <w:bCs/>
              </w:rPr>
            </w:pPr>
          </w:p>
        </w:tc>
        <w:tc>
          <w:tcPr>
            <w:tcW w:w="3260" w:type="dxa"/>
          </w:tcPr>
          <w:p w14:paraId="7D095A2B" w14:textId="77777777" w:rsidR="006E1A5C" w:rsidRPr="00E0686E" w:rsidRDefault="006E1A5C" w:rsidP="006E1A5C">
            <w:pPr>
              <w:spacing w:after="0"/>
              <w:jc w:val="both"/>
              <w:rPr>
                <w:rFonts w:ascii="Times New Roman" w:hAnsi="Times New Roman"/>
              </w:rPr>
            </w:pPr>
            <w:r>
              <w:rPr>
                <w:rFonts w:ascii="Times New Roman" w:hAnsi="Times New Roman" w:cs="Times New Roman"/>
              </w:rPr>
              <w:t>A</w:t>
            </w:r>
            <w:r w:rsidRPr="00336EA2">
              <w:rPr>
                <w:rFonts w:ascii="Times New Roman" w:hAnsi="Times New Roman" w:cs="Times New Roman"/>
              </w:rPr>
              <w:t>dministracijos, valdymo ir (ar) priežiūros organų nariai, turintys FT atstovavimo, sprendimo ar kontrolės įgaliojimus, turi būti nepriekaištingos reputacijos</w:t>
            </w:r>
            <w:r>
              <w:rPr>
                <w:rFonts w:ascii="Times New Roman" w:hAnsi="Times New Roman" w:cs="Times New Roman"/>
              </w:rPr>
              <w:t>*</w:t>
            </w:r>
          </w:p>
        </w:tc>
        <w:tc>
          <w:tcPr>
            <w:tcW w:w="4395" w:type="dxa"/>
          </w:tcPr>
          <w:p w14:paraId="6AD52937" w14:textId="109DAE47" w:rsidR="006E1A5C" w:rsidRPr="000E56E8" w:rsidRDefault="006E1A5C" w:rsidP="006E1A5C">
            <w:pPr>
              <w:spacing w:after="0"/>
              <w:jc w:val="both"/>
              <w:rPr>
                <w:rFonts w:ascii="Times New Roman" w:hAnsi="Times New Roman"/>
                <w:strike/>
              </w:rPr>
            </w:pPr>
            <w:r w:rsidRPr="00336EA2">
              <w:rPr>
                <w:rFonts w:ascii="Times New Roman" w:hAnsi="Times New Roman" w:cs="Times New Roman"/>
              </w:rPr>
              <w:t>FT administracijos, valdymo ir (ar) priežiūros organų nariai, turintys FT atstovavimo, sprendimo ar kontrolės įgaliojimus, turi būti nepriekaištingos reputacijos</w:t>
            </w:r>
            <w:r>
              <w:rPr>
                <w:rFonts w:ascii="Times New Roman" w:hAnsi="Times New Roman" w:cs="Times New Roman"/>
              </w:rPr>
              <w:t>***</w:t>
            </w:r>
            <w:r w:rsidR="00551A54">
              <w:rPr>
                <w:rFonts w:ascii="Times New Roman" w:hAnsi="Times New Roman" w:cs="Times New Roman"/>
              </w:rPr>
              <w:t>*</w:t>
            </w:r>
          </w:p>
        </w:tc>
        <w:tc>
          <w:tcPr>
            <w:tcW w:w="4110" w:type="dxa"/>
          </w:tcPr>
          <w:p w14:paraId="0E9B1E17" w14:textId="77777777" w:rsidR="006E1A5C" w:rsidRPr="000E56E8" w:rsidRDefault="006E1A5C" w:rsidP="006E1A5C">
            <w:pPr>
              <w:spacing w:after="0"/>
              <w:jc w:val="both"/>
              <w:rPr>
                <w:rFonts w:ascii="Times New Roman" w:hAnsi="Times New Roman"/>
              </w:rPr>
            </w:pPr>
          </w:p>
        </w:tc>
      </w:tr>
      <w:tr w:rsidR="006E1A5C" w:rsidRPr="00E0686E" w14:paraId="7E7680A4" w14:textId="77777777" w:rsidTr="00FE7CF5">
        <w:tc>
          <w:tcPr>
            <w:tcW w:w="3539" w:type="dxa"/>
            <w:vMerge w:val="restart"/>
          </w:tcPr>
          <w:p w14:paraId="36FC9F15" w14:textId="77777777" w:rsidR="006E1A5C" w:rsidRPr="003929B4" w:rsidRDefault="006E1A5C" w:rsidP="006E1A5C">
            <w:pPr>
              <w:spacing w:after="0"/>
              <w:jc w:val="both"/>
              <w:rPr>
                <w:rFonts w:ascii="Times New Roman" w:hAnsi="Times New Roman" w:cs="Times New Roman"/>
                <w:b/>
                <w:bCs/>
              </w:rPr>
            </w:pPr>
            <w:r w:rsidRPr="003929B4">
              <w:rPr>
                <w:rFonts w:ascii="Times New Roman" w:hAnsi="Times New Roman" w:cs="Times New Roman"/>
                <w:b/>
                <w:bCs/>
              </w:rPr>
              <w:lastRenderedPageBreak/>
              <w:t>Finansiniai reikalavimai ir normatyvai</w:t>
            </w:r>
          </w:p>
        </w:tc>
        <w:tc>
          <w:tcPr>
            <w:tcW w:w="3260" w:type="dxa"/>
          </w:tcPr>
          <w:p w14:paraId="146FBFC6" w14:textId="77777777" w:rsidR="006E1A5C" w:rsidRPr="00204052" w:rsidRDefault="006E1A5C" w:rsidP="006E1A5C">
            <w:pPr>
              <w:spacing w:after="0"/>
              <w:jc w:val="both"/>
              <w:rPr>
                <w:rFonts w:ascii="Times New Roman" w:hAnsi="Times New Roman" w:cs="Times New Roman"/>
              </w:rPr>
            </w:pPr>
            <w:r>
              <w:rPr>
                <w:rFonts w:ascii="Times New Roman" w:hAnsi="Times New Roman" w:cs="Times New Roman"/>
              </w:rPr>
              <w:t>Lietuvos bankui turi būti pateikta a</w:t>
            </w:r>
            <w:r w:rsidRPr="00E0686E">
              <w:rPr>
                <w:rFonts w:ascii="Times New Roman" w:hAnsi="Times New Roman" w:cs="Times New Roman"/>
              </w:rPr>
              <w:t>udituota metinė finansinė atskaitomybė</w:t>
            </w:r>
            <w:r w:rsidRPr="007368F8">
              <w:rPr>
                <w:rFonts w:ascii="Times New Roman" w:hAnsi="Times New Roman"/>
              </w:rPr>
              <w:t>*</w:t>
            </w:r>
          </w:p>
        </w:tc>
        <w:tc>
          <w:tcPr>
            <w:tcW w:w="4395" w:type="dxa"/>
          </w:tcPr>
          <w:p w14:paraId="1E1CCBEC"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Audituota metinė finansinė atskaitomybė</w:t>
            </w:r>
          </w:p>
        </w:tc>
        <w:tc>
          <w:tcPr>
            <w:tcW w:w="4110" w:type="dxa"/>
            <w:vMerge w:val="restart"/>
          </w:tcPr>
          <w:p w14:paraId="51C7F107" w14:textId="77777777" w:rsidR="006E1A5C" w:rsidRPr="00E0686E" w:rsidRDefault="006E1A5C" w:rsidP="006E1A5C">
            <w:pPr>
              <w:spacing w:after="0"/>
              <w:jc w:val="both"/>
              <w:rPr>
                <w:rFonts w:ascii="Times New Roman" w:hAnsi="Times New Roman"/>
              </w:rPr>
            </w:pPr>
          </w:p>
        </w:tc>
      </w:tr>
      <w:tr w:rsidR="006E1A5C" w:rsidRPr="00E0686E" w14:paraId="6D079F85" w14:textId="77777777" w:rsidTr="00FE7CF5">
        <w:trPr>
          <w:trHeight w:val="2253"/>
        </w:trPr>
        <w:tc>
          <w:tcPr>
            <w:tcW w:w="3539" w:type="dxa"/>
            <w:vMerge/>
          </w:tcPr>
          <w:p w14:paraId="23321163" w14:textId="77777777" w:rsidR="006E1A5C" w:rsidRPr="003929B4" w:rsidRDefault="006E1A5C" w:rsidP="006E1A5C">
            <w:pPr>
              <w:spacing w:after="0"/>
              <w:jc w:val="both"/>
              <w:rPr>
                <w:rFonts w:ascii="Times New Roman" w:hAnsi="Times New Roman" w:cs="Times New Roman"/>
                <w:b/>
                <w:bCs/>
              </w:rPr>
            </w:pPr>
          </w:p>
        </w:tc>
        <w:tc>
          <w:tcPr>
            <w:tcW w:w="3260" w:type="dxa"/>
          </w:tcPr>
          <w:p w14:paraId="52D1B58A" w14:textId="5F18FB98" w:rsidR="006E1A5C" w:rsidRDefault="006E1A5C" w:rsidP="006E1A5C">
            <w:pPr>
              <w:spacing w:after="0"/>
              <w:jc w:val="both"/>
              <w:rPr>
                <w:rFonts w:ascii="Times New Roman" w:hAnsi="Times New Roman"/>
              </w:rPr>
            </w:pPr>
            <w:r>
              <w:rPr>
                <w:rFonts w:ascii="Times New Roman" w:hAnsi="Times New Roman" w:cs="Times New Roman"/>
              </w:rPr>
              <w:t>FT nėra taikomos Lietuvos banko poveikio priemonės</w:t>
            </w:r>
            <w:r w:rsidR="00C02EEC">
              <w:rPr>
                <w:rFonts w:ascii="Times New Roman" w:hAnsi="Times New Roman" w:cs="Times New Roman"/>
              </w:rPr>
              <w:t>, išskyrus įspėjimą</w:t>
            </w:r>
            <w:r w:rsidRPr="007368F8">
              <w:rPr>
                <w:rFonts w:ascii="Times New Roman" w:hAnsi="Times New Roman"/>
              </w:rPr>
              <w:t>*</w:t>
            </w:r>
          </w:p>
          <w:p w14:paraId="522E6046" w14:textId="77777777" w:rsidR="006E1A5C" w:rsidRPr="00E0686E" w:rsidRDefault="006E1A5C" w:rsidP="006E1A5C">
            <w:pPr>
              <w:spacing w:after="0"/>
              <w:jc w:val="both"/>
              <w:rPr>
                <w:rFonts w:ascii="Times New Roman" w:hAnsi="Times New Roman" w:cs="Times New Roman"/>
              </w:rPr>
            </w:pPr>
          </w:p>
        </w:tc>
        <w:tc>
          <w:tcPr>
            <w:tcW w:w="4395" w:type="dxa"/>
          </w:tcPr>
          <w:p w14:paraId="583041E8" w14:textId="6A362909"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 xml:space="preserve">Minimalios </w:t>
            </w:r>
            <w:r w:rsidR="006F4B2B">
              <w:rPr>
                <w:rFonts w:ascii="Times New Roman" w:hAnsi="Times New Roman" w:cs="Times New Roman"/>
              </w:rPr>
              <w:t xml:space="preserve">metinės </w:t>
            </w:r>
            <w:r w:rsidRPr="00E0686E">
              <w:rPr>
                <w:rFonts w:ascii="Times New Roman" w:hAnsi="Times New Roman" w:cs="Times New Roman"/>
              </w:rPr>
              <w:t>pajamos – ne mažiau kaip 100 000 EUR, iš jų ne mažiau kaip 50</w:t>
            </w:r>
            <w:r>
              <w:rPr>
                <w:rFonts w:ascii="Times New Roman" w:hAnsi="Times New Roman" w:cs="Times New Roman"/>
              </w:rPr>
              <w:t> </w:t>
            </w:r>
            <w:r w:rsidRPr="00E0686E">
              <w:rPr>
                <w:rFonts w:ascii="Times New Roman" w:hAnsi="Times New Roman" w:cs="Times New Roman"/>
              </w:rPr>
              <w:t xml:space="preserve">proc. pajamų iš </w:t>
            </w:r>
            <w:r>
              <w:rPr>
                <w:rFonts w:ascii="Times New Roman" w:hAnsi="Times New Roman" w:cs="Times New Roman"/>
              </w:rPr>
              <w:t>finansavimo</w:t>
            </w:r>
            <w:r w:rsidRPr="00E0686E">
              <w:rPr>
                <w:rFonts w:ascii="Times New Roman" w:hAnsi="Times New Roman" w:cs="Times New Roman"/>
              </w:rPr>
              <w:t xml:space="preserve"> veiklos</w:t>
            </w:r>
            <w:r w:rsidR="002E11A9">
              <w:rPr>
                <w:rFonts w:ascii="Times New Roman" w:hAnsi="Times New Roman" w:cs="Times New Roman"/>
              </w:rPr>
              <w:t>.</w:t>
            </w:r>
          </w:p>
        </w:tc>
        <w:tc>
          <w:tcPr>
            <w:tcW w:w="4110" w:type="dxa"/>
            <w:vMerge/>
          </w:tcPr>
          <w:p w14:paraId="4E5D5160" w14:textId="77777777" w:rsidR="006E1A5C" w:rsidRPr="00E0686E" w:rsidRDefault="006E1A5C" w:rsidP="006E1A5C">
            <w:pPr>
              <w:spacing w:after="0"/>
              <w:jc w:val="both"/>
              <w:rPr>
                <w:rFonts w:ascii="Times New Roman" w:hAnsi="Times New Roman"/>
              </w:rPr>
            </w:pPr>
          </w:p>
        </w:tc>
      </w:tr>
      <w:tr w:rsidR="006E1A5C" w:rsidRPr="00E0686E" w14:paraId="4FBD8C8D" w14:textId="77777777" w:rsidTr="00FE7CF5">
        <w:tc>
          <w:tcPr>
            <w:tcW w:w="3539" w:type="dxa"/>
            <w:vMerge/>
          </w:tcPr>
          <w:p w14:paraId="587FB4BD" w14:textId="77777777" w:rsidR="006E1A5C" w:rsidRPr="003929B4" w:rsidRDefault="006E1A5C" w:rsidP="006E1A5C">
            <w:pPr>
              <w:spacing w:after="0"/>
              <w:jc w:val="both"/>
              <w:rPr>
                <w:rFonts w:ascii="Times New Roman" w:hAnsi="Times New Roman" w:cs="Times New Roman"/>
                <w:b/>
                <w:bCs/>
              </w:rPr>
            </w:pPr>
          </w:p>
        </w:tc>
        <w:tc>
          <w:tcPr>
            <w:tcW w:w="3260" w:type="dxa"/>
          </w:tcPr>
          <w:p w14:paraId="3645A794"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 xml:space="preserve">Jeigu Lietuvos bankas netaiko </w:t>
            </w:r>
            <w:r>
              <w:rPr>
                <w:rFonts w:ascii="Times New Roman" w:hAnsi="Times New Roman" w:cs="Times New Roman"/>
              </w:rPr>
              <w:t xml:space="preserve">FT </w:t>
            </w:r>
            <w:r w:rsidRPr="00E0686E">
              <w:rPr>
                <w:rFonts w:ascii="Times New Roman" w:hAnsi="Times New Roman" w:cs="Times New Roman"/>
              </w:rPr>
              <w:t>veiklos riziką ribojančių normatyvų, tokiu atveju taikomi Lietuvos banko neprižiūrimiems FT nustatyti normatyvai</w:t>
            </w:r>
          </w:p>
        </w:tc>
        <w:tc>
          <w:tcPr>
            <w:tcW w:w="4395" w:type="dxa"/>
          </w:tcPr>
          <w:p w14:paraId="3151B0CE" w14:textId="092A45C7" w:rsidR="006E1A5C" w:rsidRDefault="006E1A5C" w:rsidP="006E1A5C">
            <w:pPr>
              <w:spacing w:after="0"/>
              <w:jc w:val="both"/>
              <w:rPr>
                <w:rFonts w:ascii="Times New Roman" w:hAnsi="Times New Roman" w:cs="Times New Roman"/>
              </w:rPr>
            </w:pPr>
          </w:p>
          <w:p w14:paraId="293AA857" w14:textId="25F8A993" w:rsidR="002E11A9" w:rsidRPr="00E0686E" w:rsidRDefault="002E11A9" w:rsidP="006E1A5C">
            <w:pPr>
              <w:spacing w:after="0"/>
              <w:jc w:val="both"/>
              <w:rPr>
                <w:rFonts w:ascii="Times New Roman" w:hAnsi="Times New Roman" w:cs="Times New Roman"/>
              </w:rPr>
            </w:pPr>
            <w:r>
              <w:rPr>
                <w:rFonts w:ascii="Times New Roman" w:hAnsi="Times New Roman"/>
                <w:sz w:val="24"/>
                <w:szCs w:val="24"/>
              </w:rPr>
              <w:t>FT</w:t>
            </w:r>
            <w:r w:rsidRPr="001A121D">
              <w:rPr>
                <w:rFonts w:ascii="Times New Roman" w:hAnsi="Times New Roman"/>
                <w:sz w:val="24"/>
                <w:szCs w:val="24"/>
              </w:rPr>
              <w:t xml:space="preserve"> nuosavo kapitalo suma (įstatinio kapitalo, jo priedų, rezervų ir nepaskirstyto pelno suma) turi būti ne mažesnė nei 0,</w:t>
            </w:r>
            <w:r>
              <w:rPr>
                <w:rFonts w:ascii="Times New Roman" w:hAnsi="Times New Roman"/>
                <w:sz w:val="24"/>
                <w:szCs w:val="24"/>
                <w:lang w:val="en-US"/>
              </w:rPr>
              <w:t>2</w:t>
            </w:r>
            <w:r w:rsidRPr="001A121D">
              <w:rPr>
                <w:rFonts w:ascii="Times New Roman" w:hAnsi="Times New Roman"/>
                <w:sz w:val="24"/>
                <w:szCs w:val="24"/>
              </w:rPr>
              <w:t>5 mln. EUR.</w:t>
            </w:r>
            <w:r>
              <w:rPr>
                <w:rFonts w:ascii="Times New Roman" w:hAnsi="Times New Roman"/>
                <w:sz w:val="24"/>
                <w:szCs w:val="24"/>
              </w:rPr>
              <w:t xml:space="preserve"> FT</w:t>
            </w:r>
            <w:r w:rsidRPr="001A121D">
              <w:rPr>
                <w:rFonts w:ascii="Times New Roman" w:hAnsi="Times New Roman"/>
                <w:sz w:val="24"/>
                <w:szCs w:val="24"/>
              </w:rPr>
              <w:t xml:space="preserve"> koreguoto nuosavo kapitalo suma</w:t>
            </w:r>
            <w:r>
              <w:rPr>
                <w:rFonts w:ascii="Times New Roman" w:hAnsi="Times New Roman"/>
                <w:sz w:val="24"/>
                <w:szCs w:val="24"/>
              </w:rPr>
              <w:t>**</w:t>
            </w:r>
            <w:r w:rsidRPr="001A121D">
              <w:rPr>
                <w:rFonts w:ascii="Times New Roman" w:hAnsi="Times New Roman"/>
                <w:sz w:val="24"/>
                <w:szCs w:val="24"/>
              </w:rPr>
              <w:t xml:space="preserve"> negali būti mažesnė kaip 0,</w:t>
            </w:r>
            <w:r>
              <w:rPr>
                <w:rFonts w:ascii="Times New Roman" w:hAnsi="Times New Roman"/>
                <w:sz w:val="24"/>
                <w:szCs w:val="24"/>
              </w:rPr>
              <w:t>1</w:t>
            </w:r>
            <w:r w:rsidRPr="001A121D">
              <w:rPr>
                <w:rFonts w:ascii="Times New Roman" w:hAnsi="Times New Roman"/>
                <w:sz w:val="24"/>
                <w:szCs w:val="24"/>
              </w:rPr>
              <w:t xml:space="preserve"> mln</w:t>
            </w:r>
            <w:r>
              <w:rPr>
                <w:rFonts w:ascii="Times New Roman" w:hAnsi="Times New Roman"/>
                <w:sz w:val="24"/>
                <w:szCs w:val="24"/>
              </w:rPr>
              <w:t>.</w:t>
            </w:r>
            <w:r w:rsidRPr="001A121D">
              <w:rPr>
                <w:rFonts w:ascii="Times New Roman" w:hAnsi="Times New Roman"/>
                <w:sz w:val="24"/>
                <w:szCs w:val="24"/>
              </w:rPr>
              <w:t xml:space="preserve"> EUR.</w:t>
            </w:r>
          </w:p>
        </w:tc>
        <w:tc>
          <w:tcPr>
            <w:tcW w:w="4110" w:type="dxa"/>
            <w:vMerge/>
          </w:tcPr>
          <w:p w14:paraId="4A58E7B3" w14:textId="77777777" w:rsidR="006E1A5C" w:rsidRPr="00E0686E" w:rsidRDefault="006E1A5C" w:rsidP="006E1A5C">
            <w:pPr>
              <w:spacing w:after="0"/>
              <w:jc w:val="both"/>
              <w:rPr>
                <w:rFonts w:ascii="Times New Roman" w:hAnsi="Times New Roman"/>
              </w:rPr>
            </w:pPr>
          </w:p>
        </w:tc>
      </w:tr>
      <w:tr w:rsidR="006E1A5C" w:rsidRPr="00E0686E" w14:paraId="4DFB1EA8" w14:textId="77777777" w:rsidTr="00FE7CF5">
        <w:tc>
          <w:tcPr>
            <w:tcW w:w="3539" w:type="dxa"/>
          </w:tcPr>
          <w:p w14:paraId="35C5E4D9" w14:textId="77777777" w:rsidR="006E1A5C" w:rsidRPr="00F30EC1" w:rsidRDefault="006E1A5C" w:rsidP="006E1A5C">
            <w:pPr>
              <w:spacing w:after="0"/>
              <w:jc w:val="both"/>
              <w:rPr>
                <w:rFonts w:ascii="Times New Roman" w:hAnsi="Times New Roman" w:cs="Times New Roman"/>
                <w:b/>
                <w:bCs/>
              </w:rPr>
            </w:pPr>
            <w:r w:rsidRPr="00F30EC1">
              <w:rPr>
                <w:rFonts w:ascii="Times New Roman" w:hAnsi="Times New Roman" w:cs="Times New Roman"/>
                <w:b/>
                <w:bCs/>
              </w:rPr>
              <w:t xml:space="preserve">Minimali veiklos vykdymo trukmė </w:t>
            </w:r>
            <w:r>
              <w:rPr>
                <w:rFonts w:ascii="Times New Roman" w:hAnsi="Times New Roman" w:cs="Times New Roman"/>
                <w:b/>
                <w:bCs/>
              </w:rPr>
              <w:t>12 mėn.</w:t>
            </w:r>
            <w:r w:rsidRPr="00F30EC1">
              <w:rPr>
                <w:rFonts w:ascii="Times New Roman" w:hAnsi="Times New Roman" w:cs="Times New Roman"/>
                <w:b/>
                <w:bCs/>
              </w:rPr>
              <w:t xml:space="preserve"> </w:t>
            </w:r>
            <w:r>
              <w:rPr>
                <w:rFonts w:ascii="Times New Roman" w:hAnsi="Times New Roman" w:cs="Times New Roman"/>
                <w:b/>
                <w:bCs/>
              </w:rPr>
              <w:t xml:space="preserve">(iš kurių </w:t>
            </w:r>
            <w:r w:rsidRPr="00F30EC1">
              <w:rPr>
                <w:rFonts w:ascii="Times New Roman" w:hAnsi="Times New Roman" w:cs="Times New Roman"/>
                <w:b/>
                <w:bCs/>
              </w:rPr>
              <w:t>Lietuvoje</w:t>
            </w:r>
            <w:r>
              <w:rPr>
                <w:rFonts w:ascii="Times New Roman" w:hAnsi="Times New Roman" w:cs="Times New Roman"/>
                <w:b/>
                <w:bCs/>
              </w:rPr>
              <w:t xml:space="preserve"> ne trumpiau kaip paskutinius 4 mėnesius)</w:t>
            </w:r>
          </w:p>
        </w:tc>
        <w:tc>
          <w:tcPr>
            <w:tcW w:w="3260" w:type="dxa"/>
          </w:tcPr>
          <w:p w14:paraId="03E93AB1" w14:textId="77777777" w:rsidR="006E1A5C" w:rsidRPr="009B7B60" w:rsidRDefault="006E1A5C" w:rsidP="006E1A5C">
            <w:pPr>
              <w:spacing w:after="0"/>
              <w:jc w:val="both"/>
              <w:rPr>
                <w:rFonts w:ascii="Times New Roman" w:hAnsi="Times New Roman" w:cs="Times New Roman"/>
              </w:rPr>
            </w:pPr>
          </w:p>
        </w:tc>
        <w:tc>
          <w:tcPr>
            <w:tcW w:w="4395" w:type="dxa"/>
          </w:tcPr>
          <w:p w14:paraId="257D5452" w14:textId="77777777" w:rsidR="006E1A5C" w:rsidRPr="009B7B60" w:rsidRDefault="006E1A5C" w:rsidP="006E1A5C">
            <w:pPr>
              <w:spacing w:after="0"/>
              <w:jc w:val="both"/>
              <w:rPr>
                <w:rFonts w:ascii="Times New Roman" w:hAnsi="Times New Roman" w:cs="Times New Roman"/>
              </w:rPr>
            </w:pPr>
          </w:p>
        </w:tc>
        <w:tc>
          <w:tcPr>
            <w:tcW w:w="4110" w:type="dxa"/>
          </w:tcPr>
          <w:p w14:paraId="54189439" w14:textId="77777777" w:rsidR="006E1A5C" w:rsidRPr="009B7B60" w:rsidRDefault="006E1A5C" w:rsidP="006E1A5C">
            <w:pPr>
              <w:spacing w:after="0"/>
              <w:jc w:val="both"/>
              <w:rPr>
                <w:rFonts w:ascii="Times New Roman" w:hAnsi="Times New Roman"/>
              </w:rPr>
            </w:pPr>
          </w:p>
        </w:tc>
      </w:tr>
      <w:tr w:rsidR="006E1A5C" w:rsidRPr="00E0686E" w14:paraId="4714CEF7" w14:textId="77777777" w:rsidTr="00FE7CF5">
        <w:tc>
          <w:tcPr>
            <w:tcW w:w="3539" w:type="dxa"/>
          </w:tcPr>
          <w:p w14:paraId="35D3E59A" w14:textId="2D0212FF" w:rsidR="006E1A5C" w:rsidRPr="003929B4" w:rsidRDefault="006E1A5C" w:rsidP="006E1A5C">
            <w:pPr>
              <w:spacing w:after="0"/>
              <w:jc w:val="both"/>
              <w:rPr>
                <w:rFonts w:ascii="Times New Roman" w:hAnsi="Times New Roman" w:cs="Times New Roman"/>
                <w:b/>
                <w:bCs/>
              </w:rPr>
            </w:pPr>
            <w:r w:rsidRPr="003929B4">
              <w:rPr>
                <w:rFonts w:ascii="Times New Roman" w:hAnsi="Times New Roman" w:cs="Times New Roman"/>
                <w:b/>
                <w:bCs/>
              </w:rPr>
              <w:t xml:space="preserve">FT turi pagrįsti, kad </w:t>
            </w:r>
            <w:r>
              <w:rPr>
                <w:rFonts w:ascii="Times New Roman" w:hAnsi="Times New Roman" w:cs="Times New Roman"/>
                <w:b/>
                <w:bCs/>
              </w:rPr>
              <w:t xml:space="preserve">Lietuvoje </w:t>
            </w:r>
            <w:r w:rsidRPr="003929B4">
              <w:rPr>
                <w:rFonts w:ascii="Times New Roman" w:hAnsi="Times New Roman" w:cs="Times New Roman"/>
                <w:b/>
                <w:bCs/>
              </w:rPr>
              <w:t xml:space="preserve">per paskutinius 12 mėnesių tinkamai </w:t>
            </w:r>
            <w:r w:rsidRPr="00DA151A">
              <w:rPr>
                <w:rFonts w:ascii="Times New Roman" w:hAnsi="Times New Roman" w:cs="Times New Roman"/>
                <w:b/>
                <w:bCs/>
              </w:rPr>
              <w:t xml:space="preserve">suteikė ne mažiau kaip </w:t>
            </w:r>
            <w:r w:rsidR="002E11A9">
              <w:rPr>
                <w:rFonts w:ascii="Times New Roman" w:hAnsi="Times New Roman" w:cs="Times New Roman"/>
                <w:b/>
                <w:bCs/>
              </w:rPr>
              <w:t>3</w:t>
            </w:r>
            <w:r w:rsidRPr="00DA151A">
              <w:rPr>
                <w:rFonts w:ascii="Times New Roman" w:hAnsi="Times New Roman" w:cs="Times New Roman"/>
                <w:b/>
                <w:bCs/>
              </w:rPr>
              <w:t xml:space="preserve">0 vnt. Faktoringo sandorių verslo subjektams (pasirašė Faktoringo sutarčių), kurių kiekvieno </w:t>
            </w:r>
            <w:r w:rsidRPr="00DA151A">
              <w:rPr>
                <w:rFonts w:ascii="Times New Roman" w:hAnsi="Times New Roman" w:cs="Times New Roman"/>
                <w:b/>
                <w:bCs/>
              </w:rPr>
              <w:lastRenderedPageBreak/>
              <w:t xml:space="preserve">Faktoringo limitas ne didesnis kaip </w:t>
            </w:r>
            <w:r>
              <w:rPr>
                <w:rFonts w:ascii="Times New Roman" w:hAnsi="Times New Roman" w:cs="Times New Roman"/>
                <w:b/>
                <w:bCs/>
              </w:rPr>
              <w:t>1,8</w:t>
            </w:r>
            <w:r w:rsidRPr="007B06EA">
              <w:rPr>
                <w:rFonts w:ascii="Times New Roman" w:hAnsi="Times New Roman" w:cs="Times New Roman"/>
                <w:b/>
                <w:bCs/>
              </w:rPr>
              <w:t xml:space="preserve"> mln. Eur</w:t>
            </w:r>
          </w:p>
        </w:tc>
        <w:tc>
          <w:tcPr>
            <w:tcW w:w="3260" w:type="dxa"/>
          </w:tcPr>
          <w:p w14:paraId="1D1C253B" w14:textId="77777777" w:rsidR="006E1A5C" w:rsidRPr="00E0686E" w:rsidRDefault="006E1A5C" w:rsidP="006E1A5C">
            <w:pPr>
              <w:spacing w:after="0"/>
              <w:jc w:val="both"/>
              <w:rPr>
                <w:rFonts w:ascii="Times New Roman" w:hAnsi="Times New Roman" w:cs="Times New Roman"/>
              </w:rPr>
            </w:pPr>
          </w:p>
        </w:tc>
        <w:tc>
          <w:tcPr>
            <w:tcW w:w="4395" w:type="dxa"/>
          </w:tcPr>
          <w:p w14:paraId="5BCD0B91" w14:textId="77777777" w:rsidR="006E1A5C" w:rsidRPr="00E0686E" w:rsidRDefault="006E1A5C" w:rsidP="006E1A5C">
            <w:pPr>
              <w:spacing w:after="0"/>
              <w:jc w:val="both"/>
              <w:rPr>
                <w:rFonts w:ascii="Times New Roman" w:hAnsi="Times New Roman" w:cs="Times New Roman"/>
              </w:rPr>
            </w:pPr>
          </w:p>
        </w:tc>
        <w:tc>
          <w:tcPr>
            <w:tcW w:w="4110" w:type="dxa"/>
          </w:tcPr>
          <w:p w14:paraId="6441B049" w14:textId="77777777" w:rsidR="006E1A5C" w:rsidRDefault="006E1A5C" w:rsidP="006E1A5C">
            <w:pPr>
              <w:spacing w:after="0"/>
              <w:jc w:val="both"/>
              <w:rPr>
                <w:rFonts w:ascii="Times New Roman" w:hAnsi="Times New Roman"/>
                <w:highlight w:val="yellow"/>
              </w:rPr>
            </w:pPr>
          </w:p>
        </w:tc>
      </w:tr>
      <w:tr w:rsidR="006E1A5C" w:rsidRPr="00E0686E" w14:paraId="4D5A65B5" w14:textId="77777777" w:rsidTr="00FE7CF5">
        <w:tc>
          <w:tcPr>
            <w:tcW w:w="3539" w:type="dxa"/>
          </w:tcPr>
          <w:p w14:paraId="0454A988" w14:textId="77777777" w:rsidR="006E1A5C" w:rsidRDefault="006E1A5C" w:rsidP="006E1A5C">
            <w:pPr>
              <w:jc w:val="both"/>
              <w:rPr>
                <w:rFonts w:ascii="Times New Roman" w:hAnsi="Times New Roman"/>
                <w:b/>
                <w:szCs w:val="24"/>
              </w:rPr>
            </w:pPr>
            <w:r>
              <w:rPr>
                <w:rFonts w:ascii="Times New Roman" w:hAnsi="Times New Roman"/>
                <w:b/>
                <w:bCs/>
              </w:rPr>
              <w:t xml:space="preserve">FT turi pagrįsti, kad </w:t>
            </w:r>
            <w:r w:rsidRPr="002101FC">
              <w:rPr>
                <w:rFonts w:ascii="Times New Roman" w:hAnsi="Times New Roman"/>
                <w:b/>
                <w:szCs w:val="24"/>
              </w:rPr>
              <w:t xml:space="preserve">verslo subjektams finansuoti išduotų Faktoringo </w:t>
            </w:r>
            <w:r>
              <w:rPr>
                <w:rFonts w:ascii="Times New Roman" w:hAnsi="Times New Roman"/>
                <w:b/>
                <w:szCs w:val="24"/>
              </w:rPr>
              <w:t>su regresu</w:t>
            </w:r>
            <w:r w:rsidRPr="002101FC">
              <w:rPr>
                <w:rFonts w:ascii="Times New Roman" w:hAnsi="Times New Roman"/>
                <w:b/>
                <w:szCs w:val="24"/>
              </w:rPr>
              <w:t xml:space="preserve"> sandorių</w:t>
            </w:r>
            <w:r>
              <w:rPr>
                <w:rFonts w:ascii="Times New Roman" w:hAnsi="Times New Roman"/>
                <w:b/>
                <w:szCs w:val="24"/>
              </w:rPr>
              <w:t xml:space="preserve"> </w:t>
            </w:r>
            <w:r w:rsidRPr="002101FC">
              <w:rPr>
                <w:rFonts w:ascii="Times New Roman" w:hAnsi="Times New Roman"/>
                <w:b/>
                <w:szCs w:val="24"/>
              </w:rPr>
              <w:t xml:space="preserve">(pasirašytų ir galiojančių Faktoringo sutarčių), bendra Faktoringo limitų suma </w:t>
            </w:r>
            <w:r>
              <w:rPr>
                <w:rFonts w:ascii="Times New Roman" w:hAnsi="Times New Roman"/>
                <w:b/>
                <w:szCs w:val="24"/>
              </w:rPr>
              <w:t xml:space="preserve">prašymo pateikimo datą yra ne mažiau kaip </w:t>
            </w:r>
            <w:r w:rsidRPr="00AB79F1">
              <w:rPr>
                <w:rFonts w:ascii="Times New Roman" w:hAnsi="Times New Roman"/>
                <w:b/>
                <w:szCs w:val="24"/>
              </w:rPr>
              <w:t xml:space="preserve">2 </w:t>
            </w:r>
            <w:r>
              <w:rPr>
                <w:rFonts w:ascii="Times New Roman" w:hAnsi="Times New Roman"/>
                <w:b/>
                <w:szCs w:val="24"/>
              </w:rPr>
              <w:t>mln. Eur</w:t>
            </w:r>
          </w:p>
          <w:p w14:paraId="3EF88B0A" w14:textId="77777777" w:rsidR="005913AD" w:rsidRPr="003929B4" w:rsidRDefault="005913AD" w:rsidP="005913AD">
            <w:pPr>
              <w:jc w:val="both"/>
              <w:rPr>
                <w:rFonts w:ascii="Times New Roman" w:hAnsi="Times New Roman"/>
                <w:b/>
                <w:bCs/>
              </w:rPr>
            </w:pPr>
            <w:r>
              <w:rPr>
                <w:rFonts w:ascii="Times New Roman" w:hAnsi="Times New Roman"/>
                <w:b/>
                <w:szCs w:val="24"/>
              </w:rPr>
              <w:t xml:space="preserve">FT turi nurodyti </w:t>
            </w:r>
            <w:r w:rsidRPr="005913AD">
              <w:rPr>
                <w:rFonts w:ascii="Times New Roman" w:hAnsi="Times New Roman"/>
                <w:b/>
                <w:szCs w:val="24"/>
              </w:rPr>
              <w:t>FT verslo subjektams išduotų faktoringo sandorių (su verslo subjektais pasirašytų ir galiojančių Faktoringo sutarčių), faktoringo limitų sumą portfelyje paskelbimo apie kvietimą dieną</w:t>
            </w:r>
            <w:r>
              <w:rPr>
                <w:rFonts w:ascii="Times New Roman" w:hAnsi="Times New Roman"/>
                <w:b/>
                <w:szCs w:val="24"/>
              </w:rPr>
              <w:t xml:space="preserve"> </w:t>
            </w:r>
          </w:p>
        </w:tc>
        <w:tc>
          <w:tcPr>
            <w:tcW w:w="3260" w:type="dxa"/>
          </w:tcPr>
          <w:p w14:paraId="5FFAE728" w14:textId="77777777" w:rsidR="006E1A5C" w:rsidRPr="00E0686E" w:rsidRDefault="006E1A5C" w:rsidP="006E1A5C">
            <w:pPr>
              <w:spacing w:after="0"/>
              <w:jc w:val="both"/>
              <w:rPr>
                <w:rFonts w:ascii="Times New Roman" w:hAnsi="Times New Roman"/>
              </w:rPr>
            </w:pPr>
          </w:p>
        </w:tc>
        <w:tc>
          <w:tcPr>
            <w:tcW w:w="4395" w:type="dxa"/>
          </w:tcPr>
          <w:p w14:paraId="3782D248" w14:textId="77777777" w:rsidR="006E1A5C" w:rsidRPr="00E0686E" w:rsidRDefault="006E1A5C" w:rsidP="006E1A5C">
            <w:pPr>
              <w:spacing w:after="0"/>
              <w:jc w:val="both"/>
              <w:rPr>
                <w:rFonts w:ascii="Times New Roman" w:hAnsi="Times New Roman"/>
              </w:rPr>
            </w:pPr>
          </w:p>
        </w:tc>
        <w:tc>
          <w:tcPr>
            <w:tcW w:w="4110" w:type="dxa"/>
          </w:tcPr>
          <w:p w14:paraId="30C9EB73" w14:textId="77777777" w:rsidR="006E1A5C" w:rsidRDefault="006E1A5C" w:rsidP="006E1A5C">
            <w:pPr>
              <w:spacing w:after="0"/>
              <w:jc w:val="both"/>
              <w:rPr>
                <w:rFonts w:ascii="Times New Roman" w:hAnsi="Times New Roman"/>
              </w:rPr>
            </w:pPr>
          </w:p>
        </w:tc>
      </w:tr>
      <w:tr w:rsidR="007A2A64" w:rsidRPr="00E0686E" w14:paraId="01A3F0E7" w14:textId="77777777" w:rsidTr="00FE7CF5">
        <w:tc>
          <w:tcPr>
            <w:tcW w:w="3539" w:type="dxa"/>
          </w:tcPr>
          <w:p w14:paraId="1FFC9CCF" w14:textId="77777777" w:rsidR="007A2A64" w:rsidRDefault="007A2A64" w:rsidP="00317DFC">
            <w:pPr>
              <w:jc w:val="both"/>
              <w:rPr>
                <w:rFonts w:ascii="Times New Roman" w:hAnsi="Times New Roman"/>
                <w:b/>
                <w:bCs/>
              </w:rPr>
            </w:pPr>
            <w:r>
              <w:rPr>
                <w:rFonts w:ascii="Times New Roman" w:hAnsi="Times New Roman"/>
                <w:b/>
                <w:bCs/>
              </w:rPr>
              <w:t>FT, kuris įgyvendina faktoringo portfelinių garantijų priemonę pagal su „Invega“ pasirašytą sutartį yra sukontraktavęs daugiau kaip 70 proc. sutartyje numatyto portfelio</w:t>
            </w:r>
          </w:p>
        </w:tc>
        <w:tc>
          <w:tcPr>
            <w:tcW w:w="3260" w:type="dxa"/>
          </w:tcPr>
          <w:p w14:paraId="391872B0" w14:textId="77777777" w:rsidR="007A2A64" w:rsidRPr="00E0686E" w:rsidRDefault="007A2A64" w:rsidP="007A2A64">
            <w:pPr>
              <w:spacing w:after="0"/>
              <w:jc w:val="both"/>
              <w:rPr>
                <w:rFonts w:ascii="Times New Roman" w:hAnsi="Times New Roman"/>
              </w:rPr>
            </w:pPr>
          </w:p>
        </w:tc>
        <w:tc>
          <w:tcPr>
            <w:tcW w:w="4395" w:type="dxa"/>
          </w:tcPr>
          <w:p w14:paraId="79F49A55" w14:textId="77777777" w:rsidR="007A2A64" w:rsidRPr="00E0686E" w:rsidRDefault="007A2A64" w:rsidP="007A2A64">
            <w:pPr>
              <w:spacing w:after="0"/>
              <w:jc w:val="both"/>
              <w:rPr>
                <w:rFonts w:ascii="Times New Roman" w:hAnsi="Times New Roman"/>
              </w:rPr>
            </w:pPr>
          </w:p>
        </w:tc>
        <w:tc>
          <w:tcPr>
            <w:tcW w:w="4110" w:type="dxa"/>
          </w:tcPr>
          <w:p w14:paraId="37D1AB43" w14:textId="77777777" w:rsidR="007A2A64" w:rsidRDefault="007A2A64" w:rsidP="007A2A64">
            <w:pPr>
              <w:spacing w:after="0"/>
              <w:jc w:val="both"/>
              <w:rPr>
                <w:rFonts w:ascii="Times New Roman" w:hAnsi="Times New Roman"/>
              </w:rPr>
            </w:pPr>
            <w:r>
              <w:rPr>
                <w:rFonts w:ascii="Times New Roman" w:hAnsi="Times New Roman" w:cs="Times New Roman"/>
              </w:rPr>
              <w:t>Patvirtinanti informacija pateikiama PGF2 priemonės įgyvendinimo aprašyme, FT</w:t>
            </w:r>
            <w:r w:rsidRPr="00E0686E">
              <w:rPr>
                <w:rFonts w:ascii="Times New Roman" w:hAnsi="Times New Roman" w:cs="Times New Roman"/>
              </w:rPr>
              <w:t xml:space="preserve"> pažym</w:t>
            </w:r>
            <w:r>
              <w:rPr>
                <w:rFonts w:ascii="Times New Roman" w:hAnsi="Times New Roman" w:cs="Times New Roman"/>
              </w:rPr>
              <w:t>oje ar</w:t>
            </w:r>
            <w:r w:rsidRPr="00E0686E">
              <w:rPr>
                <w:rFonts w:ascii="Times New Roman" w:hAnsi="Times New Roman" w:cs="Times New Roman"/>
              </w:rPr>
              <w:t xml:space="preserve"> kit</w:t>
            </w:r>
            <w:r>
              <w:rPr>
                <w:rFonts w:ascii="Times New Roman" w:hAnsi="Times New Roman" w:cs="Times New Roman"/>
              </w:rPr>
              <w:t>uose</w:t>
            </w:r>
            <w:r w:rsidRPr="00E0686E">
              <w:rPr>
                <w:rFonts w:ascii="Times New Roman" w:hAnsi="Times New Roman" w:cs="Times New Roman"/>
              </w:rPr>
              <w:t xml:space="preserve"> atitikimą šiam reikalavimui patvirtinan</w:t>
            </w:r>
            <w:r>
              <w:rPr>
                <w:rFonts w:ascii="Times New Roman" w:hAnsi="Times New Roman" w:cs="Times New Roman"/>
              </w:rPr>
              <w:t>čiuose</w:t>
            </w:r>
            <w:r w:rsidRPr="00E0686E">
              <w:rPr>
                <w:rFonts w:ascii="Times New Roman" w:hAnsi="Times New Roman" w:cs="Times New Roman"/>
              </w:rPr>
              <w:t xml:space="preserve"> dokument</w:t>
            </w:r>
            <w:r>
              <w:rPr>
                <w:rFonts w:ascii="Times New Roman" w:hAnsi="Times New Roman" w:cs="Times New Roman"/>
              </w:rPr>
              <w:t>uose</w:t>
            </w:r>
          </w:p>
        </w:tc>
      </w:tr>
      <w:tr w:rsidR="006E1A5C" w:rsidRPr="00E0686E" w14:paraId="498BF7B3" w14:textId="77777777" w:rsidTr="00FE7CF5">
        <w:trPr>
          <w:trHeight w:val="1354"/>
        </w:trPr>
        <w:tc>
          <w:tcPr>
            <w:tcW w:w="3539" w:type="dxa"/>
            <w:vMerge w:val="restart"/>
          </w:tcPr>
          <w:p w14:paraId="095D6CF1" w14:textId="77777777" w:rsidR="006E1A5C" w:rsidRPr="003929B4" w:rsidRDefault="006E1A5C" w:rsidP="006E1A5C">
            <w:pPr>
              <w:spacing w:after="0"/>
              <w:jc w:val="both"/>
              <w:rPr>
                <w:rFonts w:ascii="Times New Roman" w:hAnsi="Times New Roman" w:cs="Times New Roman"/>
                <w:b/>
                <w:bCs/>
              </w:rPr>
            </w:pPr>
            <w:r w:rsidRPr="003929B4">
              <w:rPr>
                <w:rFonts w:ascii="Times New Roman" w:hAnsi="Times New Roman" w:cs="Times New Roman"/>
                <w:b/>
                <w:bCs/>
              </w:rPr>
              <w:lastRenderedPageBreak/>
              <w:t>Vidaus kontrolės sistema</w:t>
            </w:r>
          </w:p>
        </w:tc>
        <w:tc>
          <w:tcPr>
            <w:tcW w:w="3260" w:type="dxa"/>
            <w:tcBorders>
              <w:bottom w:val="single" w:sz="4" w:space="0" w:color="auto"/>
            </w:tcBorders>
          </w:tcPr>
          <w:p w14:paraId="602914AB" w14:textId="46FF2861"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 xml:space="preserve">Neturi būti taikomos </w:t>
            </w:r>
            <w:r w:rsidR="00C02EEC">
              <w:rPr>
                <w:rFonts w:ascii="Times New Roman" w:hAnsi="Times New Roman" w:cs="Times New Roman"/>
              </w:rPr>
              <w:t xml:space="preserve">Lietuvos banko </w:t>
            </w:r>
            <w:r w:rsidRPr="00E0686E">
              <w:rPr>
                <w:rFonts w:ascii="Times New Roman" w:hAnsi="Times New Roman" w:cs="Times New Roman"/>
              </w:rPr>
              <w:t>poveikio priemonės</w:t>
            </w:r>
            <w:r w:rsidR="00C02EEC">
              <w:rPr>
                <w:rFonts w:ascii="Times New Roman" w:hAnsi="Times New Roman" w:cs="Times New Roman"/>
              </w:rPr>
              <w:t>, išskyrus įspėjimą,</w:t>
            </w:r>
            <w:r w:rsidRPr="00E0686E">
              <w:rPr>
                <w:rFonts w:ascii="Times New Roman" w:hAnsi="Times New Roman" w:cs="Times New Roman"/>
              </w:rPr>
              <w:t xml:space="preserve"> ar veiklos apribojimai remiantis Lietuvos banko duomenimis</w:t>
            </w:r>
            <w:r>
              <w:rPr>
                <w:rFonts w:ascii="Times New Roman" w:hAnsi="Times New Roman" w:cs="Times New Roman"/>
              </w:rPr>
              <w:t>*</w:t>
            </w:r>
          </w:p>
        </w:tc>
        <w:tc>
          <w:tcPr>
            <w:tcW w:w="4395" w:type="dxa"/>
            <w:tcBorders>
              <w:bottom w:val="single" w:sz="4" w:space="0" w:color="auto"/>
            </w:tcBorders>
          </w:tcPr>
          <w:p w14:paraId="230AD587"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FT turi turėti saugią ir patikimą jo veiklą užtikrinančią vidaus kontrolės sistemą, kaip tai nustatyta LR finansų įstaigų įstatyme</w:t>
            </w:r>
          </w:p>
        </w:tc>
        <w:tc>
          <w:tcPr>
            <w:tcW w:w="4110" w:type="dxa"/>
            <w:vMerge w:val="restart"/>
          </w:tcPr>
          <w:p w14:paraId="71AE5F53" w14:textId="77777777" w:rsidR="006E1A5C" w:rsidRPr="00E0686E" w:rsidRDefault="006E1A5C" w:rsidP="006E1A5C">
            <w:pPr>
              <w:spacing w:after="0"/>
              <w:jc w:val="both"/>
              <w:rPr>
                <w:rFonts w:ascii="Times New Roman" w:hAnsi="Times New Roman"/>
              </w:rPr>
            </w:pPr>
          </w:p>
        </w:tc>
      </w:tr>
      <w:tr w:rsidR="006E1A5C" w:rsidRPr="00E0686E" w14:paraId="2B491432" w14:textId="77777777" w:rsidTr="00FE7CF5">
        <w:trPr>
          <w:trHeight w:val="1296"/>
        </w:trPr>
        <w:tc>
          <w:tcPr>
            <w:tcW w:w="3539" w:type="dxa"/>
            <w:vMerge/>
          </w:tcPr>
          <w:p w14:paraId="19AA744F" w14:textId="77777777" w:rsidR="006E1A5C" w:rsidRPr="003929B4" w:rsidRDefault="006E1A5C" w:rsidP="006E1A5C">
            <w:pPr>
              <w:spacing w:after="0"/>
              <w:jc w:val="both"/>
              <w:rPr>
                <w:rFonts w:ascii="Times New Roman" w:hAnsi="Times New Roman" w:cs="Times New Roman"/>
                <w:b/>
                <w:bCs/>
              </w:rPr>
            </w:pPr>
          </w:p>
        </w:tc>
        <w:tc>
          <w:tcPr>
            <w:tcW w:w="3260" w:type="dxa"/>
            <w:tcBorders>
              <w:bottom w:val="single" w:sz="4" w:space="0" w:color="auto"/>
            </w:tcBorders>
          </w:tcPr>
          <w:p w14:paraId="3B3CABDA"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w:t>
            </w:r>
          </w:p>
        </w:tc>
        <w:tc>
          <w:tcPr>
            <w:tcW w:w="4395" w:type="dxa"/>
            <w:tcBorders>
              <w:bottom w:val="single" w:sz="4" w:space="0" w:color="auto"/>
            </w:tcBorders>
          </w:tcPr>
          <w:p w14:paraId="2199AA08"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FT turi turėti nustatytas procedūras, skirtas vertinti pinigų plovimo ir (ar) teroristų finansavimo rizikos pasireiškimą bei ją valdyti</w:t>
            </w:r>
          </w:p>
        </w:tc>
        <w:tc>
          <w:tcPr>
            <w:tcW w:w="4110" w:type="dxa"/>
            <w:vMerge/>
          </w:tcPr>
          <w:p w14:paraId="1F1CB499" w14:textId="77777777" w:rsidR="006E1A5C" w:rsidRPr="00E0686E" w:rsidRDefault="006E1A5C" w:rsidP="006E1A5C">
            <w:pPr>
              <w:spacing w:after="0"/>
              <w:jc w:val="both"/>
              <w:rPr>
                <w:rFonts w:ascii="Times New Roman" w:hAnsi="Times New Roman"/>
              </w:rPr>
            </w:pPr>
          </w:p>
        </w:tc>
      </w:tr>
      <w:tr w:rsidR="006E1A5C" w:rsidRPr="00E0686E" w14:paraId="6F8F72FD" w14:textId="77777777" w:rsidTr="00FE7CF5">
        <w:tc>
          <w:tcPr>
            <w:tcW w:w="3539" w:type="dxa"/>
            <w:vMerge/>
          </w:tcPr>
          <w:p w14:paraId="2D988800" w14:textId="77777777" w:rsidR="006E1A5C" w:rsidRPr="003929B4" w:rsidRDefault="006E1A5C" w:rsidP="006E1A5C">
            <w:pPr>
              <w:spacing w:after="0"/>
              <w:jc w:val="both"/>
              <w:rPr>
                <w:rFonts w:ascii="Times New Roman" w:hAnsi="Times New Roman" w:cs="Times New Roman"/>
                <w:b/>
                <w:bCs/>
              </w:rPr>
            </w:pPr>
          </w:p>
        </w:tc>
        <w:tc>
          <w:tcPr>
            <w:tcW w:w="3260" w:type="dxa"/>
          </w:tcPr>
          <w:p w14:paraId="4FA62691"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w:t>
            </w:r>
          </w:p>
        </w:tc>
        <w:tc>
          <w:tcPr>
            <w:tcW w:w="4395" w:type="dxa"/>
          </w:tcPr>
          <w:p w14:paraId="342255DA"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u</w:t>
            </w:r>
            <w:r w:rsidRPr="00E0686E">
              <w:rPr>
                <w:rFonts w:ascii="Times New Roman" w:hAnsi="Times New Roman" w:cs="Times New Roman"/>
              </w:rPr>
              <w:t>žtikrinti informacijos saugumą pagal BDAR reikalavimus</w:t>
            </w:r>
          </w:p>
        </w:tc>
        <w:tc>
          <w:tcPr>
            <w:tcW w:w="4110" w:type="dxa"/>
            <w:vMerge/>
          </w:tcPr>
          <w:p w14:paraId="2444697C" w14:textId="77777777" w:rsidR="006E1A5C" w:rsidRPr="00E0686E" w:rsidRDefault="006E1A5C" w:rsidP="006E1A5C">
            <w:pPr>
              <w:spacing w:after="0"/>
              <w:jc w:val="both"/>
              <w:rPr>
                <w:rFonts w:ascii="Times New Roman" w:hAnsi="Times New Roman"/>
              </w:rPr>
            </w:pPr>
          </w:p>
        </w:tc>
      </w:tr>
      <w:tr w:rsidR="006E1A5C" w:rsidRPr="00E0686E" w14:paraId="07629054" w14:textId="77777777" w:rsidTr="00FE7CF5">
        <w:tc>
          <w:tcPr>
            <w:tcW w:w="3539" w:type="dxa"/>
            <w:vMerge/>
          </w:tcPr>
          <w:p w14:paraId="6D3B55E9" w14:textId="77777777" w:rsidR="006E1A5C" w:rsidRPr="003929B4" w:rsidRDefault="006E1A5C" w:rsidP="006E1A5C">
            <w:pPr>
              <w:spacing w:after="0"/>
              <w:jc w:val="both"/>
              <w:rPr>
                <w:rFonts w:ascii="Times New Roman" w:hAnsi="Times New Roman" w:cs="Times New Roman"/>
                <w:b/>
                <w:bCs/>
              </w:rPr>
            </w:pPr>
          </w:p>
        </w:tc>
        <w:tc>
          <w:tcPr>
            <w:tcW w:w="3260" w:type="dxa"/>
          </w:tcPr>
          <w:p w14:paraId="185BAB2E"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w:t>
            </w:r>
          </w:p>
        </w:tc>
        <w:tc>
          <w:tcPr>
            <w:tcW w:w="4395" w:type="dxa"/>
          </w:tcPr>
          <w:p w14:paraId="0FC2CDF8"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 xml:space="preserve">FT turi </w:t>
            </w:r>
            <w:r>
              <w:rPr>
                <w:rFonts w:ascii="Times New Roman" w:hAnsi="Times New Roman" w:cs="Times New Roman"/>
              </w:rPr>
              <w:t>t</w:t>
            </w:r>
            <w:r w:rsidRPr="00E0686E">
              <w:rPr>
                <w:rFonts w:ascii="Times New Roman" w:hAnsi="Times New Roman" w:cs="Times New Roman"/>
              </w:rPr>
              <w:t>urėti galimų interesų konfliktų valdymo tvarkas ir procedūras</w:t>
            </w:r>
          </w:p>
        </w:tc>
        <w:tc>
          <w:tcPr>
            <w:tcW w:w="4110" w:type="dxa"/>
            <w:vMerge/>
          </w:tcPr>
          <w:p w14:paraId="3F6456CB" w14:textId="77777777" w:rsidR="006E1A5C" w:rsidRPr="00E0686E" w:rsidRDefault="006E1A5C" w:rsidP="006E1A5C">
            <w:pPr>
              <w:spacing w:after="0"/>
              <w:jc w:val="both"/>
              <w:rPr>
                <w:rFonts w:ascii="Times New Roman" w:hAnsi="Times New Roman"/>
              </w:rPr>
            </w:pPr>
          </w:p>
        </w:tc>
      </w:tr>
      <w:tr w:rsidR="006E1A5C" w:rsidRPr="00E0686E" w14:paraId="1454C6DC" w14:textId="77777777" w:rsidTr="00FE7CF5">
        <w:tc>
          <w:tcPr>
            <w:tcW w:w="3539" w:type="dxa"/>
            <w:vMerge/>
          </w:tcPr>
          <w:p w14:paraId="6B478D2D" w14:textId="77777777" w:rsidR="006E1A5C" w:rsidRPr="003929B4" w:rsidRDefault="006E1A5C" w:rsidP="006E1A5C">
            <w:pPr>
              <w:spacing w:after="0"/>
              <w:jc w:val="both"/>
              <w:rPr>
                <w:rFonts w:ascii="Times New Roman" w:hAnsi="Times New Roman"/>
                <w:b/>
                <w:bCs/>
              </w:rPr>
            </w:pPr>
          </w:p>
        </w:tc>
        <w:tc>
          <w:tcPr>
            <w:tcW w:w="3260" w:type="dxa"/>
          </w:tcPr>
          <w:p w14:paraId="32FFED10" w14:textId="77777777" w:rsidR="006E1A5C" w:rsidRPr="00E0686E" w:rsidRDefault="006E1A5C" w:rsidP="006E1A5C">
            <w:pPr>
              <w:spacing w:after="0"/>
              <w:jc w:val="both"/>
              <w:rPr>
                <w:rFonts w:ascii="Times New Roman" w:hAnsi="Times New Roman"/>
              </w:rPr>
            </w:pPr>
          </w:p>
        </w:tc>
        <w:tc>
          <w:tcPr>
            <w:tcW w:w="4395" w:type="dxa"/>
          </w:tcPr>
          <w:p w14:paraId="1F364014" w14:textId="77777777" w:rsidR="006E1A5C" w:rsidRPr="00E0686E" w:rsidRDefault="006E1A5C" w:rsidP="006E1A5C">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 xml:space="preserve">turėti </w:t>
            </w:r>
            <w:r w:rsidRPr="00290BA4">
              <w:rPr>
                <w:rFonts w:ascii="Times New Roman" w:hAnsi="Times New Roman"/>
              </w:rPr>
              <w:t>elektroninių duomenų apdorojimo kontrolės ir apsaugos priemones</w:t>
            </w:r>
          </w:p>
        </w:tc>
        <w:tc>
          <w:tcPr>
            <w:tcW w:w="4110" w:type="dxa"/>
            <w:vMerge/>
          </w:tcPr>
          <w:p w14:paraId="7F44FAC1" w14:textId="77777777" w:rsidR="006E1A5C" w:rsidRDefault="006E1A5C" w:rsidP="006E1A5C">
            <w:pPr>
              <w:spacing w:after="0"/>
              <w:jc w:val="both"/>
              <w:rPr>
                <w:rFonts w:ascii="Times New Roman" w:hAnsi="Times New Roman"/>
              </w:rPr>
            </w:pPr>
          </w:p>
        </w:tc>
      </w:tr>
      <w:tr w:rsidR="006E1A5C" w:rsidRPr="00E0686E" w14:paraId="1BCC44D9" w14:textId="77777777" w:rsidTr="00FE7CF5">
        <w:trPr>
          <w:trHeight w:val="841"/>
        </w:trPr>
        <w:tc>
          <w:tcPr>
            <w:tcW w:w="3539" w:type="dxa"/>
            <w:vMerge/>
          </w:tcPr>
          <w:p w14:paraId="135DAC6F" w14:textId="77777777" w:rsidR="006E1A5C" w:rsidRPr="000F4BA5" w:rsidRDefault="006E1A5C" w:rsidP="006E1A5C">
            <w:pPr>
              <w:spacing w:after="0"/>
              <w:jc w:val="both"/>
              <w:rPr>
                <w:rFonts w:ascii="Times New Roman" w:hAnsi="Times New Roman"/>
                <w:b/>
                <w:bCs/>
              </w:rPr>
            </w:pPr>
          </w:p>
        </w:tc>
        <w:tc>
          <w:tcPr>
            <w:tcW w:w="3260" w:type="dxa"/>
          </w:tcPr>
          <w:p w14:paraId="0BACCEE2" w14:textId="77777777" w:rsidR="006E1A5C" w:rsidRPr="00E0686E" w:rsidRDefault="006E1A5C" w:rsidP="006E1A5C">
            <w:pPr>
              <w:spacing w:after="0"/>
              <w:jc w:val="both"/>
              <w:rPr>
                <w:rFonts w:ascii="Times New Roman" w:hAnsi="Times New Roman"/>
              </w:rPr>
            </w:pPr>
          </w:p>
        </w:tc>
        <w:tc>
          <w:tcPr>
            <w:tcW w:w="4395" w:type="dxa"/>
          </w:tcPr>
          <w:p w14:paraId="7F895C2F" w14:textId="77777777" w:rsidR="006E1A5C" w:rsidRPr="000F4BA5" w:rsidRDefault="006E1A5C" w:rsidP="006E1A5C">
            <w:pPr>
              <w:spacing w:after="0"/>
              <w:jc w:val="both"/>
              <w:rPr>
                <w:rFonts w:ascii="Times New Roman" w:hAnsi="Times New Roman"/>
              </w:rPr>
            </w:pPr>
            <w:r w:rsidRPr="00E0686E">
              <w:rPr>
                <w:rFonts w:ascii="Times New Roman" w:hAnsi="Times New Roman" w:cs="Times New Roman"/>
              </w:rPr>
              <w:t xml:space="preserve">FT turi </w:t>
            </w:r>
            <w:r>
              <w:rPr>
                <w:rFonts w:ascii="Times New Roman" w:hAnsi="Times New Roman"/>
              </w:rPr>
              <w:t>t</w:t>
            </w:r>
            <w:r w:rsidRPr="000F4BA5">
              <w:rPr>
                <w:rFonts w:ascii="Times New Roman" w:hAnsi="Times New Roman"/>
              </w:rPr>
              <w:t>urėti patikimą dokumentų saugojimo sistemą</w:t>
            </w:r>
            <w:r w:rsidRPr="003929B4">
              <w:rPr>
                <w:rFonts w:ascii="Times New Roman" w:hAnsi="Times New Roman" w:cs="Times New Roman"/>
              </w:rPr>
              <w:t xml:space="preserve"> </w:t>
            </w:r>
            <w:r>
              <w:rPr>
                <w:rFonts w:ascii="Times New Roman" w:hAnsi="Times New Roman" w:cs="Times New Roman"/>
              </w:rPr>
              <w:t xml:space="preserve">ir </w:t>
            </w:r>
            <w:r w:rsidRPr="003929B4">
              <w:rPr>
                <w:rFonts w:ascii="Times New Roman" w:hAnsi="Times New Roman" w:cs="Times New Roman"/>
              </w:rPr>
              <w:t xml:space="preserve">duomenų, susijusių su Faktoringo sandorių teikimu MVĮ, kaupimo </w:t>
            </w:r>
            <w:r>
              <w:rPr>
                <w:rFonts w:ascii="Times New Roman" w:hAnsi="Times New Roman" w:cs="Times New Roman"/>
              </w:rPr>
              <w:t>bei</w:t>
            </w:r>
            <w:r w:rsidRPr="003929B4">
              <w:rPr>
                <w:rFonts w:ascii="Times New Roman" w:hAnsi="Times New Roman" w:cs="Times New Roman"/>
              </w:rPr>
              <w:t xml:space="preserve"> valdymo sistemą</w:t>
            </w:r>
          </w:p>
        </w:tc>
        <w:tc>
          <w:tcPr>
            <w:tcW w:w="4110" w:type="dxa"/>
            <w:vMerge/>
          </w:tcPr>
          <w:p w14:paraId="53A27E18" w14:textId="77777777" w:rsidR="006E1A5C" w:rsidRDefault="006E1A5C" w:rsidP="006E1A5C">
            <w:pPr>
              <w:spacing w:after="0"/>
              <w:jc w:val="both"/>
              <w:rPr>
                <w:rFonts w:ascii="Times New Roman" w:hAnsi="Times New Roman"/>
              </w:rPr>
            </w:pPr>
          </w:p>
        </w:tc>
      </w:tr>
      <w:tr w:rsidR="006E1A5C" w:rsidRPr="00E0686E" w14:paraId="34AA320C" w14:textId="77777777" w:rsidTr="00FE7CF5">
        <w:trPr>
          <w:trHeight w:val="1504"/>
        </w:trPr>
        <w:tc>
          <w:tcPr>
            <w:tcW w:w="3539" w:type="dxa"/>
            <w:vMerge w:val="restart"/>
          </w:tcPr>
          <w:p w14:paraId="067A026A" w14:textId="77777777" w:rsidR="006E1A5C" w:rsidRPr="003929B4" w:rsidRDefault="006E1A5C" w:rsidP="006E1A5C">
            <w:pPr>
              <w:spacing w:after="0"/>
              <w:jc w:val="both"/>
              <w:rPr>
                <w:rFonts w:ascii="Times New Roman" w:hAnsi="Times New Roman" w:cs="Times New Roman"/>
                <w:b/>
                <w:bCs/>
              </w:rPr>
            </w:pPr>
            <w:r w:rsidRPr="003929B4">
              <w:rPr>
                <w:rFonts w:ascii="Times New Roman" w:hAnsi="Times New Roman" w:cs="Times New Roman"/>
                <w:b/>
                <w:bCs/>
              </w:rPr>
              <w:t>Kreditavimo tvarkos ir procedūros</w:t>
            </w:r>
          </w:p>
        </w:tc>
        <w:tc>
          <w:tcPr>
            <w:tcW w:w="3260" w:type="dxa"/>
          </w:tcPr>
          <w:p w14:paraId="11BB5E39"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r>
              <w:rPr>
                <w:rFonts w:ascii="Times New Roman" w:hAnsi="Times New Roman" w:cs="Times New Roman"/>
              </w:rPr>
              <w:t>*</w:t>
            </w:r>
          </w:p>
        </w:tc>
        <w:tc>
          <w:tcPr>
            <w:tcW w:w="4395" w:type="dxa"/>
          </w:tcPr>
          <w:p w14:paraId="5C1A6FA5"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t>Turėti kreditavimo procesą ir su juo susijusias rizikas reglamentuojančias tvarkas, procedūras ir (ar) politikas</w:t>
            </w:r>
          </w:p>
        </w:tc>
        <w:tc>
          <w:tcPr>
            <w:tcW w:w="4110" w:type="dxa"/>
            <w:vMerge w:val="restart"/>
          </w:tcPr>
          <w:p w14:paraId="7D39FCF5" w14:textId="77777777" w:rsidR="006E1A5C" w:rsidRPr="00E0686E" w:rsidRDefault="006E1A5C" w:rsidP="006E1A5C">
            <w:pPr>
              <w:spacing w:after="0"/>
              <w:jc w:val="both"/>
              <w:rPr>
                <w:rFonts w:ascii="Times New Roman" w:hAnsi="Times New Roman"/>
              </w:rPr>
            </w:pPr>
          </w:p>
        </w:tc>
      </w:tr>
      <w:tr w:rsidR="006E1A5C" w:rsidRPr="00E0686E" w14:paraId="174FB547" w14:textId="77777777" w:rsidTr="00FE7CF5">
        <w:tc>
          <w:tcPr>
            <w:tcW w:w="3539" w:type="dxa"/>
            <w:vMerge/>
            <w:tcBorders>
              <w:top w:val="nil"/>
              <w:bottom w:val="single" w:sz="4" w:space="0" w:color="auto"/>
            </w:tcBorders>
          </w:tcPr>
          <w:p w14:paraId="004ED7B2" w14:textId="77777777" w:rsidR="006E1A5C" w:rsidRPr="003929B4" w:rsidRDefault="006E1A5C" w:rsidP="006E1A5C">
            <w:pPr>
              <w:spacing w:after="0"/>
              <w:jc w:val="both"/>
              <w:rPr>
                <w:rFonts w:ascii="Times New Roman" w:hAnsi="Times New Roman" w:cs="Times New Roman"/>
                <w:b/>
                <w:bCs/>
              </w:rPr>
            </w:pPr>
          </w:p>
        </w:tc>
        <w:tc>
          <w:tcPr>
            <w:tcW w:w="3260" w:type="dxa"/>
            <w:tcBorders>
              <w:top w:val="nil"/>
              <w:bottom w:val="single" w:sz="4" w:space="0" w:color="auto"/>
            </w:tcBorders>
          </w:tcPr>
          <w:p w14:paraId="6BB57944" w14:textId="77777777" w:rsidR="006E1A5C" w:rsidRPr="007A0E2B" w:rsidRDefault="006E1A5C" w:rsidP="006E1A5C">
            <w:pPr>
              <w:spacing w:after="0"/>
              <w:jc w:val="both"/>
              <w:rPr>
                <w:rFonts w:ascii="Times New Roman" w:hAnsi="Times New Roman" w:cs="Times New Roman"/>
              </w:rPr>
            </w:pPr>
            <w:r w:rsidRPr="00E0686E">
              <w:rPr>
                <w:rFonts w:ascii="Times New Roman" w:hAnsi="Times New Roman" w:cs="Times New Roman"/>
              </w:rPr>
              <w:t xml:space="preserve">Sprendimai dėl projekto finansavimo suteikimo turi būti priimami tik atlikus rizikos vertinimą, vadovaujantis FT </w:t>
            </w:r>
            <w:r w:rsidRPr="00E0686E">
              <w:rPr>
                <w:rFonts w:ascii="Times New Roman" w:hAnsi="Times New Roman" w:cs="Times New Roman"/>
              </w:rPr>
              <w:lastRenderedPageBreak/>
              <w:t>patvirtintomis procedūromis ir tvarkomis, užtikrinančiomis tinkamą projekto rizikos ir kredito gavėjo mokumo įvertinimą bei užkertančiomis galimybę prisiimti pernelyg didelę kredito riziką</w:t>
            </w:r>
            <w:r w:rsidRPr="0009403D">
              <w:rPr>
                <w:rFonts w:ascii="Times New Roman" w:hAnsi="Times New Roman"/>
              </w:rPr>
              <w:t>*</w:t>
            </w:r>
          </w:p>
        </w:tc>
        <w:tc>
          <w:tcPr>
            <w:tcW w:w="4395" w:type="dxa"/>
            <w:tcBorders>
              <w:top w:val="nil"/>
              <w:bottom w:val="single" w:sz="4" w:space="0" w:color="auto"/>
            </w:tcBorders>
          </w:tcPr>
          <w:p w14:paraId="2BFA08FC" w14:textId="77777777" w:rsidR="006E1A5C" w:rsidRPr="00E0686E" w:rsidRDefault="006E1A5C" w:rsidP="006E1A5C">
            <w:pPr>
              <w:spacing w:after="0"/>
              <w:jc w:val="both"/>
              <w:rPr>
                <w:rFonts w:ascii="Times New Roman" w:hAnsi="Times New Roman" w:cs="Times New Roman"/>
              </w:rPr>
            </w:pPr>
            <w:r w:rsidRPr="00E0686E">
              <w:rPr>
                <w:rFonts w:ascii="Times New Roman" w:hAnsi="Times New Roman" w:cs="Times New Roman"/>
              </w:rPr>
              <w:lastRenderedPageBreak/>
              <w:t xml:space="preserve">Sprendimai dėl projekto finansavimo suteikimo turi būti priimami tik atlikus rizikos vertinimą, vadovaujantis FT patvirtintomis procedūromis ir tvarkomis, užtikrinančiomis tinkamą projekto </w:t>
            </w:r>
            <w:r w:rsidRPr="00E0686E">
              <w:rPr>
                <w:rFonts w:ascii="Times New Roman" w:hAnsi="Times New Roman" w:cs="Times New Roman"/>
              </w:rPr>
              <w:lastRenderedPageBreak/>
              <w:t>rizikos ir kredito gavėjo mokumo įvertinimą bei užkertančiomis galimybę prisiimti pernelyg didelę kredito riziką</w:t>
            </w:r>
          </w:p>
        </w:tc>
        <w:tc>
          <w:tcPr>
            <w:tcW w:w="4110" w:type="dxa"/>
            <w:vMerge/>
            <w:tcBorders>
              <w:bottom w:val="single" w:sz="4" w:space="0" w:color="auto"/>
            </w:tcBorders>
          </w:tcPr>
          <w:p w14:paraId="32378756" w14:textId="77777777" w:rsidR="006E1A5C" w:rsidRPr="00E0686E" w:rsidRDefault="006E1A5C" w:rsidP="006E1A5C">
            <w:pPr>
              <w:spacing w:after="0"/>
              <w:jc w:val="both"/>
              <w:rPr>
                <w:rFonts w:ascii="Times New Roman" w:hAnsi="Times New Roman"/>
              </w:rPr>
            </w:pPr>
          </w:p>
        </w:tc>
      </w:tr>
      <w:tr w:rsidR="006E1A5C" w:rsidRPr="00E0686E" w14:paraId="602A02EE" w14:textId="77777777" w:rsidTr="00FE7CF5">
        <w:tc>
          <w:tcPr>
            <w:tcW w:w="3539" w:type="dxa"/>
            <w:tcBorders>
              <w:top w:val="single" w:sz="4" w:space="0" w:color="auto"/>
              <w:bottom w:val="single" w:sz="4" w:space="0" w:color="auto"/>
            </w:tcBorders>
          </w:tcPr>
          <w:p w14:paraId="67EA1FC2" w14:textId="77777777" w:rsidR="006E1A5C" w:rsidRPr="001E73A9" w:rsidRDefault="006E1A5C" w:rsidP="006E1A5C">
            <w:pPr>
              <w:spacing w:after="0"/>
              <w:jc w:val="both"/>
              <w:rPr>
                <w:rFonts w:ascii="Times New Roman" w:hAnsi="Times New Roman"/>
                <w:b/>
                <w:bCs/>
              </w:rPr>
            </w:pPr>
            <w:r w:rsidRPr="001E73A9">
              <w:rPr>
                <w:rFonts w:ascii="Times New Roman" w:hAnsi="Times New Roman"/>
                <w:b/>
                <w:bCs/>
              </w:rPr>
              <w:t>Tvarkos ir procedūros tinkamam Sutarties įgyvendinimui ir administravimui</w:t>
            </w:r>
          </w:p>
        </w:tc>
        <w:tc>
          <w:tcPr>
            <w:tcW w:w="3260" w:type="dxa"/>
            <w:tcBorders>
              <w:top w:val="single" w:sz="4" w:space="0" w:color="auto"/>
              <w:bottom w:val="single" w:sz="4" w:space="0" w:color="auto"/>
            </w:tcBorders>
          </w:tcPr>
          <w:p w14:paraId="1BD153CF" w14:textId="77777777" w:rsidR="006E1A5C" w:rsidRPr="00E0686E" w:rsidRDefault="006E1A5C" w:rsidP="006E1A5C">
            <w:pPr>
              <w:spacing w:after="0"/>
              <w:jc w:val="both"/>
              <w:rPr>
                <w:rFonts w:ascii="Times New Roman" w:hAnsi="Times New Roman"/>
              </w:rPr>
            </w:pPr>
            <w:r>
              <w:rPr>
                <w:rFonts w:ascii="Times New Roman" w:hAnsi="Times New Roman"/>
              </w:rPr>
              <w:t>Faktoringo</w:t>
            </w:r>
            <w:r w:rsidRPr="00224223">
              <w:rPr>
                <w:rFonts w:ascii="Times New Roman" w:hAnsi="Times New Roman"/>
              </w:rPr>
              <w:t xml:space="preserve"> gavėjų rizikos įvertinimo </w:t>
            </w:r>
            <w:r>
              <w:rPr>
                <w:rFonts w:ascii="Times New Roman" w:hAnsi="Times New Roman"/>
              </w:rPr>
              <w:t xml:space="preserve">ir reitingavimo </w:t>
            </w:r>
            <w:r w:rsidRPr="00224223">
              <w:rPr>
                <w:rFonts w:ascii="Times New Roman" w:hAnsi="Times New Roman"/>
              </w:rPr>
              <w:t>procedūr</w:t>
            </w:r>
            <w:r>
              <w:rPr>
                <w:rFonts w:ascii="Times New Roman" w:hAnsi="Times New Roman"/>
              </w:rPr>
              <w:t>o</w:t>
            </w:r>
            <w:r w:rsidRPr="00224223">
              <w:rPr>
                <w:rFonts w:ascii="Times New Roman" w:hAnsi="Times New Roman"/>
              </w:rPr>
              <w:t>s</w:t>
            </w:r>
          </w:p>
        </w:tc>
        <w:tc>
          <w:tcPr>
            <w:tcW w:w="4395" w:type="dxa"/>
            <w:tcBorders>
              <w:top w:val="single" w:sz="4" w:space="0" w:color="auto"/>
              <w:bottom w:val="single" w:sz="4" w:space="0" w:color="auto"/>
            </w:tcBorders>
          </w:tcPr>
          <w:p w14:paraId="4888E91E" w14:textId="77777777" w:rsidR="006E1A5C" w:rsidRPr="00E0686E" w:rsidRDefault="006E1A5C" w:rsidP="006E1A5C">
            <w:pPr>
              <w:spacing w:after="0"/>
              <w:jc w:val="both"/>
              <w:rPr>
                <w:rFonts w:ascii="Times New Roman" w:hAnsi="Times New Roman"/>
              </w:rPr>
            </w:pPr>
            <w:r>
              <w:rPr>
                <w:rFonts w:ascii="Times New Roman" w:hAnsi="Times New Roman"/>
              </w:rPr>
              <w:t>Faktoringo</w:t>
            </w:r>
            <w:r w:rsidRPr="00224223">
              <w:rPr>
                <w:rFonts w:ascii="Times New Roman" w:hAnsi="Times New Roman"/>
              </w:rPr>
              <w:t xml:space="preserve"> gavėjų rizikos įvertinimo </w:t>
            </w:r>
            <w:r>
              <w:rPr>
                <w:rFonts w:ascii="Times New Roman" w:hAnsi="Times New Roman"/>
              </w:rPr>
              <w:t xml:space="preserve">ir reitingavimo </w:t>
            </w:r>
            <w:r w:rsidRPr="00224223">
              <w:rPr>
                <w:rFonts w:ascii="Times New Roman" w:hAnsi="Times New Roman"/>
              </w:rPr>
              <w:t>procedūr</w:t>
            </w:r>
            <w:r>
              <w:rPr>
                <w:rFonts w:ascii="Times New Roman" w:hAnsi="Times New Roman"/>
              </w:rPr>
              <w:t>o</w:t>
            </w:r>
            <w:r w:rsidRPr="00224223">
              <w:rPr>
                <w:rFonts w:ascii="Times New Roman" w:hAnsi="Times New Roman"/>
              </w:rPr>
              <w:t>s</w:t>
            </w:r>
          </w:p>
        </w:tc>
        <w:tc>
          <w:tcPr>
            <w:tcW w:w="4110" w:type="dxa"/>
            <w:tcBorders>
              <w:bottom w:val="single" w:sz="4" w:space="0" w:color="auto"/>
            </w:tcBorders>
          </w:tcPr>
          <w:p w14:paraId="4763F139" w14:textId="77777777" w:rsidR="006E1A5C" w:rsidRPr="00E0686E" w:rsidRDefault="006E1A5C" w:rsidP="006E1A5C">
            <w:pPr>
              <w:spacing w:after="0"/>
              <w:jc w:val="both"/>
              <w:rPr>
                <w:rFonts w:ascii="Times New Roman" w:hAnsi="Times New Roman"/>
              </w:rPr>
            </w:pPr>
          </w:p>
        </w:tc>
      </w:tr>
      <w:tr w:rsidR="006E1A5C" w:rsidRPr="00E0686E" w14:paraId="076805E9" w14:textId="77777777" w:rsidTr="00FE7CF5">
        <w:tc>
          <w:tcPr>
            <w:tcW w:w="3539" w:type="dxa"/>
            <w:tcBorders>
              <w:top w:val="single" w:sz="4" w:space="0" w:color="auto"/>
              <w:bottom w:val="single" w:sz="4" w:space="0" w:color="auto"/>
            </w:tcBorders>
          </w:tcPr>
          <w:p w14:paraId="46BF3B87" w14:textId="77777777" w:rsidR="006E1A5C" w:rsidRPr="009C6E26" w:rsidRDefault="006E1A5C" w:rsidP="006E1A5C">
            <w:pPr>
              <w:spacing w:after="0"/>
              <w:jc w:val="both"/>
              <w:rPr>
                <w:rFonts w:ascii="Times New Roman" w:hAnsi="Times New Roman"/>
              </w:rPr>
            </w:pPr>
          </w:p>
        </w:tc>
        <w:tc>
          <w:tcPr>
            <w:tcW w:w="3260" w:type="dxa"/>
            <w:tcBorders>
              <w:top w:val="single" w:sz="4" w:space="0" w:color="auto"/>
              <w:bottom w:val="single" w:sz="4" w:space="0" w:color="auto"/>
            </w:tcBorders>
          </w:tcPr>
          <w:p w14:paraId="315B866E" w14:textId="77777777" w:rsidR="006E1A5C" w:rsidRPr="004615DD" w:rsidRDefault="006E1A5C" w:rsidP="006E1A5C">
            <w:pPr>
              <w:spacing w:after="0"/>
              <w:jc w:val="both"/>
              <w:rPr>
                <w:rFonts w:ascii="Times New Roman" w:hAnsi="Times New Roman"/>
              </w:rPr>
            </w:pPr>
            <w:r w:rsidRPr="00D92F22">
              <w:rPr>
                <w:rFonts w:ascii="Times New Roman" w:hAnsi="Times New Roman"/>
              </w:rPr>
              <w:t xml:space="preserve">Turėti </w:t>
            </w:r>
            <w:r>
              <w:rPr>
                <w:rFonts w:ascii="Times New Roman" w:hAnsi="Times New Roman"/>
              </w:rPr>
              <w:t>faktoringo</w:t>
            </w:r>
            <w:r w:rsidRPr="00D92F22">
              <w:rPr>
                <w:rFonts w:ascii="Times New Roman" w:hAnsi="Times New Roman"/>
              </w:rPr>
              <w:t xml:space="preserve"> teikimo, </w:t>
            </w:r>
            <w:r>
              <w:rPr>
                <w:rFonts w:ascii="Times New Roman" w:hAnsi="Times New Roman"/>
              </w:rPr>
              <w:t xml:space="preserve">sandorių </w:t>
            </w:r>
            <w:r w:rsidRPr="00D92F22">
              <w:rPr>
                <w:rFonts w:ascii="Times New Roman" w:hAnsi="Times New Roman"/>
              </w:rPr>
              <w:t xml:space="preserve">stebėsenos procedūras, </w:t>
            </w:r>
            <w:r>
              <w:rPr>
                <w:rFonts w:ascii="Times New Roman" w:hAnsi="Times New Roman"/>
              </w:rPr>
              <w:t>faktoringo</w:t>
            </w:r>
            <w:r w:rsidRPr="00D92F22">
              <w:rPr>
                <w:rFonts w:ascii="Times New Roman" w:hAnsi="Times New Roman"/>
              </w:rPr>
              <w:t xml:space="preserve"> portfelio rizikos valdymo, skolų išieškojimo metodikas</w:t>
            </w:r>
            <w:r w:rsidRPr="004615DD">
              <w:rPr>
                <w:rFonts w:ascii="Times New Roman" w:hAnsi="Times New Roman"/>
              </w:rPr>
              <w:t>*</w:t>
            </w:r>
          </w:p>
        </w:tc>
        <w:tc>
          <w:tcPr>
            <w:tcW w:w="4395" w:type="dxa"/>
            <w:tcBorders>
              <w:top w:val="single" w:sz="4" w:space="0" w:color="auto"/>
              <w:bottom w:val="single" w:sz="4" w:space="0" w:color="auto"/>
            </w:tcBorders>
          </w:tcPr>
          <w:p w14:paraId="1F410261" w14:textId="77777777" w:rsidR="006E1A5C" w:rsidRDefault="006E1A5C" w:rsidP="006E1A5C">
            <w:pPr>
              <w:spacing w:after="0"/>
              <w:jc w:val="both"/>
              <w:rPr>
                <w:rFonts w:ascii="Times New Roman" w:hAnsi="Times New Roman"/>
              </w:rPr>
            </w:pPr>
            <w:r w:rsidRPr="00D92F22">
              <w:rPr>
                <w:rFonts w:ascii="Times New Roman" w:hAnsi="Times New Roman"/>
              </w:rPr>
              <w:t xml:space="preserve">Turėti </w:t>
            </w:r>
            <w:r>
              <w:rPr>
                <w:rFonts w:ascii="Times New Roman" w:hAnsi="Times New Roman"/>
              </w:rPr>
              <w:t>faktoringo</w:t>
            </w:r>
            <w:r w:rsidRPr="00D92F22">
              <w:rPr>
                <w:rFonts w:ascii="Times New Roman" w:hAnsi="Times New Roman"/>
              </w:rPr>
              <w:t xml:space="preserve"> teikimo, </w:t>
            </w:r>
            <w:r>
              <w:rPr>
                <w:rFonts w:ascii="Times New Roman" w:hAnsi="Times New Roman"/>
              </w:rPr>
              <w:t xml:space="preserve">sandorių </w:t>
            </w:r>
            <w:r w:rsidRPr="00D92F22">
              <w:rPr>
                <w:rFonts w:ascii="Times New Roman" w:hAnsi="Times New Roman"/>
              </w:rPr>
              <w:t xml:space="preserve">stebėsenos procedūras, </w:t>
            </w:r>
            <w:r>
              <w:rPr>
                <w:rFonts w:ascii="Times New Roman" w:hAnsi="Times New Roman"/>
              </w:rPr>
              <w:t>faktoringo</w:t>
            </w:r>
            <w:r w:rsidRPr="00D92F22">
              <w:rPr>
                <w:rFonts w:ascii="Times New Roman" w:hAnsi="Times New Roman"/>
              </w:rPr>
              <w:t xml:space="preserve"> portfelio rizikos valdymo, skolų išieškojimo metodikas</w:t>
            </w:r>
          </w:p>
        </w:tc>
        <w:tc>
          <w:tcPr>
            <w:tcW w:w="4110" w:type="dxa"/>
            <w:tcBorders>
              <w:top w:val="single" w:sz="4" w:space="0" w:color="auto"/>
              <w:bottom w:val="single" w:sz="4" w:space="0" w:color="auto"/>
            </w:tcBorders>
          </w:tcPr>
          <w:p w14:paraId="1C05039B" w14:textId="77777777" w:rsidR="006E1A5C" w:rsidRDefault="006E1A5C" w:rsidP="006E1A5C">
            <w:pPr>
              <w:spacing w:after="0"/>
              <w:jc w:val="both"/>
              <w:rPr>
                <w:rFonts w:ascii="Times New Roman" w:hAnsi="Times New Roman"/>
              </w:rPr>
            </w:pPr>
          </w:p>
        </w:tc>
      </w:tr>
      <w:tr w:rsidR="006E1A5C" w:rsidRPr="00E0686E" w14:paraId="23C7EAAF" w14:textId="77777777" w:rsidTr="00FE7CF5">
        <w:tc>
          <w:tcPr>
            <w:tcW w:w="3539" w:type="dxa"/>
            <w:tcBorders>
              <w:top w:val="single" w:sz="4" w:space="0" w:color="auto"/>
              <w:bottom w:val="single" w:sz="4" w:space="0" w:color="auto"/>
            </w:tcBorders>
          </w:tcPr>
          <w:p w14:paraId="3CB782C1" w14:textId="77777777" w:rsidR="006E1A5C" w:rsidRPr="009C6E26" w:rsidRDefault="006E1A5C" w:rsidP="006E1A5C">
            <w:pPr>
              <w:spacing w:after="0"/>
              <w:jc w:val="both"/>
              <w:rPr>
                <w:rFonts w:ascii="Times New Roman" w:hAnsi="Times New Roman"/>
              </w:rPr>
            </w:pPr>
          </w:p>
        </w:tc>
        <w:tc>
          <w:tcPr>
            <w:tcW w:w="3260" w:type="dxa"/>
            <w:tcBorders>
              <w:top w:val="single" w:sz="4" w:space="0" w:color="auto"/>
              <w:bottom w:val="single" w:sz="4" w:space="0" w:color="auto"/>
            </w:tcBorders>
          </w:tcPr>
          <w:p w14:paraId="671FE80C" w14:textId="77777777" w:rsidR="006E1A5C" w:rsidRPr="00D92F22" w:rsidRDefault="006E1A5C" w:rsidP="006E1A5C">
            <w:pPr>
              <w:spacing w:after="0"/>
              <w:jc w:val="both"/>
              <w:rPr>
                <w:rFonts w:ascii="Times New Roman" w:hAnsi="Times New Roman"/>
              </w:rPr>
            </w:pPr>
            <w:r w:rsidRPr="00D92F22">
              <w:rPr>
                <w:rFonts w:ascii="Times New Roman" w:hAnsi="Times New Roman"/>
              </w:rPr>
              <w:t xml:space="preserve">Turėti administracines ir apskaitos procedūras, elektroninių duomenų apdorojimo kontrolės ir apsaugos priemones, kurios yra patikimos ir gali pateikti informaciją apie visus </w:t>
            </w:r>
            <w:r>
              <w:rPr>
                <w:rFonts w:ascii="Times New Roman" w:hAnsi="Times New Roman"/>
              </w:rPr>
              <w:t xml:space="preserve">faktoringo </w:t>
            </w:r>
            <w:r w:rsidRPr="00D92F22">
              <w:rPr>
                <w:rFonts w:ascii="Times New Roman" w:hAnsi="Times New Roman"/>
              </w:rPr>
              <w:t>sandorius, jų turinį, laiką ir vietą, kad būtų galima nustatyti, ar finansavimas suteiktas pagal nustatytus reikalavimus</w:t>
            </w:r>
          </w:p>
        </w:tc>
        <w:tc>
          <w:tcPr>
            <w:tcW w:w="4395" w:type="dxa"/>
            <w:tcBorders>
              <w:top w:val="single" w:sz="4" w:space="0" w:color="auto"/>
              <w:bottom w:val="single" w:sz="4" w:space="0" w:color="auto"/>
            </w:tcBorders>
          </w:tcPr>
          <w:p w14:paraId="4E160E91" w14:textId="77777777" w:rsidR="006E1A5C" w:rsidRDefault="006E1A5C" w:rsidP="006E1A5C">
            <w:pPr>
              <w:spacing w:after="0"/>
              <w:jc w:val="both"/>
              <w:rPr>
                <w:rFonts w:ascii="Bookman Old Style" w:hAnsi="Bookman Old Style" w:cs="Calibri"/>
                <w:sz w:val="18"/>
                <w:lang w:eastAsia="lt-LT"/>
              </w:rPr>
            </w:pPr>
            <w:r w:rsidRPr="00D92F22">
              <w:rPr>
                <w:rFonts w:ascii="Times New Roman" w:hAnsi="Times New Roman"/>
              </w:rPr>
              <w:t xml:space="preserve">Turėti administracines ir apskaitos procedūras, elektroninių duomenų apdorojimo kontrolės ir apsaugos priemones, kurios yra patikimos ir gali pateikti informaciją apie visus </w:t>
            </w:r>
            <w:r>
              <w:rPr>
                <w:rFonts w:ascii="Times New Roman" w:hAnsi="Times New Roman"/>
              </w:rPr>
              <w:t xml:space="preserve">faktoringo </w:t>
            </w:r>
            <w:r w:rsidRPr="00D92F22">
              <w:rPr>
                <w:rFonts w:ascii="Times New Roman" w:hAnsi="Times New Roman"/>
              </w:rPr>
              <w:t>sandorius, jų turinį, laiką ir vietą, kad būtų galima nustatyti, ar finansavimas suteiktas pagal nustatytus reikalavimus</w:t>
            </w:r>
          </w:p>
        </w:tc>
        <w:tc>
          <w:tcPr>
            <w:tcW w:w="4110" w:type="dxa"/>
            <w:tcBorders>
              <w:top w:val="single" w:sz="4" w:space="0" w:color="auto"/>
              <w:bottom w:val="single" w:sz="4" w:space="0" w:color="auto"/>
            </w:tcBorders>
          </w:tcPr>
          <w:p w14:paraId="3F39B455" w14:textId="77777777" w:rsidR="006E1A5C" w:rsidRDefault="006E1A5C" w:rsidP="006E1A5C">
            <w:pPr>
              <w:spacing w:after="0"/>
              <w:jc w:val="both"/>
              <w:rPr>
                <w:rFonts w:ascii="Times New Roman" w:hAnsi="Times New Roman"/>
              </w:rPr>
            </w:pPr>
          </w:p>
        </w:tc>
      </w:tr>
    </w:tbl>
    <w:p w14:paraId="47831231" w14:textId="77777777" w:rsidR="006E1A5C" w:rsidRPr="007A2A64" w:rsidRDefault="006E1A5C">
      <w:pPr>
        <w:spacing w:after="0" w:line="240" w:lineRule="auto"/>
        <w:rPr>
          <w:rFonts w:ascii="Times New Roman" w:hAnsi="Times New Roman"/>
          <w:sz w:val="24"/>
          <w:szCs w:val="24"/>
        </w:rPr>
      </w:pPr>
    </w:p>
    <w:p w14:paraId="0A5DBABF" w14:textId="77777777" w:rsidR="006E1A5C" w:rsidRDefault="006E1A5C">
      <w:pPr>
        <w:spacing w:after="0" w:line="240" w:lineRule="auto"/>
        <w:rPr>
          <w:rFonts w:ascii="Times New Roman" w:hAnsi="Times New Roman"/>
          <w:sz w:val="24"/>
          <w:szCs w:val="24"/>
        </w:rPr>
      </w:pPr>
    </w:p>
    <w:p w14:paraId="48D1D5CD" w14:textId="77777777" w:rsidR="006E1A5C" w:rsidRDefault="006E1A5C">
      <w:pPr>
        <w:spacing w:after="0" w:line="240" w:lineRule="auto"/>
        <w:rPr>
          <w:rFonts w:ascii="Times New Roman" w:hAnsi="Times New Roman"/>
          <w:sz w:val="24"/>
          <w:szCs w:val="24"/>
        </w:rPr>
        <w:sectPr w:rsidR="006E1A5C" w:rsidSect="003355D4">
          <w:pgSz w:w="16838" w:h="11906" w:orient="landscape"/>
          <w:pgMar w:top="1701" w:right="993" w:bottom="709" w:left="851" w:header="454" w:footer="567" w:gutter="0"/>
          <w:cols w:space="1296"/>
          <w:titlePg/>
          <w:docGrid w:linePitch="360"/>
        </w:sectPr>
      </w:pPr>
    </w:p>
    <w:p w14:paraId="3503FDF4" w14:textId="77777777" w:rsidR="006E1A5C" w:rsidRPr="00464FB9" w:rsidRDefault="006E1A5C">
      <w:pPr>
        <w:spacing w:after="0" w:line="240" w:lineRule="auto"/>
        <w:rPr>
          <w:rFonts w:ascii="Times New Roman" w:hAnsi="Times New Roman"/>
          <w:sz w:val="24"/>
          <w:szCs w:val="24"/>
        </w:rPr>
      </w:pPr>
    </w:p>
    <w:p w14:paraId="7532435E" w14:textId="77777777" w:rsidR="004F1F93" w:rsidRPr="007A2A64" w:rsidRDefault="00F855DD" w:rsidP="003355D4">
      <w:pPr>
        <w:jc w:val="right"/>
        <w:rPr>
          <w:rFonts w:ascii="Times New Roman" w:hAnsi="Times New Roman"/>
          <w:sz w:val="24"/>
          <w:szCs w:val="24"/>
        </w:rPr>
      </w:pPr>
      <w:r w:rsidRPr="00464FB9">
        <w:rPr>
          <w:rFonts w:ascii="Times New Roman" w:hAnsi="Times New Roman"/>
          <w:sz w:val="24"/>
          <w:szCs w:val="24"/>
        </w:rPr>
        <w:t xml:space="preserve">Aprašo </w:t>
      </w:r>
      <w:r w:rsidRPr="007A2A64">
        <w:rPr>
          <w:rFonts w:ascii="Times New Roman" w:hAnsi="Times New Roman"/>
          <w:sz w:val="24"/>
          <w:szCs w:val="24"/>
        </w:rPr>
        <w:t>3 priedas</w:t>
      </w:r>
    </w:p>
    <w:p w14:paraId="244F632A" w14:textId="77777777" w:rsidR="00F855DD" w:rsidRPr="004F00D0" w:rsidRDefault="004F00D0" w:rsidP="004F00D0">
      <w:pPr>
        <w:jc w:val="center"/>
        <w:rPr>
          <w:rFonts w:ascii="Times New Roman" w:hAnsi="Times New Roman"/>
          <w:b/>
          <w:sz w:val="24"/>
          <w:szCs w:val="24"/>
        </w:rPr>
      </w:pPr>
      <w:r w:rsidRPr="004F00D0">
        <w:rPr>
          <w:rFonts w:ascii="Times New Roman" w:hAnsi="Times New Roman"/>
          <w:b/>
          <w:sz w:val="24"/>
          <w:szCs w:val="24"/>
        </w:rPr>
        <w:t>PGF</w:t>
      </w:r>
      <w:r w:rsidRPr="007A2A64">
        <w:rPr>
          <w:rFonts w:ascii="Times New Roman" w:hAnsi="Times New Roman"/>
          <w:b/>
          <w:sz w:val="24"/>
          <w:szCs w:val="24"/>
        </w:rPr>
        <w:t>2</w:t>
      </w:r>
      <w:r w:rsidR="006E1A5C" w:rsidRPr="007A2A64">
        <w:rPr>
          <w:rFonts w:ascii="Times New Roman" w:hAnsi="Times New Roman"/>
          <w:b/>
          <w:sz w:val="24"/>
          <w:szCs w:val="24"/>
        </w:rPr>
        <w:t xml:space="preserve"> PRIEMONEI ĮGYVENDINTI SKIRTŲ</w:t>
      </w:r>
      <w:r w:rsidRPr="007A2A64">
        <w:rPr>
          <w:rFonts w:ascii="Times New Roman" w:hAnsi="Times New Roman"/>
          <w:b/>
          <w:sz w:val="24"/>
          <w:szCs w:val="24"/>
        </w:rPr>
        <w:t xml:space="preserve"> </w:t>
      </w:r>
      <w:r w:rsidRPr="004F00D0">
        <w:rPr>
          <w:rFonts w:ascii="Times New Roman" w:hAnsi="Times New Roman"/>
          <w:b/>
          <w:sz w:val="24"/>
          <w:szCs w:val="24"/>
        </w:rPr>
        <w:t xml:space="preserve">LĖŠŲ </w:t>
      </w:r>
      <w:r w:rsidR="006E1A5C">
        <w:rPr>
          <w:rFonts w:ascii="Times New Roman" w:hAnsi="Times New Roman"/>
          <w:b/>
          <w:sz w:val="24"/>
          <w:szCs w:val="24"/>
        </w:rPr>
        <w:t>PA</w:t>
      </w:r>
      <w:r w:rsidRPr="004F00D0">
        <w:rPr>
          <w:rFonts w:ascii="Times New Roman" w:hAnsi="Times New Roman"/>
          <w:b/>
          <w:sz w:val="24"/>
          <w:szCs w:val="24"/>
        </w:rPr>
        <w:t>SKIRSTYMO MATRICA</w:t>
      </w:r>
    </w:p>
    <w:tbl>
      <w:tblPr>
        <w:tblStyle w:val="TableGrid"/>
        <w:tblW w:w="0" w:type="auto"/>
        <w:tblLook w:val="04A0" w:firstRow="1" w:lastRow="0" w:firstColumn="1" w:lastColumn="0" w:noHBand="0" w:noVBand="1"/>
      </w:tblPr>
      <w:tblGrid>
        <w:gridCol w:w="3117"/>
        <w:gridCol w:w="3140"/>
        <w:gridCol w:w="2732"/>
        <w:gridCol w:w="3151"/>
        <w:gridCol w:w="2844"/>
      </w:tblGrid>
      <w:tr w:rsidR="0048335F" w14:paraId="08F3DCC8" w14:textId="77777777" w:rsidTr="0048335F">
        <w:tc>
          <w:tcPr>
            <w:tcW w:w="3117" w:type="dxa"/>
            <w:vAlign w:val="center"/>
          </w:tcPr>
          <w:p w14:paraId="149BF909" w14:textId="77777777" w:rsidR="0048335F" w:rsidRPr="00D45E1A" w:rsidRDefault="0048335F" w:rsidP="00916A96">
            <w:pPr>
              <w:jc w:val="center"/>
              <w:rPr>
                <w:rFonts w:ascii="Times New Roman" w:hAnsi="Times New Roman"/>
                <w:b/>
                <w:sz w:val="24"/>
                <w:szCs w:val="24"/>
              </w:rPr>
            </w:pPr>
            <w:r w:rsidRPr="00D45E1A">
              <w:rPr>
                <w:rFonts w:ascii="Times New Roman" w:hAnsi="Times New Roman"/>
                <w:b/>
                <w:sz w:val="24"/>
                <w:szCs w:val="24"/>
              </w:rPr>
              <w:t>PGF2 priemonei įgyvendinti skirta lėšų suma, Eur</w:t>
            </w:r>
          </w:p>
        </w:tc>
        <w:tc>
          <w:tcPr>
            <w:tcW w:w="3140" w:type="dxa"/>
            <w:vAlign w:val="center"/>
          </w:tcPr>
          <w:p w14:paraId="3EAD7947" w14:textId="77777777" w:rsidR="0048335F" w:rsidRPr="00D45E1A" w:rsidRDefault="0048335F" w:rsidP="006C7DD2">
            <w:pPr>
              <w:jc w:val="center"/>
              <w:rPr>
                <w:rFonts w:ascii="Times New Roman" w:hAnsi="Times New Roman"/>
                <w:b/>
                <w:sz w:val="24"/>
                <w:szCs w:val="24"/>
              </w:rPr>
            </w:pPr>
            <w:r w:rsidRPr="00D45E1A">
              <w:rPr>
                <w:rFonts w:ascii="Times New Roman" w:hAnsi="Times New Roman"/>
                <w:b/>
                <w:sz w:val="24"/>
                <w:szCs w:val="24"/>
              </w:rPr>
              <w:t>PGF2 priemonei įgyvendinti skirta lėšų suma planuojamas garantuoti Faktoringo sandorių portfelis, Eur</w:t>
            </w:r>
          </w:p>
        </w:tc>
        <w:tc>
          <w:tcPr>
            <w:tcW w:w="2732" w:type="dxa"/>
            <w:vAlign w:val="center"/>
          </w:tcPr>
          <w:p w14:paraId="20127CAD" w14:textId="77777777" w:rsidR="0048335F" w:rsidRDefault="0048335F" w:rsidP="0048335F">
            <w:pPr>
              <w:jc w:val="center"/>
              <w:rPr>
                <w:rFonts w:ascii="Times New Roman" w:hAnsi="Times New Roman"/>
                <w:b/>
                <w:sz w:val="24"/>
                <w:szCs w:val="24"/>
              </w:rPr>
            </w:pPr>
            <w:r w:rsidRPr="0048335F">
              <w:rPr>
                <w:rFonts w:ascii="Times New Roman" w:hAnsi="Times New Roman"/>
                <w:b/>
                <w:sz w:val="24"/>
                <w:szCs w:val="24"/>
              </w:rPr>
              <w:t>PGF2 priemonei įgyvendinti skirta lėšų suma planuojam</w:t>
            </w:r>
            <w:r>
              <w:rPr>
                <w:rFonts w:ascii="Times New Roman" w:hAnsi="Times New Roman"/>
                <w:b/>
                <w:sz w:val="24"/>
                <w:szCs w:val="24"/>
              </w:rPr>
              <w:t>o garantuoti Faktoringo sandori</w:t>
            </w:r>
            <w:r w:rsidR="00725847">
              <w:rPr>
                <w:rFonts w:ascii="Times New Roman" w:hAnsi="Times New Roman"/>
                <w:b/>
                <w:sz w:val="24"/>
                <w:szCs w:val="24"/>
              </w:rPr>
              <w:t>ų portfelio sumos</w:t>
            </w:r>
            <w:r>
              <w:rPr>
                <w:rFonts w:ascii="Times New Roman" w:hAnsi="Times New Roman"/>
                <w:b/>
                <w:sz w:val="24"/>
                <w:szCs w:val="24"/>
              </w:rPr>
              <w:t xml:space="preserve"> 2</w:t>
            </w:r>
            <w:r w:rsidR="00320602">
              <w:rPr>
                <w:rFonts w:ascii="Times New Roman" w:hAnsi="Times New Roman"/>
                <w:b/>
                <w:sz w:val="24"/>
                <w:szCs w:val="24"/>
              </w:rPr>
              <w:t>5</w:t>
            </w:r>
            <w:r>
              <w:rPr>
                <w:rFonts w:ascii="Times New Roman" w:hAnsi="Times New Roman"/>
                <w:b/>
                <w:sz w:val="24"/>
                <w:szCs w:val="24"/>
              </w:rPr>
              <w:t xml:space="preserve"> proc. dalis</w:t>
            </w:r>
            <w:r w:rsidRPr="0048335F">
              <w:rPr>
                <w:rFonts w:ascii="Times New Roman" w:hAnsi="Times New Roman"/>
                <w:b/>
                <w:sz w:val="24"/>
                <w:szCs w:val="24"/>
              </w:rPr>
              <w:t>, Eur</w:t>
            </w:r>
          </w:p>
          <w:p w14:paraId="0045B133" w14:textId="77777777" w:rsidR="0048335F" w:rsidRPr="00675992" w:rsidRDefault="0048335F" w:rsidP="0048335F">
            <w:pPr>
              <w:jc w:val="center"/>
              <w:rPr>
                <w:rFonts w:ascii="Times New Roman" w:hAnsi="Times New Roman"/>
                <w:b/>
                <w:sz w:val="24"/>
                <w:szCs w:val="24"/>
              </w:rPr>
            </w:pPr>
          </w:p>
        </w:tc>
        <w:tc>
          <w:tcPr>
            <w:tcW w:w="3151" w:type="dxa"/>
            <w:vAlign w:val="center"/>
          </w:tcPr>
          <w:p w14:paraId="0CAB956C" w14:textId="77777777" w:rsidR="0048335F" w:rsidRPr="00D45E1A" w:rsidRDefault="0048335F" w:rsidP="008E2835">
            <w:pPr>
              <w:jc w:val="center"/>
              <w:rPr>
                <w:rFonts w:ascii="Times New Roman" w:hAnsi="Times New Roman"/>
                <w:b/>
                <w:sz w:val="24"/>
                <w:szCs w:val="24"/>
              </w:rPr>
            </w:pPr>
            <w:r>
              <w:rPr>
                <w:rFonts w:ascii="Times New Roman" w:hAnsi="Times New Roman"/>
                <w:b/>
                <w:sz w:val="24"/>
                <w:szCs w:val="24"/>
              </w:rPr>
              <w:t xml:space="preserve">Per </w:t>
            </w:r>
            <w:r w:rsidRPr="00EB7004">
              <w:rPr>
                <w:rFonts w:ascii="Times New Roman" w:hAnsi="Times New Roman"/>
                <w:b/>
                <w:sz w:val="24"/>
                <w:szCs w:val="24"/>
              </w:rPr>
              <w:t xml:space="preserve">pirmą savaitę po kvietimo paskelbimo </w:t>
            </w:r>
            <w:r>
              <w:rPr>
                <w:rFonts w:ascii="Times New Roman" w:hAnsi="Times New Roman"/>
                <w:b/>
                <w:sz w:val="24"/>
                <w:szCs w:val="24"/>
              </w:rPr>
              <w:t xml:space="preserve">prašymus (ir kartu su prašymu privalomus pateikti dokumentus) </w:t>
            </w:r>
            <w:r w:rsidRPr="00EB7004">
              <w:rPr>
                <w:rFonts w:ascii="Times New Roman" w:hAnsi="Times New Roman"/>
                <w:b/>
                <w:sz w:val="24"/>
                <w:szCs w:val="24"/>
              </w:rPr>
              <w:t>pateik</w:t>
            </w:r>
            <w:r>
              <w:rPr>
                <w:rFonts w:ascii="Times New Roman" w:hAnsi="Times New Roman"/>
                <w:b/>
                <w:sz w:val="24"/>
                <w:szCs w:val="24"/>
              </w:rPr>
              <w:t>usių ir tinkamumo reikalavimus atitikusių FT skaičius, vnt.</w:t>
            </w:r>
          </w:p>
        </w:tc>
        <w:tc>
          <w:tcPr>
            <w:tcW w:w="2844" w:type="dxa"/>
            <w:vAlign w:val="center"/>
          </w:tcPr>
          <w:p w14:paraId="2D9003F0" w14:textId="6101E4EA" w:rsidR="0048335F" w:rsidRDefault="0048335F" w:rsidP="003B7127">
            <w:pPr>
              <w:jc w:val="center"/>
              <w:rPr>
                <w:rFonts w:ascii="Times New Roman" w:hAnsi="Times New Roman"/>
                <w:b/>
                <w:sz w:val="24"/>
                <w:szCs w:val="24"/>
              </w:rPr>
            </w:pPr>
            <w:r w:rsidRPr="009936DD">
              <w:rPr>
                <w:rFonts w:ascii="Times New Roman" w:hAnsi="Times New Roman"/>
                <w:b/>
                <w:sz w:val="24"/>
                <w:szCs w:val="24"/>
              </w:rPr>
              <w:t xml:space="preserve">PGF2 priemonei </w:t>
            </w:r>
            <w:r>
              <w:rPr>
                <w:rFonts w:ascii="Times New Roman" w:hAnsi="Times New Roman"/>
                <w:b/>
                <w:sz w:val="24"/>
                <w:szCs w:val="24"/>
              </w:rPr>
              <w:t xml:space="preserve">įgyvendinti </w:t>
            </w:r>
            <w:r w:rsidRPr="009936DD">
              <w:rPr>
                <w:rFonts w:ascii="Times New Roman" w:hAnsi="Times New Roman"/>
                <w:b/>
                <w:sz w:val="24"/>
                <w:szCs w:val="24"/>
              </w:rPr>
              <w:t xml:space="preserve">skirta lėšų suma planuojamas garantuoti faktoringo portfelis padalintas iš </w:t>
            </w:r>
            <w:r w:rsidR="003B7127">
              <w:rPr>
                <w:rFonts w:ascii="Times New Roman" w:hAnsi="Times New Roman"/>
                <w:b/>
                <w:sz w:val="24"/>
                <w:szCs w:val="24"/>
              </w:rPr>
              <w:t>D</w:t>
            </w:r>
            <w:r>
              <w:rPr>
                <w:rFonts w:ascii="Times New Roman" w:hAnsi="Times New Roman"/>
                <w:b/>
                <w:sz w:val="24"/>
                <w:szCs w:val="24"/>
              </w:rPr>
              <w:t xml:space="preserve"> stulpelyje nurodyto</w:t>
            </w:r>
            <w:r w:rsidRPr="009936DD">
              <w:rPr>
                <w:rFonts w:ascii="Times New Roman" w:hAnsi="Times New Roman"/>
                <w:b/>
                <w:sz w:val="24"/>
                <w:szCs w:val="24"/>
              </w:rPr>
              <w:t xml:space="preserve"> finansų tarpininko skaičiaus</w:t>
            </w:r>
            <w:r>
              <w:rPr>
                <w:rFonts w:ascii="Times New Roman" w:hAnsi="Times New Roman"/>
                <w:b/>
                <w:sz w:val="24"/>
                <w:szCs w:val="24"/>
              </w:rPr>
              <w:t>, Eur</w:t>
            </w:r>
          </w:p>
        </w:tc>
      </w:tr>
      <w:tr w:rsidR="0048335F" w:rsidRPr="009936DD" w14:paraId="13506A0B" w14:textId="77777777" w:rsidTr="0048335F">
        <w:trPr>
          <w:trHeight w:val="330"/>
        </w:trPr>
        <w:tc>
          <w:tcPr>
            <w:tcW w:w="3117" w:type="dxa"/>
          </w:tcPr>
          <w:p w14:paraId="0E699DA4" w14:textId="77777777" w:rsidR="0048335F" w:rsidRPr="009936DD" w:rsidRDefault="0048335F" w:rsidP="00624233">
            <w:pPr>
              <w:jc w:val="center"/>
              <w:rPr>
                <w:rFonts w:ascii="Times New Roman" w:hAnsi="Times New Roman"/>
                <w:b/>
                <w:sz w:val="18"/>
                <w:szCs w:val="18"/>
                <w:lang w:val="en-US"/>
              </w:rPr>
            </w:pPr>
            <w:r>
              <w:rPr>
                <w:rFonts w:ascii="Times New Roman" w:hAnsi="Times New Roman"/>
                <w:b/>
                <w:sz w:val="18"/>
                <w:szCs w:val="18"/>
                <w:lang w:val="en-US"/>
              </w:rPr>
              <w:t>A</w:t>
            </w:r>
          </w:p>
        </w:tc>
        <w:tc>
          <w:tcPr>
            <w:tcW w:w="3140" w:type="dxa"/>
          </w:tcPr>
          <w:p w14:paraId="04D16886" w14:textId="77777777" w:rsidR="0048335F" w:rsidRPr="009936DD" w:rsidRDefault="0048335F" w:rsidP="00624233">
            <w:pPr>
              <w:jc w:val="center"/>
              <w:rPr>
                <w:rFonts w:ascii="Times New Roman" w:hAnsi="Times New Roman"/>
                <w:b/>
                <w:sz w:val="18"/>
                <w:szCs w:val="18"/>
              </w:rPr>
            </w:pPr>
            <w:r>
              <w:rPr>
                <w:rFonts w:ascii="Times New Roman" w:hAnsi="Times New Roman"/>
                <w:b/>
                <w:sz w:val="18"/>
                <w:szCs w:val="18"/>
              </w:rPr>
              <w:t>B</w:t>
            </w:r>
          </w:p>
        </w:tc>
        <w:tc>
          <w:tcPr>
            <w:tcW w:w="2732" w:type="dxa"/>
          </w:tcPr>
          <w:p w14:paraId="70A38088" w14:textId="77777777" w:rsidR="0048335F" w:rsidRDefault="0048335F" w:rsidP="0048335F">
            <w:pPr>
              <w:jc w:val="center"/>
              <w:rPr>
                <w:rFonts w:ascii="Times New Roman" w:hAnsi="Times New Roman"/>
                <w:b/>
                <w:sz w:val="18"/>
                <w:szCs w:val="18"/>
              </w:rPr>
            </w:pPr>
            <w:r w:rsidRPr="0048335F">
              <w:rPr>
                <w:rFonts w:ascii="Times New Roman" w:hAnsi="Times New Roman"/>
                <w:b/>
                <w:sz w:val="18"/>
                <w:szCs w:val="18"/>
              </w:rPr>
              <w:t>(C=B*0,2</w:t>
            </w:r>
            <w:r w:rsidR="003B7127">
              <w:rPr>
                <w:rFonts w:ascii="Times New Roman" w:hAnsi="Times New Roman"/>
                <w:b/>
                <w:sz w:val="18"/>
                <w:szCs w:val="18"/>
              </w:rPr>
              <w:t>5</w:t>
            </w:r>
            <w:r w:rsidRPr="0048335F">
              <w:rPr>
                <w:rFonts w:ascii="Times New Roman" w:hAnsi="Times New Roman"/>
                <w:b/>
                <w:sz w:val="18"/>
                <w:szCs w:val="18"/>
              </w:rPr>
              <w:t>)</w:t>
            </w:r>
          </w:p>
        </w:tc>
        <w:tc>
          <w:tcPr>
            <w:tcW w:w="3151" w:type="dxa"/>
          </w:tcPr>
          <w:p w14:paraId="4B86CB2B" w14:textId="77777777" w:rsidR="0048335F" w:rsidRPr="009936DD" w:rsidRDefault="0048335F" w:rsidP="00624233">
            <w:pPr>
              <w:jc w:val="center"/>
              <w:rPr>
                <w:rFonts w:ascii="Times New Roman" w:hAnsi="Times New Roman"/>
                <w:b/>
                <w:sz w:val="18"/>
                <w:szCs w:val="18"/>
              </w:rPr>
            </w:pPr>
            <w:r>
              <w:rPr>
                <w:rFonts w:ascii="Times New Roman" w:hAnsi="Times New Roman"/>
                <w:b/>
                <w:sz w:val="18"/>
                <w:szCs w:val="18"/>
              </w:rPr>
              <w:t>D</w:t>
            </w:r>
          </w:p>
        </w:tc>
        <w:tc>
          <w:tcPr>
            <w:tcW w:w="2844" w:type="dxa"/>
          </w:tcPr>
          <w:p w14:paraId="0D2D061E" w14:textId="77777777" w:rsidR="0048335F" w:rsidRPr="009936DD" w:rsidRDefault="0048335F" w:rsidP="0048335F">
            <w:pPr>
              <w:jc w:val="center"/>
              <w:rPr>
                <w:rFonts w:ascii="Times New Roman" w:hAnsi="Times New Roman"/>
                <w:b/>
                <w:sz w:val="18"/>
                <w:szCs w:val="18"/>
              </w:rPr>
            </w:pPr>
            <w:r>
              <w:rPr>
                <w:rFonts w:ascii="Times New Roman" w:hAnsi="Times New Roman"/>
                <w:b/>
                <w:sz w:val="18"/>
                <w:szCs w:val="18"/>
              </w:rPr>
              <w:t>E</w:t>
            </w:r>
            <w:r>
              <w:rPr>
                <w:rFonts w:ascii="Times New Roman" w:hAnsi="Times New Roman"/>
                <w:b/>
                <w:sz w:val="18"/>
                <w:szCs w:val="18"/>
                <w:lang w:val="en-US"/>
              </w:rPr>
              <w:t>=B/D</w:t>
            </w:r>
            <w:r>
              <w:rPr>
                <w:rFonts w:ascii="Times New Roman" w:hAnsi="Times New Roman"/>
                <w:b/>
                <w:sz w:val="18"/>
                <w:szCs w:val="18"/>
              </w:rPr>
              <w:t xml:space="preserve"> </w:t>
            </w:r>
          </w:p>
        </w:tc>
      </w:tr>
      <w:tr w:rsidR="0048335F" w14:paraId="744F458B" w14:textId="77777777" w:rsidTr="005418E0">
        <w:trPr>
          <w:trHeight w:val="683"/>
        </w:trPr>
        <w:tc>
          <w:tcPr>
            <w:tcW w:w="3117" w:type="dxa"/>
            <w:vAlign w:val="center"/>
          </w:tcPr>
          <w:p w14:paraId="0F00E3DE" w14:textId="77777777" w:rsidR="0048335F" w:rsidRPr="00D45E1A" w:rsidRDefault="0048335F" w:rsidP="00624233">
            <w:pPr>
              <w:jc w:val="center"/>
              <w:rPr>
                <w:rFonts w:ascii="Times New Roman" w:hAnsi="Times New Roman"/>
                <w:b/>
                <w:sz w:val="24"/>
                <w:szCs w:val="24"/>
              </w:rPr>
            </w:pPr>
            <w:r w:rsidRPr="00D45E1A">
              <w:rPr>
                <w:rFonts w:ascii="Times New Roman" w:hAnsi="Times New Roman"/>
                <w:b/>
                <w:sz w:val="24"/>
                <w:szCs w:val="24"/>
              </w:rPr>
              <w:t>10</w:t>
            </w:r>
            <w:r>
              <w:rPr>
                <w:rFonts w:ascii="Times New Roman" w:hAnsi="Times New Roman"/>
                <w:b/>
                <w:sz w:val="24"/>
                <w:szCs w:val="24"/>
              </w:rPr>
              <w:t> 000 000,00</w:t>
            </w:r>
          </w:p>
        </w:tc>
        <w:tc>
          <w:tcPr>
            <w:tcW w:w="3140" w:type="dxa"/>
            <w:vAlign w:val="center"/>
          </w:tcPr>
          <w:p w14:paraId="30327425" w14:textId="77777777" w:rsidR="0048335F" w:rsidRPr="00D45E1A" w:rsidRDefault="0048335F" w:rsidP="00624233">
            <w:pPr>
              <w:jc w:val="center"/>
              <w:rPr>
                <w:rFonts w:ascii="Times New Roman" w:hAnsi="Times New Roman"/>
                <w:b/>
                <w:sz w:val="24"/>
                <w:szCs w:val="24"/>
              </w:rPr>
            </w:pPr>
            <w:r>
              <w:rPr>
                <w:rFonts w:ascii="Times New Roman" w:hAnsi="Times New Roman"/>
                <w:b/>
                <w:sz w:val="24"/>
                <w:szCs w:val="24"/>
              </w:rPr>
              <w:t>62 500 000,00</w:t>
            </w:r>
          </w:p>
        </w:tc>
        <w:tc>
          <w:tcPr>
            <w:tcW w:w="2732" w:type="dxa"/>
            <w:vAlign w:val="center"/>
          </w:tcPr>
          <w:p w14:paraId="1A9E87A2" w14:textId="77777777" w:rsidR="0048335F" w:rsidRDefault="00320602" w:rsidP="005418E0">
            <w:pPr>
              <w:jc w:val="center"/>
              <w:rPr>
                <w:rFonts w:ascii="Times New Roman" w:hAnsi="Times New Roman"/>
                <w:b/>
                <w:sz w:val="24"/>
                <w:szCs w:val="24"/>
              </w:rPr>
            </w:pPr>
            <w:r w:rsidRPr="00320602">
              <w:rPr>
                <w:rFonts w:ascii="Times New Roman" w:hAnsi="Times New Roman"/>
                <w:b/>
                <w:sz w:val="24"/>
                <w:szCs w:val="24"/>
              </w:rPr>
              <w:t>15</w:t>
            </w:r>
            <w:r>
              <w:rPr>
                <w:rFonts w:ascii="Times New Roman" w:hAnsi="Times New Roman"/>
                <w:b/>
                <w:sz w:val="24"/>
                <w:szCs w:val="24"/>
              </w:rPr>
              <w:t> </w:t>
            </w:r>
            <w:r w:rsidRPr="00320602">
              <w:rPr>
                <w:rFonts w:ascii="Times New Roman" w:hAnsi="Times New Roman"/>
                <w:b/>
                <w:sz w:val="24"/>
                <w:szCs w:val="24"/>
              </w:rPr>
              <w:t>625</w:t>
            </w:r>
            <w:r>
              <w:rPr>
                <w:rFonts w:ascii="Times New Roman" w:hAnsi="Times New Roman"/>
                <w:b/>
                <w:sz w:val="24"/>
                <w:szCs w:val="24"/>
              </w:rPr>
              <w:t xml:space="preserve"> </w:t>
            </w:r>
            <w:r w:rsidRPr="00320602">
              <w:rPr>
                <w:rFonts w:ascii="Times New Roman" w:hAnsi="Times New Roman"/>
                <w:b/>
                <w:sz w:val="24"/>
                <w:szCs w:val="24"/>
              </w:rPr>
              <w:t>000</w:t>
            </w:r>
          </w:p>
        </w:tc>
        <w:tc>
          <w:tcPr>
            <w:tcW w:w="3151" w:type="dxa"/>
            <w:vAlign w:val="center"/>
          </w:tcPr>
          <w:p w14:paraId="4EC623AC" w14:textId="77777777" w:rsidR="0048335F" w:rsidRPr="00D45E1A" w:rsidRDefault="0048335F" w:rsidP="00624233">
            <w:pPr>
              <w:jc w:val="center"/>
              <w:rPr>
                <w:rFonts w:ascii="Times New Roman" w:hAnsi="Times New Roman"/>
                <w:b/>
                <w:sz w:val="24"/>
                <w:szCs w:val="24"/>
              </w:rPr>
            </w:pPr>
            <w:r>
              <w:rPr>
                <w:rFonts w:ascii="Times New Roman" w:hAnsi="Times New Roman"/>
                <w:b/>
                <w:sz w:val="24"/>
                <w:szCs w:val="24"/>
              </w:rPr>
              <w:t>X</w:t>
            </w:r>
          </w:p>
        </w:tc>
        <w:tc>
          <w:tcPr>
            <w:tcW w:w="2844" w:type="dxa"/>
            <w:vAlign w:val="center"/>
          </w:tcPr>
          <w:p w14:paraId="225364D0" w14:textId="77777777" w:rsidR="0048335F" w:rsidRPr="009936DD" w:rsidRDefault="0048335F" w:rsidP="009936DD">
            <w:pPr>
              <w:jc w:val="center"/>
              <w:rPr>
                <w:rFonts w:ascii="Times New Roman" w:hAnsi="Times New Roman"/>
                <w:b/>
                <w:sz w:val="24"/>
                <w:szCs w:val="24"/>
                <w:lang w:val="en-US"/>
              </w:rPr>
            </w:pPr>
            <w:r>
              <w:rPr>
                <w:rFonts w:ascii="Times New Roman" w:hAnsi="Times New Roman"/>
                <w:b/>
                <w:sz w:val="24"/>
                <w:szCs w:val="24"/>
              </w:rPr>
              <w:t>62 500 000,00</w:t>
            </w:r>
            <w:r>
              <w:rPr>
                <w:rFonts w:ascii="Times New Roman" w:hAnsi="Times New Roman"/>
                <w:b/>
                <w:sz w:val="24"/>
                <w:szCs w:val="24"/>
                <w:lang w:val="en-US"/>
              </w:rPr>
              <w:t>/X</w:t>
            </w:r>
          </w:p>
        </w:tc>
      </w:tr>
    </w:tbl>
    <w:p w14:paraId="202BD85D" w14:textId="77777777" w:rsidR="00F855DD" w:rsidRPr="00464FB9" w:rsidRDefault="00F855DD" w:rsidP="004F1F93">
      <w:pPr>
        <w:rPr>
          <w:rFonts w:ascii="Times New Roman" w:hAnsi="Times New Roman"/>
          <w:b/>
          <w:sz w:val="24"/>
          <w:szCs w:val="24"/>
        </w:rPr>
      </w:pPr>
    </w:p>
    <w:tbl>
      <w:tblPr>
        <w:tblStyle w:val="TableGrid"/>
        <w:tblW w:w="14085" w:type="dxa"/>
        <w:tblLayout w:type="fixed"/>
        <w:tblLook w:val="04A0" w:firstRow="1" w:lastRow="0" w:firstColumn="1" w:lastColumn="0" w:noHBand="0" w:noVBand="1"/>
      </w:tblPr>
      <w:tblGrid>
        <w:gridCol w:w="3256"/>
        <w:gridCol w:w="2551"/>
        <w:gridCol w:w="3458"/>
        <w:gridCol w:w="2977"/>
        <w:gridCol w:w="1843"/>
      </w:tblGrid>
      <w:tr w:rsidR="009936DD" w:rsidRPr="00464FB9" w14:paraId="162826E9" w14:textId="77777777" w:rsidTr="0087596A">
        <w:trPr>
          <w:trHeight w:val="1735"/>
        </w:trPr>
        <w:tc>
          <w:tcPr>
            <w:tcW w:w="3256" w:type="dxa"/>
            <w:vAlign w:val="center"/>
          </w:tcPr>
          <w:p w14:paraId="4D182CCB" w14:textId="77777777" w:rsidR="009936DD" w:rsidRPr="00535561" w:rsidRDefault="009936DD" w:rsidP="00916A96">
            <w:pPr>
              <w:jc w:val="center"/>
              <w:rPr>
                <w:rFonts w:ascii="Times New Roman" w:hAnsi="Times New Roman"/>
                <w:b/>
                <w:sz w:val="24"/>
                <w:szCs w:val="24"/>
              </w:rPr>
            </w:pPr>
            <w:r w:rsidRPr="00464FB9">
              <w:rPr>
                <w:rFonts w:ascii="Times New Roman" w:hAnsi="Times New Roman"/>
                <w:b/>
                <w:sz w:val="24"/>
                <w:szCs w:val="24"/>
              </w:rPr>
              <w:t>PGF2 finans</w:t>
            </w:r>
            <w:r>
              <w:rPr>
                <w:rFonts w:ascii="Times New Roman" w:hAnsi="Times New Roman"/>
                <w:b/>
                <w:sz w:val="24"/>
                <w:szCs w:val="24"/>
              </w:rPr>
              <w:t>ų tarpininko pavadinimas</w:t>
            </w:r>
          </w:p>
        </w:tc>
        <w:tc>
          <w:tcPr>
            <w:tcW w:w="2551" w:type="dxa"/>
            <w:vAlign w:val="center"/>
          </w:tcPr>
          <w:p w14:paraId="337B4CC0" w14:textId="77777777" w:rsidR="009936DD" w:rsidRPr="00464FB9" w:rsidRDefault="009936DD" w:rsidP="00916A96">
            <w:pPr>
              <w:jc w:val="center"/>
              <w:rPr>
                <w:rFonts w:ascii="Times New Roman" w:hAnsi="Times New Roman"/>
                <w:sz w:val="24"/>
                <w:szCs w:val="24"/>
              </w:rPr>
            </w:pPr>
            <w:r>
              <w:rPr>
                <w:rFonts w:ascii="Times New Roman" w:hAnsi="Times New Roman"/>
                <w:b/>
                <w:szCs w:val="24"/>
              </w:rPr>
              <w:t>Prašyme nurodyta p</w:t>
            </w:r>
            <w:r w:rsidRPr="00464FB9">
              <w:rPr>
                <w:rFonts w:ascii="Times New Roman" w:hAnsi="Times New Roman"/>
                <w:b/>
                <w:szCs w:val="24"/>
              </w:rPr>
              <w:t>er Sutarties laikotarpį planuojama į Portfelį įtraukti Faktoringo sandorių limitų suma, E</w:t>
            </w:r>
            <w:r w:rsidR="00916A96">
              <w:rPr>
                <w:rFonts w:ascii="Times New Roman" w:hAnsi="Times New Roman"/>
                <w:b/>
                <w:szCs w:val="24"/>
              </w:rPr>
              <w:t>ur</w:t>
            </w:r>
          </w:p>
        </w:tc>
        <w:tc>
          <w:tcPr>
            <w:tcW w:w="3458" w:type="dxa"/>
            <w:vAlign w:val="center"/>
          </w:tcPr>
          <w:p w14:paraId="1C3C35E6" w14:textId="77777777" w:rsidR="009936DD" w:rsidRPr="006F7FA0" w:rsidRDefault="009936DD" w:rsidP="00916A96">
            <w:pPr>
              <w:jc w:val="center"/>
              <w:rPr>
                <w:rFonts w:ascii="Times New Roman" w:hAnsi="Times New Roman"/>
                <w:b/>
                <w:szCs w:val="24"/>
              </w:rPr>
            </w:pPr>
            <w:r w:rsidRPr="006F7FA0">
              <w:rPr>
                <w:rFonts w:ascii="Times New Roman" w:hAnsi="Times New Roman"/>
                <w:b/>
                <w:szCs w:val="24"/>
              </w:rPr>
              <w:t>PGF2 finansų tarpinink</w:t>
            </w:r>
            <w:r>
              <w:rPr>
                <w:rFonts w:ascii="Times New Roman" w:hAnsi="Times New Roman"/>
                <w:b/>
                <w:szCs w:val="24"/>
              </w:rPr>
              <w:t>ui</w:t>
            </w:r>
            <w:r w:rsidRPr="006F7FA0">
              <w:rPr>
                <w:rFonts w:ascii="Times New Roman" w:hAnsi="Times New Roman"/>
                <w:b/>
                <w:szCs w:val="24"/>
              </w:rPr>
              <w:t xml:space="preserve"> skiriamas </w:t>
            </w:r>
            <w:r>
              <w:rPr>
                <w:rFonts w:ascii="Times New Roman" w:hAnsi="Times New Roman"/>
                <w:b/>
                <w:szCs w:val="24"/>
              </w:rPr>
              <w:t xml:space="preserve">minimalus </w:t>
            </w:r>
            <w:r w:rsidRPr="006F7FA0">
              <w:rPr>
                <w:rFonts w:ascii="Times New Roman" w:hAnsi="Times New Roman"/>
                <w:b/>
                <w:szCs w:val="24"/>
              </w:rPr>
              <w:t>portfelis</w:t>
            </w:r>
            <w:r w:rsidR="00916A96">
              <w:rPr>
                <w:rFonts w:ascii="Times New Roman" w:hAnsi="Times New Roman"/>
                <w:b/>
                <w:szCs w:val="24"/>
              </w:rPr>
              <w:t>, Eur</w:t>
            </w:r>
          </w:p>
          <w:p w14:paraId="4CEC6B5B" w14:textId="77777777" w:rsidR="009936DD" w:rsidRPr="009936DD" w:rsidRDefault="009936DD" w:rsidP="005418E0">
            <w:pPr>
              <w:jc w:val="center"/>
              <w:rPr>
                <w:rFonts w:ascii="Times New Roman" w:hAnsi="Times New Roman"/>
                <w:sz w:val="24"/>
                <w:szCs w:val="24"/>
              </w:rPr>
            </w:pPr>
            <w:r w:rsidRPr="00F036DE">
              <w:rPr>
                <w:rFonts w:ascii="Times New Roman" w:hAnsi="Times New Roman"/>
                <w:szCs w:val="24"/>
              </w:rPr>
              <w:t>(nurodoma</w:t>
            </w:r>
            <w:r w:rsidR="005418E0">
              <w:rPr>
                <w:rFonts w:ascii="Times New Roman" w:hAnsi="Times New Roman"/>
                <w:szCs w:val="24"/>
              </w:rPr>
              <w:t>s</w:t>
            </w:r>
            <w:r w:rsidRPr="00F036DE">
              <w:rPr>
                <w:rFonts w:ascii="Times New Roman" w:hAnsi="Times New Roman"/>
                <w:szCs w:val="24"/>
              </w:rPr>
              <w:t xml:space="preserve"> mažesn</w:t>
            </w:r>
            <w:r w:rsidR="00916A96">
              <w:rPr>
                <w:rFonts w:ascii="Times New Roman" w:hAnsi="Times New Roman"/>
                <w:szCs w:val="24"/>
              </w:rPr>
              <w:t>is</w:t>
            </w:r>
            <w:r w:rsidRPr="00F036DE">
              <w:rPr>
                <w:rFonts w:ascii="Times New Roman" w:hAnsi="Times New Roman"/>
                <w:szCs w:val="24"/>
              </w:rPr>
              <w:t xml:space="preserve"> </w:t>
            </w:r>
            <w:r w:rsidR="00916A96">
              <w:rPr>
                <w:rFonts w:ascii="Times New Roman" w:hAnsi="Times New Roman"/>
                <w:szCs w:val="24"/>
              </w:rPr>
              <w:t>skaičius</w:t>
            </w:r>
            <w:r w:rsidR="00916A96" w:rsidRPr="00F036DE">
              <w:rPr>
                <w:rFonts w:ascii="Times New Roman" w:hAnsi="Times New Roman"/>
                <w:szCs w:val="24"/>
              </w:rPr>
              <w:t xml:space="preserve"> </w:t>
            </w:r>
            <w:r w:rsidRPr="00F036DE">
              <w:rPr>
                <w:rFonts w:ascii="Times New Roman" w:hAnsi="Times New Roman"/>
                <w:szCs w:val="24"/>
              </w:rPr>
              <w:t xml:space="preserve">iš </w:t>
            </w:r>
            <w:r w:rsidR="00E0737A">
              <w:rPr>
                <w:rFonts w:ascii="Times New Roman" w:hAnsi="Times New Roman"/>
                <w:szCs w:val="24"/>
              </w:rPr>
              <w:t>trijų</w:t>
            </w:r>
            <w:r w:rsidR="005418E0">
              <w:rPr>
                <w:rFonts w:ascii="Times New Roman" w:hAnsi="Times New Roman"/>
                <w:szCs w:val="24"/>
              </w:rPr>
              <w:t xml:space="preserve"> </w:t>
            </w:r>
            <w:r w:rsidR="004362CE">
              <w:rPr>
                <w:rFonts w:ascii="Times New Roman" w:hAnsi="Times New Roman"/>
                <w:szCs w:val="24"/>
              </w:rPr>
              <w:t>–</w:t>
            </w:r>
            <w:r w:rsidRPr="00F036DE">
              <w:rPr>
                <w:rFonts w:ascii="Times New Roman" w:hAnsi="Times New Roman"/>
                <w:szCs w:val="24"/>
              </w:rPr>
              <w:t xml:space="preserve"> </w:t>
            </w:r>
            <w:r w:rsidR="005418E0">
              <w:rPr>
                <w:rFonts w:ascii="Times New Roman" w:hAnsi="Times New Roman"/>
                <w:szCs w:val="24"/>
              </w:rPr>
              <w:t>G</w:t>
            </w:r>
            <w:r w:rsidRPr="00F036DE">
              <w:rPr>
                <w:rFonts w:ascii="Times New Roman" w:hAnsi="Times New Roman"/>
                <w:szCs w:val="24"/>
              </w:rPr>
              <w:t xml:space="preserve"> arba </w:t>
            </w:r>
            <w:r w:rsidR="005418E0">
              <w:rPr>
                <w:rFonts w:ascii="Times New Roman" w:hAnsi="Times New Roman"/>
                <w:szCs w:val="24"/>
              </w:rPr>
              <w:t>E, bet ne daugiau nei C</w:t>
            </w:r>
            <w:r w:rsidRPr="00F036DE">
              <w:rPr>
                <w:rFonts w:ascii="Times New Roman" w:hAnsi="Times New Roman"/>
                <w:szCs w:val="24"/>
              </w:rPr>
              <w:t>)</w:t>
            </w:r>
          </w:p>
        </w:tc>
        <w:tc>
          <w:tcPr>
            <w:tcW w:w="2977" w:type="dxa"/>
            <w:vAlign w:val="center"/>
          </w:tcPr>
          <w:p w14:paraId="24DF61BE" w14:textId="77777777" w:rsidR="009936DD" w:rsidRDefault="009936DD" w:rsidP="00916A96">
            <w:pPr>
              <w:jc w:val="center"/>
              <w:rPr>
                <w:rFonts w:ascii="Times New Roman" w:hAnsi="Times New Roman"/>
                <w:b/>
                <w:szCs w:val="24"/>
              </w:rPr>
            </w:pPr>
            <w:r w:rsidRPr="006F7FA0">
              <w:rPr>
                <w:rFonts w:ascii="Times New Roman" w:hAnsi="Times New Roman"/>
                <w:b/>
                <w:szCs w:val="24"/>
              </w:rPr>
              <w:t>PGF2 finansų tarpinink</w:t>
            </w:r>
            <w:r>
              <w:rPr>
                <w:rFonts w:ascii="Times New Roman" w:hAnsi="Times New Roman"/>
                <w:b/>
                <w:szCs w:val="24"/>
              </w:rPr>
              <w:t>ui skiriamas maksimalus portfelis</w:t>
            </w:r>
            <w:r w:rsidR="00916A96">
              <w:rPr>
                <w:rFonts w:ascii="Times New Roman" w:hAnsi="Times New Roman"/>
                <w:b/>
                <w:szCs w:val="24"/>
              </w:rPr>
              <w:t>, Eur</w:t>
            </w:r>
          </w:p>
          <w:p w14:paraId="28B58E24" w14:textId="77777777" w:rsidR="009936DD" w:rsidRPr="00535561" w:rsidRDefault="009936DD" w:rsidP="00916A96">
            <w:pPr>
              <w:jc w:val="center"/>
              <w:rPr>
                <w:rFonts w:ascii="Times New Roman" w:hAnsi="Times New Roman"/>
                <w:b/>
                <w:szCs w:val="24"/>
              </w:rPr>
            </w:pPr>
          </w:p>
        </w:tc>
        <w:tc>
          <w:tcPr>
            <w:tcW w:w="1843" w:type="dxa"/>
            <w:vAlign w:val="center"/>
          </w:tcPr>
          <w:p w14:paraId="581AC5EE" w14:textId="77777777" w:rsidR="009936DD" w:rsidRPr="00464FB9" w:rsidRDefault="009936DD" w:rsidP="00916A96">
            <w:pPr>
              <w:ind w:left="34" w:hanging="34"/>
              <w:jc w:val="center"/>
              <w:rPr>
                <w:rFonts w:ascii="Times New Roman" w:hAnsi="Times New Roman"/>
                <w:sz w:val="24"/>
                <w:szCs w:val="24"/>
              </w:rPr>
            </w:pPr>
            <w:r w:rsidRPr="00535561">
              <w:rPr>
                <w:rFonts w:ascii="Times New Roman" w:hAnsi="Times New Roman"/>
                <w:b/>
                <w:szCs w:val="24"/>
              </w:rPr>
              <w:t>PGF</w:t>
            </w:r>
            <w:r w:rsidRPr="00E057C5">
              <w:rPr>
                <w:rFonts w:ascii="Times New Roman" w:hAnsi="Times New Roman"/>
                <w:b/>
                <w:szCs w:val="24"/>
              </w:rPr>
              <w:t>2</w:t>
            </w:r>
            <w:r w:rsidRPr="00535561">
              <w:rPr>
                <w:rFonts w:ascii="Times New Roman" w:hAnsi="Times New Roman"/>
                <w:b/>
                <w:szCs w:val="24"/>
              </w:rPr>
              <w:t xml:space="preserve"> priemonei įgyvendinti </w:t>
            </w:r>
            <w:r w:rsidRPr="00174BD2">
              <w:rPr>
                <w:rFonts w:ascii="Times New Roman" w:hAnsi="Times New Roman"/>
                <w:b/>
                <w:szCs w:val="24"/>
              </w:rPr>
              <w:t>skiriama</w:t>
            </w:r>
            <w:r w:rsidRPr="00464FB9">
              <w:rPr>
                <w:rFonts w:ascii="Times New Roman" w:hAnsi="Times New Roman"/>
                <w:b/>
                <w:szCs w:val="24"/>
              </w:rPr>
              <w:t xml:space="preserve"> lėšų suma</w:t>
            </w:r>
            <w:r w:rsidR="00916A96">
              <w:rPr>
                <w:rFonts w:ascii="Times New Roman" w:hAnsi="Times New Roman"/>
                <w:b/>
                <w:szCs w:val="24"/>
              </w:rPr>
              <w:t>, Eur</w:t>
            </w:r>
          </w:p>
        </w:tc>
      </w:tr>
      <w:tr w:rsidR="009936DD" w:rsidRPr="00464FB9" w14:paraId="3E5F7B1A" w14:textId="77777777" w:rsidTr="0006617E">
        <w:tc>
          <w:tcPr>
            <w:tcW w:w="3256" w:type="dxa"/>
          </w:tcPr>
          <w:p w14:paraId="1D697E41" w14:textId="77777777" w:rsidR="009936DD" w:rsidRPr="00793055" w:rsidRDefault="0048335F" w:rsidP="0006617E">
            <w:pPr>
              <w:jc w:val="center"/>
              <w:rPr>
                <w:rFonts w:ascii="Times New Roman" w:hAnsi="Times New Roman"/>
                <w:b/>
                <w:sz w:val="24"/>
                <w:szCs w:val="24"/>
              </w:rPr>
            </w:pPr>
            <w:r>
              <w:rPr>
                <w:rFonts w:ascii="Times New Roman" w:hAnsi="Times New Roman"/>
                <w:b/>
                <w:sz w:val="24"/>
                <w:szCs w:val="24"/>
              </w:rPr>
              <w:t>F</w:t>
            </w:r>
          </w:p>
        </w:tc>
        <w:tc>
          <w:tcPr>
            <w:tcW w:w="2551" w:type="dxa"/>
          </w:tcPr>
          <w:p w14:paraId="731D53A2" w14:textId="77777777" w:rsidR="009936DD" w:rsidRPr="00793055" w:rsidRDefault="005418E0" w:rsidP="00725847">
            <w:pPr>
              <w:jc w:val="center"/>
              <w:rPr>
                <w:rFonts w:ascii="Times New Roman" w:hAnsi="Times New Roman"/>
                <w:b/>
                <w:sz w:val="24"/>
                <w:szCs w:val="24"/>
              </w:rPr>
            </w:pPr>
            <w:r>
              <w:rPr>
                <w:rFonts w:ascii="Times New Roman" w:hAnsi="Times New Roman"/>
                <w:b/>
                <w:sz w:val="24"/>
                <w:szCs w:val="24"/>
              </w:rPr>
              <w:t>G</w:t>
            </w:r>
          </w:p>
        </w:tc>
        <w:tc>
          <w:tcPr>
            <w:tcW w:w="3458" w:type="dxa"/>
          </w:tcPr>
          <w:p w14:paraId="471E6DC1" w14:textId="77777777" w:rsidR="009936DD" w:rsidRPr="00793055" w:rsidRDefault="00E642B7" w:rsidP="00E642B7">
            <w:pPr>
              <w:jc w:val="center"/>
              <w:rPr>
                <w:rFonts w:ascii="Times New Roman" w:hAnsi="Times New Roman"/>
                <w:b/>
                <w:sz w:val="24"/>
                <w:szCs w:val="24"/>
              </w:rPr>
            </w:pPr>
            <w:r>
              <w:rPr>
                <w:rFonts w:ascii="Times New Roman" w:hAnsi="Times New Roman"/>
                <w:b/>
                <w:sz w:val="24"/>
                <w:szCs w:val="24"/>
              </w:rPr>
              <w:t>H</w:t>
            </w:r>
          </w:p>
        </w:tc>
        <w:tc>
          <w:tcPr>
            <w:tcW w:w="2977" w:type="dxa"/>
          </w:tcPr>
          <w:p w14:paraId="75656159" w14:textId="77777777" w:rsidR="009936DD" w:rsidRPr="00793055" w:rsidRDefault="00E642B7" w:rsidP="00E642B7">
            <w:pPr>
              <w:jc w:val="center"/>
              <w:rPr>
                <w:rFonts w:ascii="Times New Roman" w:hAnsi="Times New Roman"/>
                <w:b/>
                <w:sz w:val="24"/>
                <w:szCs w:val="24"/>
              </w:rPr>
            </w:pPr>
            <w:r>
              <w:rPr>
                <w:rFonts w:ascii="Times New Roman" w:hAnsi="Times New Roman"/>
                <w:b/>
                <w:sz w:val="24"/>
                <w:szCs w:val="24"/>
              </w:rPr>
              <w:t>I</w:t>
            </w:r>
          </w:p>
        </w:tc>
        <w:tc>
          <w:tcPr>
            <w:tcW w:w="1843" w:type="dxa"/>
          </w:tcPr>
          <w:p w14:paraId="4D54842C" w14:textId="77777777" w:rsidR="009936DD" w:rsidRPr="00793055" w:rsidRDefault="00E642B7" w:rsidP="00E642B7">
            <w:pPr>
              <w:jc w:val="center"/>
              <w:rPr>
                <w:rFonts w:ascii="Times New Roman" w:hAnsi="Times New Roman"/>
                <w:b/>
                <w:sz w:val="24"/>
                <w:szCs w:val="24"/>
              </w:rPr>
            </w:pPr>
            <w:r>
              <w:rPr>
                <w:rFonts w:ascii="Times New Roman" w:hAnsi="Times New Roman"/>
                <w:b/>
                <w:sz w:val="24"/>
                <w:szCs w:val="24"/>
              </w:rPr>
              <w:t>J</w:t>
            </w:r>
          </w:p>
        </w:tc>
      </w:tr>
      <w:tr w:rsidR="00675992" w:rsidRPr="00464FB9" w14:paraId="5ECFE5EB" w14:textId="77777777" w:rsidTr="0006617E">
        <w:tc>
          <w:tcPr>
            <w:tcW w:w="3256" w:type="dxa"/>
          </w:tcPr>
          <w:p w14:paraId="70027C98"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w:t>
            </w:r>
            <w:r w:rsidRPr="00793055">
              <w:rPr>
                <w:rFonts w:ascii="Times New Roman" w:hAnsi="Times New Roman"/>
                <w:sz w:val="24"/>
                <w:szCs w:val="24"/>
              </w:rPr>
              <w:t>1</w:t>
            </w:r>
          </w:p>
        </w:tc>
        <w:tc>
          <w:tcPr>
            <w:tcW w:w="2551" w:type="dxa"/>
          </w:tcPr>
          <w:p w14:paraId="2A72BF7E"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4 000 000,00</w:t>
            </w:r>
          </w:p>
        </w:tc>
        <w:tc>
          <w:tcPr>
            <w:tcW w:w="3458" w:type="dxa"/>
          </w:tcPr>
          <w:p w14:paraId="0F290A63"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4 000 000,00</w:t>
            </w:r>
          </w:p>
        </w:tc>
        <w:tc>
          <w:tcPr>
            <w:tcW w:w="2977" w:type="dxa"/>
          </w:tcPr>
          <w:p w14:paraId="348021A0"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4 000 000</w:t>
            </w:r>
          </w:p>
        </w:tc>
        <w:tc>
          <w:tcPr>
            <w:tcW w:w="1843" w:type="dxa"/>
          </w:tcPr>
          <w:p w14:paraId="3296D0AA"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640 000</w:t>
            </w:r>
          </w:p>
        </w:tc>
      </w:tr>
      <w:tr w:rsidR="00675992" w:rsidRPr="00464FB9" w14:paraId="690CD6F9" w14:textId="77777777" w:rsidTr="0006617E">
        <w:tc>
          <w:tcPr>
            <w:tcW w:w="3256" w:type="dxa"/>
          </w:tcPr>
          <w:p w14:paraId="68B4523E"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lastRenderedPageBreak/>
              <w:t>Nr.</w:t>
            </w:r>
            <w:r>
              <w:rPr>
                <w:rFonts w:ascii="Times New Roman" w:hAnsi="Times New Roman"/>
                <w:sz w:val="24"/>
                <w:szCs w:val="24"/>
              </w:rPr>
              <w:t xml:space="preserve"> </w:t>
            </w:r>
            <w:r w:rsidRPr="00793055">
              <w:rPr>
                <w:rFonts w:ascii="Times New Roman" w:hAnsi="Times New Roman"/>
                <w:sz w:val="24"/>
                <w:szCs w:val="24"/>
              </w:rPr>
              <w:t>2</w:t>
            </w:r>
          </w:p>
        </w:tc>
        <w:tc>
          <w:tcPr>
            <w:tcW w:w="2551" w:type="dxa"/>
          </w:tcPr>
          <w:p w14:paraId="68C4079C"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30 000 000,00</w:t>
            </w:r>
          </w:p>
        </w:tc>
        <w:tc>
          <w:tcPr>
            <w:tcW w:w="3458" w:type="dxa"/>
          </w:tcPr>
          <w:p w14:paraId="4364EBE0"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6 250 000,00</w:t>
            </w:r>
          </w:p>
        </w:tc>
        <w:tc>
          <w:tcPr>
            <w:tcW w:w="2977" w:type="dxa"/>
          </w:tcPr>
          <w:p w14:paraId="11B9C20D"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12 500 000</w:t>
            </w:r>
          </w:p>
        </w:tc>
        <w:tc>
          <w:tcPr>
            <w:tcW w:w="1843" w:type="dxa"/>
          </w:tcPr>
          <w:p w14:paraId="1E561FC0"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2 000 000</w:t>
            </w:r>
          </w:p>
        </w:tc>
      </w:tr>
      <w:tr w:rsidR="00675992" w:rsidRPr="00464FB9" w14:paraId="6D12810C" w14:textId="77777777" w:rsidTr="0006617E">
        <w:tc>
          <w:tcPr>
            <w:tcW w:w="3256" w:type="dxa"/>
          </w:tcPr>
          <w:p w14:paraId="2CA00093"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w:t>
            </w:r>
            <w:r w:rsidRPr="00793055">
              <w:rPr>
                <w:rFonts w:ascii="Times New Roman" w:hAnsi="Times New Roman"/>
                <w:sz w:val="24"/>
                <w:szCs w:val="24"/>
              </w:rPr>
              <w:t>3</w:t>
            </w:r>
          </w:p>
        </w:tc>
        <w:tc>
          <w:tcPr>
            <w:tcW w:w="2551" w:type="dxa"/>
          </w:tcPr>
          <w:p w14:paraId="1142D362"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15 000 000,00</w:t>
            </w:r>
          </w:p>
        </w:tc>
        <w:tc>
          <w:tcPr>
            <w:tcW w:w="3458" w:type="dxa"/>
          </w:tcPr>
          <w:p w14:paraId="4BB4111F"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6 250 000,00</w:t>
            </w:r>
          </w:p>
        </w:tc>
        <w:tc>
          <w:tcPr>
            <w:tcW w:w="2977" w:type="dxa"/>
          </w:tcPr>
          <w:p w14:paraId="5601A6C8"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12 500 000</w:t>
            </w:r>
          </w:p>
        </w:tc>
        <w:tc>
          <w:tcPr>
            <w:tcW w:w="1843" w:type="dxa"/>
          </w:tcPr>
          <w:p w14:paraId="18681C4D"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2 000 000</w:t>
            </w:r>
          </w:p>
        </w:tc>
      </w:tr>
      <w:tr w:rsidR="00675992" w:rsidRPr="00464FB9" w14:paraId="31815CB4" w14:textId="77777777" w:rsidTr="0006617E">
        <w:tc>
          <w:tcPr>
            <w:tcW w:w="3256" w:type="dxa"/>
          </w:tcPr>
          <w:p w14:paraId="79EDA9B5"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w:t>
            </w:r>
            <w:r w:rsidRPr="00793055">
              <w:rPr>
                <w:rFonts w:ascii="Times New Roman" w:hAnsi="Times New Roman"/>
                <w:sz w:val="24"/>
                <w:szCs w:val="24"/>
              </w:rPr>
              <w:t>4</w:t>
            </w:r>
          </w:p>
        </w:tc>
        <w:tc>
          <w:tcPr>
            <w:tcW w:w="2551" w:type="dxa"/>
          </w:tcPr>
          <w:p w14:paraId="2D948ACD"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5 000 000,00</w:t>
            </w:r>
          </w:p>
        </w:tc>
        <w:tc>
          <w:tcPr>
            <w:tcW w:w="3458" w:type="dxa"/>
          </w:tcPr>
          <w:p w14:paraId="369DB2AA"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5 000 000,00</w:t>
            </w:r>
          </w:p>
        </w:tc>
        <w:tc>
          <w:tcPr>
            <w:tcW w:w="2977" w:type="dxa"/>
          </w:tcPr>
          <w:p w14:paraId="5ADBF594"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5 000 000</w:t>
            </w:r>
          </w:p>
        </w:tc>
        <w:tc>
          <w:tcPr>
            <w:tcW w:w="1843" w:type="dxa"/>
          </w:tcPr>
          <w:p w14:paraId="43691618"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800 000</w:t>
            </w:r>
          </w:p>
        </w:tc>
      </w:tr>
      <w:tr w:rsidR="00675992" w:rsidRPr="00464FB9" w14:paraId="32C10D06" w14:textId="77777777" w:rsidTr="0006617E">
        <w:tc>
          <w:tcPr>
            <w:tcW w:w="3256" w:type="dxa"/>
          </w:tcPr>
          <w:p w14:paraId="4ACE31E4"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w:t>
            </w:r>
            <w:r w:rsidRPr="00793055">
              <w:rPr>
                <w:rFonts w:ascii="Times New Roman" w:hAnsi="Times New Roman"/>
                <w:sz w:val="24"/>
                <w:szCs w:val="24"/>
              </w:rPr>
              <w:t>5</w:t>
            </w:r>
          </w:p>
        </w:tc>
        <w:tc>
          <w:tcPr>
            <w:tcW w:w="2551" w:type="dxa"/>
          </w:tcPr>
          <w:p w14:paraId="635CE320"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6 000 000,00</w:t>
            </w:r>
          </w:p>
        </w:tc>
        <w:tc>
          <w:tcPr>
            <w:tcW w:w="3458" w:type="dxa"/>
          </w:tcPr>
          <w:p w14:paraId="7D8220A8"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6 000 000,00</w:t>
            </w:r>
          </w:p>
        </w:tc>
        <w:tc>
          <w:tcPr>
            <w:tcW w:w="2977" w:type="dxa"/>
          </w:tcPr>
          <w:p w14:paraId="042BCBAA"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6 000 000</w:t>
            </w:r>
          </w:p>
        </w:tc>
        <w:tc>
          <w:tcPr>
            <w:tcW w:w="1843" w:type="dxa"/>
          </w:tcPr>
          <w:p w14:paraId="1F30EB56"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960 000</w:t>
            </w:r>
          </w:p>
        </w:tc>
      </w:tr>
      <w:tr w:rsidR="00675992" w:rsidRPr="00464FB9" w14:paraId="371DF740" w14:textId="77777777" w:rsidTr="0006617E">
        <w:tc>
          <w:tcPr>
            <w:tcW w:w="3256" w:type="dxa"/>
          </w:tcPr>
          <w:p w14:paraId="331D5D4C"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w:t>
            </w:r>
            <w:r w:rsidRPr="00793055">
              <w:rPr>
                <w:rFonts w:ascii="Times New Roman" w:hAnsi="Times New Roman"/>
                <w:sz w:val="24"/>
                <w:szCs w:val="24"/>
              </w:rPr>
              <w:t>6</w:t>
            </w:r>
          </w:p>
        </w:tc>
        <w:tc>
          <w:tcPr>
            <w:tcW w:w="2551" w:type="dxa"/>
          </w:tcPr>
          <w:p w14:paraId="0890F658"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25 000 000,00</w:t>
            </w:r>
          </w:p>
        </w:tc>
        <w:tc>
          <w:tcPr>
            <w:tcW w:w="3458" w:type="dxa"/>
          </w:tcPr>
          <w:p w14:paraId="3C473741"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6 250 000,00</w:t>
            </w:r>
          </w:p>
        </w:tc>
        <w:tc>
          <w:tcPr>
            <w:tcW w:w="2977" w:type="dxa"/>
          </w:tcPr>
          <w:p w14:paraId="131F95AD"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12 500 000</w:t>
            </w:r>
          </w:p>
        </w:tc>
        <w:tc>
          <w:tcPr>
            <w:tcW w:w="1843" w:type="dxa"/>
          </w:tcPr>
          <w:p w14:paraId="3DBDD840"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2 000 000</w:t>
            </w:r>
          </w:p>
        </w:tc>
      </w:tr>
      <w:tr w:rsidR="00675992" w:rsidRPr="00464FB9" w14:paraId="14ACC294" w14:textId="77777777" w:rsidTr="0006617E">
        <w:tc>
          <w:tcPr>
            <w:tcW w:w="3256" w:type="dxa"/>
          </w:tcPr>
          <w:p w14:paraId="13A33096"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w:t>
            </w:r>
            <w:r w:rsidRPr="00793055">
              <w:rPr>
                <w:rFonts w:ascii="Times New Roman" w:hAnsi="Times New Roman"/>
                <w:sz w:val="24"/>
                <w:szCs w:val="24"/>
              </w:rPr>
              <w:t>7</w:t>
            </w:r>
          </w:p>
        </w:tc>
        <w:tc>
          <w:tcPr>
            <w:tcW w:w="2551" w:type="dxa"/>
          </w:tcPr>
          <w:p w14:paraId="768BB844"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3 000 000,00</w:t>
            </w:r>
          </w:p>
        </w:tc>
        <w:tc>
          <w:tcPr>
            <w:tcW w:w="3458" w:type="dxa"/>
          </w:tcPr>
          <w:p w14:paraId="6928F75F"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3 000 000,00</w:t>
            </w:r>
          </w:p>
        </w:tc>
        <w:tc>
          <w:tcPr>
            <w:tcW w:w="2977" w:type="dxa"/>
          </w:tcPr>
          <w:p w14:paraId="63A6DC4A"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3 000 000</w:t>
            </w:r>
          </w:p>
        </w:tc>
        <w:tc>
          <w:tcPr>
            <w:tcW w:w="1843" w:type="dxa"/>
          </w:tcPr>
          <w:p w14:paraId="135DE87D"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480 000</w:t>
            </w:r>
          </w:p>
        </w:tc>
      </w:tr>
      <w:tr w:rsidR="00675992" w:rsidRPr="00464FB9" w14:paraId="6DDD6C82" w14:textId="77777777" w:rsidTr="0006617E">
        <w:tc>
          <w:tcPr>
            <w:tcW w:w="3256" w:type="dxa"/>
          </w:tcPr>
          <w:p w14:paraId="42B15FF6"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8</w:t>
            </w:r>
          </w:p>
        </w:tc>
        <w:tc>
          <w:tcPr>
            <w:tcW w:w="2551" w:type="dxa"/>
          </w:tcPr>
          <w:p w14:paraId="29BB430D"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3 000 000,00</w:t>
            </w:r>
          </w:p>
        </w:tc>
        <w:tc>
          <w:tcPr>
            <w:tcW w:w="3458" w:type="dxa"/>
          </w:tcPr>
          <w:p w14:paraId="100805AB"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3 000 000,00</w:t>
            </w:r>
          </w:p>
        </w:tc>
        <w:tc>
          <w:tcPr>
            <w:tcW w:w="2977" w:type="dxa"/>
          </w:tcPr>
          <w:p w14:paraId="1ECE3096"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3 000 000</w:t>
            </w:r>
          </w:p>
        </w:tc>
        <w:tc>
          <w:tcPr>
            <w:tcW w:w="1843" w:type="dxa"/>
          </w:tcPr>
          <w:p w14:paraId="672ABE8F"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480 000</w:t>
            </w:r>
          </w:p>
        </w:tc>
      </w:tr>
      <w:tr w:rsidR="00675992" w:rsidRPr="00464FB9" w14:paraId="36D1804D" w14:textId="77777777" w:rsidTr="0006617E">
        <w:tc>
          <w:tcPr>
            <w:tcW w:w="3256" w:type="dxa"/>
          </w:tcPr>
          <w:p w14:paraId="62989B07"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9</w:t>
            </w:r>
          </w:p>
        </w:tc>
        <w:tc>
          <w:tcPr>
            <w:tcW w:w="2551" w:type="dxa"/>
          </w:tcPr>
          <w:p w14:paraId="138059A6"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2 000 000,00</w:t>
            </w:r>
          </w:p>
        </w:tc>
        <w:tc>
          <w:tcPr>
            <w:tcW w:w="3458" w:type="dxa"/>
          </w:tcPr>
          <w:p w14:paraId="3DFC03AE"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2 000 000,00</w:t>
            </w:r>
          </w:p>
        </w:tc>
        <w:tc>
          <w:tcPr>
            <w:tcW w:w="2977" w:type="dxa"/>
          </w:tcPr>
          <w:p w14:paraId="082603E7"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2 000 000</w:t>
            </w:r>
          </w:p>
        </w:tc>
        <w:tc>
          <w:tcPr>
            <w:tcW w:w="1843" w:type="dxa"/>
          </w:tcPr>
          <w:p w14:paraId="357078A7" w14:textId="77777777" w:rsidR="00675992" w:rsidRPr="00722BB3" w:rsidRDefault="00675992" w:rsidP="00675992">
            <w:pPr>
              <w:rPr>
                <w:rFonts w:ascii="Times New Roman" w:hAnsi="Times New Roman"/>
                <w:sz w:val="24"/>
                <w:szCs w:val="24"/>
              </w:rPr>
            </w:pPr>
            <w:r w:rsidRPr="00722BB3">
              <w:rPr>
                <w:rFonts w:ascii="Times New Roman" w:hAnsi="Times New Roman"/>
                <w:sz w:val="24"/>
                <w:szCs w:val="24"/>
              </w:rPr>
              <w:t>320 000</w:t>
            </w:r>
          </w:p>
        </w:tc>
      </w:tr>
      <w:tr w:rsidR="00675992" w:rsidRPr="00464FB9" w14:paraId="6C297D01" w14:textId="77777777" w:rsidTr="0006617E">
        <w:tc>
          <w:tcPr>
            <w:tcW w:w="3256" w:type="dxa"/>
          </w:tcPr>
          <w:p w14:paraId="1E33D773" w14:textId="77777777" w:rsidR="00675992" w:rsidRPr="00793055" w:rsidRDefault="00675992" w:rsidP="00675992">
            <w:pPr>
              <w:rPr>
                <w:rFonts w:ascii="Times New Roman" w:hAnsi="Times New Roman"/>
                <w:sz w:val="24"/>
                <w:szCs w:val="24"/>
              </w:rPr>
            </w:pPr>
            <w:r w:rsidRPr="00793055">
              <w:rPr>
                <w:rFonts w:ascii="Times New Roman" w:hAnsi="Times New Roman"/>
                <w:sz w:val="24"/>
                <w:szCs w:val="24"/>
              </w:rPr>
              <w:t>Nr.</w:t>
            </w:r>
            <w:r>
              <w:rPr>
                <w:rFonts w:ascii="Times New Roman" w:hAnsi="Times New Roman"/>
                <w:sz w:val="24"/>
                <w:szCs w:val="24"/>
              </w:rPr>
              <w:t xml:space="preserve"> 10</w:t>
            </w:r>
          </w:p>
        </w:tc>
        <w:tc>
          <w:tcPr>
            <w:tcW w:w="2551" w:type="dxa"/>
          </w:tcPr>
          <w:p w14:paraId="45DD2993"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2 000 000,00</w:t>
            </w:r>
          </w:p>
        </w:tc>
        <w:tc>
          <w:tcPr>
            <w:tcW w:w="3458" w:type="dxa"/>
          </w:tcPr>
          <w:p w14:paraId="5090BB3A"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2 000 000,00</w:t>
            </w:r>
          </w:p>
        </w:tc>
        <w:tc>
          <w:tcPr>
            <w:tcW w:w="2977" w:type="dxa"/>
          </w:tcPr>
          <w:p w14:paraId="5B6B7D34"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2 000 000</w:t>
            </w:r>
          </w:p>
        </w:tc>
        <w:tc>
          <w:tcPr>
            <w:tcW w:w="1843" w:type="dxa"/>
          </w:tcPr>
          <w:p w14:paraId="45AF2BA0" w14:textId="77777777" w:rsidR="00675992" w:rsidRPr="00793055" w:rsidRDefault="00675992" w:rsidP="00675992">
            <w:pPr>
              <w:rPr>
                <w:rFonts w:ascii="Times New Roman" w:hAnsi="Times New Roman"/>
                <w:sz w:val="24"/>
                <w:szCs w:val="24"/>
              </w:rPr>
            </w:pPr>
            <w:r w:rsidRPr="00722BB3">
              <w:rPr>
                <w:rFonts w:ascii="Times New Roman" w:hAnsi="Times New Roman"/>
                <w:sz w:val="24"/>
                <w:szCs w:val="24"/>
              </w:rPr>
              <w:t>320 000</w:t>
            </w:r>
          </w:p>
        </w:tc>
      </w:tr>
    </w:tbl>
    <w:p w14:paraId="0EAD6E13" w14:textId="77777777" w:rsidR="00F855DD" w:rsidRDefault="00F855DD" w:rsidP="004F1F93">
      <w:pPr>
        <w:rPr>
          <w:rFonts w:ascii="Times New Roman" w:hAnsi="Times New Roman"/>
          <w:bCs/>
        </w:rPr>
      </w:pPr>
    </w:p>
    <w:p w14:paraId="2E649928" w14:textId="77777777" w:rsidR="00F036DE" w:rsidRPr="00464FB9" w:rsidRDefault="00F036DE" w:rsidP="004F1F93">
      <w:pPr>
        <w:rPr>
          <w:rFonts w:ascii="Times New Roman" w:hAnsi="Times New Roman"/>
          <w:sz w:val="24"/>
          <w:szCs w:val="24"/>
        </w:rPr>
      </w:pPr>
      <w:r w:rsidRPr="00524B71">
        <w:rPr>
          <w:rFonts w:ascii="Times New Roman" w:hAnsi="Times New Roman"/>
          <w:sz w:val="24"/>
          <w:szCs w:val="24"/>
        </w:rPr>
        <w:t>PGF2 priemonei įgyvendinti skirtos lėšų</w:t>
      </w:r>
      <w:r>
        <w:rPr>
          <w:rFonts w:ascii="Times New Roman" w:hAnsi="Times New Roman"/>
          <w:sz w:val="24"/>
          <w:szCs w:val="24"/>
        </w:rPr>
        <w:t xml:space="preserve"> sumos skirstymo veiksmai:</w:t>
      </w:r>
    </w:p>
    <w:p w14:paraId="64546D98" w14:textId="77777777" w:rsidR="006E1A5C" w:rsidRDefault="0009478C" w:rsidP="00035106">
      <w:pPr>
        <w:pStyle w:val="ListParagraph"/>
        <w:numPr>
          <w:ilvl w:val="0"/>
          <w:numId w:val="14"/>
        </w:numPr>
        <w:jc w:val="both"/>
        <w:rPr>
          <w:rFonts w:ascii="Times New Roman" w:hAnsi="Times New Roman"/>
          <w:sz w:val="24"/>
          <w:szCs w:val="24"/>
        </w:rPr>
      </w:pPr>
      <w:r w:rsidRPr="00F036DE">
        <w:rPr>
          <w:rFonts w:ascii="Times New Roman" w:hAnsi="Times New Roman"/>
          <w:sz w:val="24"/>
          <w:szCs w:val="24"/>
        </w:rPr>
        <w:t>Į el.</w:t>
      </w:r>
      <w:r w:rsidR="00FF25C2">
        <w:rPr>
          <w:rFonts w:ascii="Times New Roman" w:hAnsi="Times New Roman"/>
          <w:sz w:val="24"/>
          <w:szCs w:val="24"/>
        </w:rPr>
        <w:t xml:space="preserve"> </w:t>
      </w:r>
      <w:r w:rsidRPr="00F036DE">
        <w:rPr>
          <w:rFonts w:ascii="Times New Roman" w:hAnsi="Times New Roman"/>
          <w:sz w:val="24"/>
          <w:szCs w:val="24"/>
        </w:rPr>
        <w:t xml:space="preserve">pašto dėžutę </w:t>
      </w:r>
      <w:hyperlink r:id="rId18" w:history="1">
        <w:r w:rsidRPr="00F036DE">
          <w:rPr>
            <w:rStyle w:val="Hyperlink"/>
            <w:rFonts w:ascii="Times New Roman" w:hAnsi="Times New Roman"/>
            <w:sz w:val="24"/>
            <w:szCs w:val="24"/>
          </w:rPr>
          <w:t>pgf@invega.lt</w:t>
        </w:r>
      </w:hyperlink>
      <w:r w:rsidRPr="00F036DE">
        <w:rPr>
          <w:rFonts w:ascii="Times New Roman" w:hAnsi="Times New Roman"/>
          <w:sz w:val="24"/>
          <w:szCs w:val="24"/>
        </w:rPr>
        <w:t xml:space="preserve"> g</w:t>
      </w:r>
      <w:r w:rsidR="00FE7CF5" w:rsidRPr="00F036DE">
        <w:rPr>
          <w:rFonts w:ascii="Times New Roman" w:hAnsi="Times New Roman"/>
          <w:sz w:val="24"/>
          <w:szCs w:val="24"/>
        </w:rPr>
        <w:t xml:space="preserve">auti </w:t>
      </w:r>
      <w:r w:rsidR="009936DD" w:rsidRPr="00F036DE">
        <w:rPr>
          <w:rFonts w:ascii="Times New Roman" w:hAnsi="Times New Roman"/>
          <w:sz w:val="24"/>
          <w:szCs w:val="24"/>
        </w:rPr>
        <w:t xml:space="preserve">finansų tarpininkų </w:t>
      </w:r>
      <w:r w:rsidR="00FE7CF5" w:rsidRPr="00F036DE">
        <w:rPr>
          <w:rFonts w:ascii="Times New Roman" w:hAnsi="Times New Roman"/>
          <w:sz w:val="24"/>
          <w:szCs w:val="24"/>
        </w:rPr>
        <w:t xml:space="preserve">prašymai registruojami </w:t>
      </w:r>
      <w:r w:rsidRPr="00F036DE">
        <w:rPr>
          <w:rFonts w:ascii="Times New Roman" w:hAnsi="Times New Roman"/>
          <w:sz w:val="24"/>
          <w:szCs w:val="24"/>
        </w:rPr>
        <w:t xml:space="preserve">atsižvelgiant į prašymų </w:t>
      </w:r>
      <w:r w:rsidR="00FE7CF5" w:rsidRPr="00F036DE">
        <w:rPr>
          <w:rFonts w:ascii="Times New Roman" w:hAnsi="Times New Roman"/>
          <w:sz w:val="24"/>
          <w:szCs w:val="24"/>
        </w:rPr>
        <w:t xml:space="preserve">gavimo </w:t>
      </w:r>
      <w:r w:rsidRPr="00F036DE">
        <w:rPr>
          <w:rFonts w:ascii="Times New Roman" w:hAnsi="Times New Roman"/>
          <w:sz w:val="24"/>
          <w:szCs w:val="24"/>
        </w:rPr>
        <w:t xml:space="preserve">datą ir </w:t>
      </w:r>
      <w:r w:rsidR="00FE7CF5" w:rsidRPr="00F036DE">
        <w:rPr>
          <w:rFonts w:ascii="Times New Roman" w:hAnsi="Times New Roman"/>
          <w:sz w:val="24"/>
          <w:szCs w:val="24"/>
        </w:rPr>
        <w:t>laiką</w:t>
      </w:r>
      <w:r w:rsidRPr="00F036DE">
        <w:rPr>
          <w:rFonts w:ascii="Times New Roman" w:hAnsi="Times New Roman"/>
          <w:sz w:val="24"/>
          <w:szCs w:val="24"/>
        </w:rPr>
        <w:t>. Prašymas laikomas gautu</w:t>
      </w:r>
      <w:r w:rsidR="00D96DE7">
        <w:rPr>
          <w:rFonts w:ascii="Times New Roman" w:hAnsi="Times New Roman"/>
          <w:sz w:val="24"/>
          <w:szCs w:val="24"/>
        </w:rPr>
        <w:t>,</w:t>
      </w:r>
      <w:r w:rsidRPr="00F036DE">
        <w:rPr>
          <w:rFonts w:ascii="Times New Roman" w:hAnsi="Times New Roman"/>
          <w:sz w:val="24"/>
          <w:szCs w:val="24"/>
        </w:rPr>
        <w:t xml:space="preserve"> kai gaunami visi su prašymu privalomi pateikti dokumentai</w:t>
      </w:r>
      <w:r w:rsidR="00FE7CF5" w:rsidRPr="00F036DE">
        <w:rPr>
          <w:rFonts w:ascii="Times New Roman" w:hAnsi="Times New Roman"/>
          <w:sz w:val="24"/>
          <w:szCs w:val="24"/>
        </w:rPr>
        <w:t>;</w:t>
      </w:r>
    </w:p>
    <w:p w14:paraId="15FD46CC" w14:textId="77777777" w:rsidR="007E34BD" w:rsidRDefault="007E34BD" w:rsidP="00035106">
      <w:pPr>
        <w:pStyle w:val="ListParagraph"/>
        <w:numPr>
          <w:ilvl w:val="0"/>
          <w:numId w:val="14"/>
        </w:numPr>
        <w:jc w:val="both"/>
        <w:rPr>
          <w:rFonts w:ascii="Times New Roman" w:hAnsi="Times New Roman"/>
          <w:sz w:val="24"/>
          <w:szCs w:val="24"/>
        </w:rPr>
      </w:pPr>
      <w:r>
        <w:rPr>
          <w:rFonts w:ascii="Times New Roman" w:hAnsi="Times New Roman"/>
          <w:sz w:val="24"/>
          <w:szCs w:val="24"/>
        </w:rPr>
        <w:t>Suskaičiuojamas gautų ir tinkamumo reikalavimus atitinkančių prašymų skaičius ir įrašomas į D stulpelį;</w:t>
      </w:r>
    </w:p>
    <w:p w14:paraId="3091CD23" w14:textId="77777777" w:rsidR="007E34BD" w:rsidRPr="00F036DE" w:rsidRDefault="007E34BD" w:rsidP="00035106">
      <w:pPr>
        <w:pStyle w:val="ListParagraph"/>
        <w:numPr>
          <w:ilvl w:val="0"/>
          <w:numId w:val="14"/>
        </w:numPr>
        <w:jc w:val="both"/>
        <w:rPr>
          <w:rFonts w:ascii="Times New Roman" w:hAnsi="Times New Roman"/>
          <w:sz w:val="24"/>
          <w:szCs w:val="24"/>
        </w:rPr>
      </w:pPr>
      <w:r>
        <w:rPr>
          <w:rFonts w:ascii="Times New Roman" w:hAnsi="Times New Roman"/>
          <w:sz w:val="24"/>
          <w:szCs w:val="24"/>
        </w:rPr>
        <w:t>Apskaičiuojama E stulpelio suma;</w:t>
      </w:r>
    </w:p>
    <w:p w14:paraId="64778710" w14:textId="77777777" w:rsidR="00FE7CF5" w:rsidRPr="00F036DE" w:rsidRDefault="00624233" w:rsidP="00035106">
      <w:pPr>
        <w:pStyle w:val="ListParagraph"/>
        <w:numPr>
          <w:ilvl w:val="0"/>
          <w:numId w:val="14"/>
        </w:numPr>
        <w:jc w:val="both"/>
        <w:rPr>
          <w:rFonts w:ascii="Times New Roman" w:hAnsi="Times New Roman"/>
          <w:sz w:val="24"/>
          <w:szCs w:val="24"/>
        </w:rPr>
      </w:pPr>
      <w:r w:rsidRPr="00F036DE">
        <w:rPr>
          <w:rFonts w:ascii="Times New Roman" w:hAnsi="Times New Roman"/>
          <w:sz w:val="24"/>
          <w:szCs w:val="24"/>
        </w:rPr>
        <w:t xml:space="preserve">Prašymus pateikę </w:t>
      </w:r>
      <w:r w:rsidR="009936DD" w:rsidRPr="00F036DE">
        <w:rPr>
          <w:rFonts w:ascii="Times New Roman" w:hAnsi="Times New Roman"/>
          <w:sz w:val="24"/>
          <w:szCs w:val="24"/>
        </w:rPr>
        <w:t xml:space="preserve">finansų tarpininkai </w:t>
      </w:r>
      <w:r w:rsidRPr="00F036DE">
        <w:rPr>
          <w:rFonts w:ascii="Times New Roman" w:hAnsi="Times New Roman"/>
          <w:sz w:val="24"/>
          <w:szCs w:val="24"/>
        </w:rPr>
        <w:t xml:space="preserve">surašomi į </w:t>
      </w:r>
      <w:r w:rsidR="00725847">
        <w:rPr>
          <w:rFonts w:ascii="Times New Roman" w:hAnsi="Times New Roman"/>
          <w:sz w:val="24"/>
          <w:szCs w:val="24"/>
        </w:rPr>
        <w:t>F</w:t>
      </w:r>
      <w:r w:rsidRPr="00F036DE">
        <w:rPr>
          <w:rFonts w:ascii="Times New Roman" w:hAnsi="Times New Roman"/>
          <w:sz w:val="24"/>
          <w:szCs w:val="24"/>
        </w:rPr>
        <w:t xml:space="preserve"> stulpelį pagal prašymo gavimo laiką ir datą;</w:t>
      </w:r>
    </w:p>
    <w:p w14:paraId="5885585D" w14:textId="77777777" w:rsidR="00624233" w:rsidRPr="00F036DE" w:rsidRDefault="0006617E" w:rsidP="00035106">
      <w:pPr>
        <w:pStyle w:val="ListParagraph"/>
        <w:numPr>
          <w:ilvl w:val="0"/>
          <w:numId w:val="14"/>
        </w:numPr>
        <w:jc w:val="both"/>
        <w:rPr>
          <w:rFonts w:ascii="Times New Roman" w:hAnsi="Times New Roman"/>
          <w:sz w:val="24"/>
          <w:szCs w:val="24"/>
        </w:rPr>
      </w:pPr>
      <w:r>
        <w:rPr>
          <w:rFonts w:ascii="Times New Roman" w:hAnsi="Times New Roman"/>
          <w:sz w:val="24"/>
          <w:szCs w:val="24"/>
        </w:rPr>
        <w:t>Finansų tarpininkų p</w:t>
      </w:r>
      <w:r w:rsidR="00624233" w:rsidRPr="00F036DE">
        <w:rPr>
          <w:rFonts w:ascii="Times New Roman" w:hAnsi="Times New Roman"/>
          <w:sz w:val="24"/>
          <w:szCs w:val="24"/>
        </w:rPr>
        <w:t>rašymuose nurodyta</w:t>
      </w:r>
      <w:r w:rsidR="00624233" w:rsidRPr="00624233">
        <w:t xml:space="preserve"> </w:t>
      </w:r>
      <w:r w:rsidR="00624233" w:rsidRPr="00F036DE">
        <w:rPr>
          <w:rFonts w:ascii="Times New Roman" w:hAnsi="Times New Roman"/>
          <w:sz w:val="24"/>
          <w:szCs w:val="24"/>
        </w:rPr>
        <w:t xml:space="preserve">per Sutarties laikotarpį planuojama į Portfelį įtraukti Faktoringo sandorių limitų suma surašoma į </w:t>
      </w:r>
      <w:r w:rsidR="00725847">
        <w:rPr>
          <w:rFonts w:ascii="Times New Roman" w:hAnsi="Times New Roman"/>
          <w:sz w:val="24"/>
          <w:szCs w:val="24"/>
        </w:rPr>
        <w:t>G</w:t>
      </w:r>
      <w:r>
        <w:rPr>
          <w:rFonts w:ascii="Times New Roman" w:hAnsi="Times New Roman"/>
          <w:sz w:val="24"/>
          <w:szCs w:val="24"/>
        </w:rPr>
        <w:t> </w:t>
      </w:r>
      <w:r w:rsidR="00624233" w:rsidRPr="00F036DE">
        <w:rPr>
          <w:rFonts w:ascii="Times New Roman" w:hAnsi="Times New Roman"/>
          <w:sz w:val="24"/>
          <w:szCs w:val="24"/>
        </w:rPr>
        <w:t>stulpelį</w:t>
      </w:r>
      <w:r w:rsidR="00317DFC">
        <w:rPr>
          <w:rFonts w:ascii="Times New Roman" w:hAnsi="Times New Roman"/>
          <w:sz w:val="24"/>
          <w:szCs w:val="24"/>
        </w:rPr>
        <w:t xml:space="preserve"> (prašoma suma negali viršyti </w:t>
      </w:r>
      <w:r w:rsidR="00317DFC" w:rsidRPr="00317DFC">
        <w:rPr>
          <w:rFonts w:ascii="Times New Roman" w:hAnsi="Times New Roman"/>
          <w:sz w:val="24"/>
          <w:szCs w:val="24"/>
        </w:rPr>
        <w:t>finansų įstaigos verslo subjektams išduotų faktoringo sandorių (su verslo subjektais pasirašytų ir galiojančių Faktoringo sutarčių) faktoringo limitų sumos portfelyje (paskelbimo apie kvietimą dieną) padaugintos du kartus</w:t>
      </w:r>
      <w:r w:rsidR="00317DFC">
        <w:rPr>
          <w:rFonts w:ascii="Times New Roman" w:hAnsi="Times New Roman"/>
          <w:sz w:val="24"/>
          <w:szCs w:val="24"/>
        </w:rPr>
        <w:t>)</w:t>
      </w:r>
      <w:r w:rsidR="00624233" w:rsidRPr="00F036DE">
        <w:rPr>
          <w:rFonts w:ascii="Times New Roman" w:hAnsi="Times New Roman"/>
          <w:sz w:val="24"/>
          <w:szCs w:val="24"/>
        </w:rPr>
        <w:t>;</w:t>
      </w:r>
    </w:p>
    <w:p w14:paraId="0E9BC2AD" w14:textId="77777777" w:rsidR="00624233" w:rsidRPr="00F036DE" w:rsidRDefault="00725847" w:rsidP="00035106">
      <w:pPr>
        <w:pStyle w:val="ListParagraph"/>
        <w:numPr>
          <w:ilvl w:val="0"/>
          <w:numId w:val="14"/>
        </w:numPr>
        <w:jc w:val="both"/>
        <w:rPr>
          <w:rFonts w:ascii="Times New Roman" w:hAnsi="Times New Roman"/>
          <w:sz w:val="24"/>
          <w:szCs w:val="24"/>
        </w:rPr>
      </w:pPr>
      <w:r>
        <w:rPr>
          <w:rFonts w:ascii="Times New Roman" w:hAnsi="Times New Roman"/>
          <w:sz w:val="24"/>
          <w:szCs w:val="24"/>
        </w:rPr>
        <w:lastRenderedPageBreak/>
        <w:t>H</w:t>
      </w:r>
      <w:r w:rsidR="0006617E" w:rsidRPr="00F036DE">
        <w:rPr>
          <w:rFonts w:ascii="Times New Roman" w:hAnsi="Times New Roman"/>
          <w:sz w:val="24"/>
          <w:szCs w:val="24"/>
        </w:rPr>
        <w:t xml:space="preserve"> </w:t>
      </w:r>
      <w:r w:rsidR="00624233" w:rsidRPr="00F036DE">
        <w:rPr>
          <w:rFonts w:ascii="Times New Roman" w:hAnsi="Times New Roman"/>
          <w:sz w:val="24"/>
          <w:szCs w:val="24"/>
        </w:rPr>
        <w:t xml:space="preserve">Stulpelyje surašomas kiekvienam </w:t>
      </w:r>
      <w:r w:rsidR="009936DD" w:rsidRPr="00F036DE">
        <w:rPr>
          <w:rFonts w:ascii="Times New Roman" w:hAnsi="Times New Roman"/>
          <w:sz w:val="24"/>
          <w:szCs w:val="24"/>
        </w:rPr>
        <w:t xml:space="preserve">finansų tarpininkui </w:t>
      </w:r>
      <w:r w:rsidR="00624233" w:rsidRPr="00F036DE">
        <w:rPr>
          <w:rFonts w:ascii="Times New Roman" w:hAnsi="Times New Roman"/>
          <w:sz w:val="24"/>
          <w:szCs w:val="24"/>
        </w:rPr>
        <w:t>skiriamas minimalus portfelis, kuris yra lygus mažesniam iš stulpel</w:t>
      </w:r>
      <w:r>
        <w:rPr>
          <w:rFonts w:ascii="Times New Roman" w:hAnsi="Times New Roman"/>
          <w:sz w:val="24"/>
          <w:szCs w:val="24"/>
        </w:rPr>
        <w:t>iuose</w:t>
      </w:r>
      <w:r w:rsidR="00624233" w:rsidRPr="00F036DE">
        <w:rPr>
          <w:rFonts w:ascii="Times New Roman" w:hAnsi="Times New Roman"/>
          <w:sz w:val="24"/>
          <w:szCs w:val="24"/>
        </w:rPr>
        <w:t xml:space="preserve"> </w:t>
      </w:r>
      <w:r>
        <w:rPr>
          <w:rFonts w:ascii="Times New Roman" w:hAnsi="Times New Roman"/>
          <w:sz w:val="24"/>
          <w:szCs w:val="24"/>
        </w:rPr>
        <w:t>G</w:t>
      </w:r>
      <w:r w:rsidR="00624233" w:rsidRPr="00F036DE">
        <w:rPr>
          <w:rFonts w:ascii="Times New Roman" w:hAnsi="Times New Roman"/>
          <w:sz w:val="24"/>
          <w:szCs w:val="24"/>
        </w:rPr>
        <w:t xml:space="preserve"> ir </w:t>
      </w:r>
      <w:r>
        <w:rPr>
          <w:rFonts w:ascii="Times New Roman" w:hAnsi="Times New Roman"/>
          <w:sz w:val="24"/>
          <w:szCs w:val="24"/>
        </w:rPr>
        <w:t>E</w:t>
      </w:r>
      <w:r w:rsidR="00624233" w:rsidRPr="00F036DE">
        <w:rPr>
          <w:rFonts w:ascii="Times New Roman" w:hAnsi="Times New Roman"/>
          <w:sz w:val="24"/>
          <w:szCs w:val="24"/>
        </w:rPr>
        <w:t xml:space="preserve"> esančių dydžių</w:t>
      </w:r>
      <w:r>
        <w:rPr>
          <w:rFonts w:ascii="Times New Roman" w:hAnsi="Times New Roman"/>
          <w:sz w:val="24"/>
          <w:szCs w:val="24"/>
        </w:rPr>
        <w:t>, tačiau minimalus portfelis negali viršyti</w:t>
      </w:r>
      <w:r w:rsidRPr="00725847">
        <w:t xml:space="preserve"> </w:t>
      </w:r>
      <w:r w:rsidRPr="00725847">
        <w:rPr>
          <w:rFonts w:ascii="Times New Roman" w:hAnsi="Times New Roman"/>
          <w:sz w:val="24"/>
          <w:szCs w:val="24"/>
        </w:rPr>
        <w:t>2</w:t>
      </w:r>
      <w:r w:rsidR="00BB0D5D">
        <w:rPr>
          <w:rFonts w:ascii="Times New Roman" w:hAnsi="Times New Roman"/>
          <w:sz w:val="24"/>
          <w:szCs w:val="24"/>
        </w:rPr>
        <w:t>5</w:t>
      </w:r>
      <w:r w:rsidRPr="00725847">
        <w:rPr>
          <w:rFonts w:ascii="Times New Roman" w:hAnsi="Times New Roman"/>
          <w:sz w:val="24"/>
          <w:szCs w:val="24"/>
        </w:rPr>
        <w:t xml:space="preserve"> proc.</w:t>
      </w:r>
      <w:r>
        <w:rPr>
          <w:rFonts w:ascii="Times New Roman" w:hAnsi="Times New Roman"/>
          <w:sz w:val="24"/>
          <w:szCs w:val="24"/>
        </w:rPr>
        <w:t xml:space="preserve"> nuo</w:t>
      </w:r>
      <w:r>
        <w:t xml:space="preserve"> </w:t>
      </w:r>
      <w:r w:rsidRPr="00725847">
        <w:rPr>
          <w:rFonts w:ascii="Times New Roman" w:hAnsi="Times New Roman"/>
          <w:sz w:val="24"/>
          <w:szCs w:val="24"/>
        </w:rPr>
        <w:t xml:space="preserve">PGF2 priemonei įgyvendinti skirta lėšų suma planuojamo garantuoti Faktoringo sandorio </w:t>
      </w:r>
      <w:r>
        <w:rPr>
          <w:rFonts w:ascii="Times New Roman" w:hAnsi="Times New Roman"/>
          <w:sz w:val="24"/>
          <w:szCs w:val="24"/>
        </w:rPr>
        <w:t>portfelio sumos</w:t>
      </w:r>
      <w:r w:rsidR="00624233" w:rsidRPr="00F036DE">
        <w:rPr>
          <w:rFonts w:ascii="Times New Roman" w:hAnsi="Times New Roman"/>
          <w:sz w:val="24"/>
          <w:szCs w:val="24"/>
        </w:rPr>
        <w:t>;</w:t>
      </w:r>
    </w:p>
    <w:p w14:paraId="088826FD" w14:textId="77777777" w:rsidR="00624233" w:rsidRDefault="00624233" w:rsidP="00035106">
      <w:pPr>
        <w:pStyle w:val="ListParagraph"/>
        <w:numPr>
          <w:ilvl w:val="0"/>
          <w:numId w:val="14"/>
        </w:numPr>
        <w:jc w:val="both"/>
        <w:rPr>
          <w:rFonts w:ascii="Times New Roman" w:hAnsi="Times New Roman"/>
          <w:sz w:val="24"/>
          <w:szCs w:val="24"/>
        </w:rPr>
      </w:pPr>
      <w:r w:rsidRPr="00F036DE">
        <w:rPr>
          <w:rFonts w:ascii="Times New Roman" w:hAnsi="Times New Roman"/>
          <w:sz w:val="24"/>
          <w:szCs w:val="24"/>
        </w:rPr>
        <w:t xml:space="preserve">Susumuojami </w:t>
      </w:r>
      <w:r w:rsidR="009936DD" w:rsidRPr="00F036DE">
        <w:rPr>
          <w:rFonts w:ascii="Times New Roman" w:hAnsi="Times New Roman"/>
          <w:sz w:val="24"/>
          <w:szCs w:val="24"/>
        </w:rPr>
        <w:t xml:space="preserve">finansų tarpininkų </w:t>
      </w:r>
      <w:r w:rsidRPr="00F036DE">
        <w:rPr>
          <w:rFonts w:ascii="Times New Roman" w:hAnsi="Times New Roman"/>
          <w:sz w:val="24"/>
          <w:szCs w:val="24"/>
        </w:rPr>
        <w:t xml:space="preserve">minimalūs portfeliai </w:t>
      </w:r>
      <w:r w:rsidR="009936DD" w:rsidRPr="00F036DE">
        <w:rPr>
          <w:rFonts w:ascii="Times New Roman" w:hAnsi="Times New Roman"/>
          <w:sz w:val="24"/>
          <w:szCs w:val="24"/>
        </w:rPr>
        <w:t xml:space="preserve">nurodyti </w:t>
      </w:r>
      <w:r w:rsidR="00725847">
        <w:rPr>
          <w:rFonts w:ascii="Times New Roman" w:hAnsi="Times New Roman"/>
          <w:sz w:val="24"/>
          <w:szCs w:val="24"/>
        </w:rPr>
        <w:t>H</w:t>
      </w:r>
      <w:r w:rsidR="009936DD" w:rsidRPr="00F036DE">
        <w:rPr>
          <w:rFonts w:ascii="Times New Roman" w:hAnsi="Times New Roman"/>
          <w:sz w:val="24"/>
          <w:szCs w:val="24"/>
        </w:rPr>
        <w:t xml:space="preserve"> stulpelyje. Jeigu gauta suma yra </w:t>
      </w:r>
      <w:r w:rsidR="00F036DE" w:rsidRPr="00F036DE">
        <w:rPr>
          <w:rFonts w:ascii="Times New Roman" w:hAnsi="Times New Roman"/>
          <w:sz w:val="24"/>
          <w:szCs w:val="24"/>
        </w:rPr>
        <w:t>lygi</w:t>
      </w:r>
      <w:r w:rsidR="009936DD" w:rsidRPr="00F036DE">
        <w:rPr>
          <w:rFonts w:ascii="Times New Roman" w:hAnsi="Times New Roman"/>
          <w:sz w:val="24"/>
          <w:szCs w:val="24"/>
        </w:rPr>
        <w:t xml:space="preserve"> B stulpelyje nurodyta</w:t>
      </w:r>
      <w:r w:rsidR="00F036DE" w:rsidRPr="00F036DE">
        <w:rPr>
          <w:rFonts w:ascii="Times New Roman" w:hAnsi="Times New Roman"/>
          <w:sz w:val="24"/>
          <w:szCs w:val="24"/>
        </w:rPr>
        <w:t>i</w:t>
      </w:r>
      <w:r w:rsidR="009936DD" w:rsidRPr="00F036DE">
        <w:rPr>
          <w:rFonts w:ascii="Times New Roman" w:hAnsi="Times New Roman"/>
          <w:sz w:val="24"/>
          <w:szCs w:val="24"/>
        </w:rPr>
        <w:t xml:space="preserve"> suma</w:t>
      </w:r>
      <w:r w:rsidR="00F036DE" w:rsidRPr="00F036DE">
        <w:rPr>
          <w:rFonts w:ascii="Times New Roman" w:hAnsi="Times New Roman"/>
          <w:sz w:val="24"/>
          <w:szCs w:val="24"/>
        </w:rPr>
        <w:t>i, PGF2 priemonei įgyvendinti skirtos lėšų sumos skirstymas baigiamas</w:t>
      </w:r>
      <w:r w:rsidR="00916A96">
        <w:rPr>
          <w:rFonts w:ascii="Times New Roman" w:hAnsi="Times New Roman"/>
          <w:sz w:val="24"/>
          <w:szCs w:val="24"/>
        </w:rPr>
        <w:t xml:space="preserve">, </w:t>
      </w:r>
      <w:r w:rsidR="00725847">
        <w:rPr>
          <w:rFonts w:ascii="Times New Roman" w:hAnsi="Times New Roman"/>
          <w:sz w:val="24"/>
          <w:szCs w:val="24"/>
        </w:rPr>
        <w:t>I</w:t>
      </w:r>
      <w:r w:rsidR="00916A96">
        <w:rPr>
          <w:rFonts w:ascii="Times New Roman" w:hAnsi="Times New Roman"/>
          <w:sz w:val="24"/>
          <w:szCs w:val="24"/>
        </w:rPr>
        <w:t xml:space="preserve"> stulpelyje surašomos sumos nurodytos </w:t>
      </w:r>
      <w:r w:rsidR="00725847">
        <w:rPr>
          <w:rFonts w:ascii="Times New Roman" w:hAnsi="Times New Roman"/>
          <w:sz w:val="24"/>
          <w:szCs w:val="24"/>
        </w:rPr>
        <w:t>H</w:t>
      </w:r>
      <w:r w:rsidR="00916A96">
        <w:rPr>
          <w:rFonts w:ascii="Times New Roman" w:hAnsi="Times New Roman"/>
          <w:sz w:val="24"/>
          <w:szCs w:val="24"/>
        </w:rPr>
        <w:t xml:space="preserve"> stulpelyje ir atliekamas </w:t>
      </w:r>
      <w:r w:rsidR="00725847">
        <w:rPr>
          <w:rFonts w:ascii="Times New Roman" w:hAnsi="Times New Roman"/>
          <w:sz w:val="24"/>
          <w:szCs w:val="24"/>
        </w:rPr>
        <w:t>9</w:t>
      </w:r>
      <w:r w:rsidR="00916A96">
        <w:rPr>
          <w:rFonts w:ascii="Times New Roman" w:hAnsi="Times New Roman"/>
          <w:sz w:val="24"/>
          <w:szCs w:val="24"/>
        </w:rPr>
        <w:t xml:space="preserve"> veiksmas</w:t>
      </w:r>
      <w:r w:rsidR="00F036DE" w:rsidRPr="00F036DE">
        <w:rPr>
          <w:rFonts w:ascii="Times New Roman" w:hAnsi="Times New Roman"/>
          <w:sz w:val="24"/>
          <w:szCs w:val="24"/>
        </w:rPr>
        <w:t>;</w:t>
      </w:r>
      <w:r w:rsidR="009936DD" w:rsidRPr="00F036DE">
        <w:rPr>
          <w:rFonts w:ascii="Times New Roman" w:hAnsi="Times New Roman"/>
          <w:sz w:val="24"/>
          <w:szCs w:val="24"/>
        </w:rPr>
        <w:t xml:space="preserve"> </w:t>
      </w:r>
      <w:r w:rsidR="00F036DE" w:rsidRPr="00F036DE">
        <w:rPr>
          <w:rFonts w:ascii="Times New Roman" w:hAnsi="Times New Roman"/>
          <w:sz w:val="24"/>
          <w:szCs w:val="24"/>
        </w:rPr>
        <w:t>Jeigu gauta suma yra mažesnė nei B stulpelyje nurodyta suma, atliekami</w:t>
      </w:r>
      <w:r w:rsidR="00D96DE7">
        <w:rPr>
          <w:rFonts w:ascii="Times New Roman" w:hAnsi="Times New Roman"/>
          <w:sz w:val="24"/>
          <w:szCs w:val="24"/>
        </w:rPr>
        <w:t xml:space="preserve"> </w:t>
      </w:r>
      <w:r w:rsidR="00725847">
        <w:rPr>
          <w:rFonts w:ascii="Times New Roman" w:hAnsi="Times New Roman"/>
          <w:sz w:val="24"/>
          <w:szCs w:val="24"/>
        </w:rPr>
        <w:t>8</w:t>
      </w:r>
      <w:r w:rsidR="00D96DE7">
        <w:rPr>
          <w:rFonts w:ascii="Times New Roman" w:hAnsi="Times New Roman"/>
          <w:sz w:val="24"/>
          <w:szCs w:val="24"/>
        </w:rPr>
        <w:t>–</w:t>
      </w:r>
      <w:r w:rsidR="00725847">
        <w:rPr>
          <w:rFonts w:ascii="Times New Roman" w:hAnsi="Times New Roman"/>
          <w:sz w:val="24"/>
          <w:szCs w:val="24"/>
        </w:rPr>
        <w:t>9</w:t>
      </w:r>
      <w:r w:rsidR="00F036DE" w:rsidRPr="00F036DE">
        <w:rPr>
          <w:rFonts w:ascii="Times New Roman" w:hAnsi="Times New Roman"/>
          <w:sz w:val="24"/>
          <w:szCs w:val="24"/>
        </w:rPr>
        <w:t xml:space="preserve"> veiksmai;</w:t>
      </w:r>
    </w:p>
    <w:p w14:paraId="6A4C7DF7" w14:textId="77777777" w:rsidR="00F036DE" w:rsidRDefault="00F036DE" w:rsidP="00035106">
      <w:pPr>
        <w:pStyle w:val="ListParagraph"/>
        <w:numPr>
          <w:ilvl w:val="0"/>
          <w:numId w:val="14"/>
        </w:numPr>
        <w:jc w:val="both"/>
        <w:rPr>
          <w:rFonts w:ascii="Times New Roman" w:hAnsi="Times New Roman"/>
          <w:sz w:val="24"/>
          <w:szCs w:val="24"/>
        </w:rPr>
      </w:pPr>
      <w:r>
        <w:rPr>
          <w:rFonts w:ascii="Times New Roman" w:hAnsi="Times New Roman"/>
          <w:sz w:val="24"/>
          <w:szCs w:val="24"/>
        </w:rPr>
        <w:t xml:space="preserve"> </w:t>
      </w:r>
      <w:r w:rsidR="00CE5057">
        <w:rPr>
          <w:rFonts w:ascii="Times New Roman" w:hAnsi="Times New Roman"/>
          <w:sz w:val="24"/>
          <w:szCs w:val="24"/>
        </w:rPr>
        <w:t xml:space="preserve">Jei ne visa B stulpelyje nurodyta suma </w:t>
      </w:r>
      <w:r w:rsidRPr="009936DD">
        <w:rPr>
          <w:rFonts w:ascii="Times New Roman" w:hAnsi="Times New Roman"/>
          <w:sz w:val="24"/>
          <w:szCs w:val="24"/>
        </w:rPr>
        <w:t>buvo paskirstyta</w:t>
      </w:r>
      <w:r w:rsidR="00CE5057">
        <w:rPr>
          <w:rFonts w:ascii="Times New Roman" w:hAnsi="Times New Roman"/>
          <w:sz w:val="24"/>
          <w:szCs w:val="24"/>
        </w:rPr>
        <w:t xml:space="preserve"> finansų tarpininkams</w:t>
      </w:r>
      <w:r>
        <w:rPr>
          <w:rFonts w:ascii="Times New Roman" w:hAnsi="Times New Roman"/>
          <w:sz w:val="24"/>
          <w:szCs w:val="24"/>
        </w:rPr>
        <w:t>,</w:t>
      </w:r>
      <w:r w:rsidRPr="00F036DE">
        <w:rPr>
          <w:rFonts w:ascii="Times New Roman" w:hAnsi="Times New Roman"/>
          <w:sz w:val="24"/>
          <w:szCs w:val="24"/>
        </w:rPr>
        <w:t xml:space="preserve"> </w:t>
      </w:r>
      <w:r w:rsidR="00320602">
        <w:rPr>
          <w:rFonts w:ascii="Times New Roman" w:hAnsi="Times New Roman"/>
          <w:sz w:val="24"/>
          <w:szCs w:val="24"/>
        </w:rPr>
        <w:t xml:space="preserve">apskaičiuojama kurių finansų tarpininkų minimalūs (H stulpelyje nurodyti) portfeliai yra mažesni negu G stulpelyje, bet ne didesni negu C stulpelyje. Likusi nepaskirstyta B stulpelio suma </w:t>
      </w:r>
      <w:r w:rsidR="00320602" w:rsidRPr="00F036DE">
        <w:rPr>
          <w:rFonts w:ascii="Times New Roman" w:hAnsi="Times New Roman"/>
          <w:sz w:val="24"/>
          <w:szCs w:val="24"/>
        </w:rPr>
        <w:t>dalin</w:t>
      </w:r>
      <w:r w:rsidR="00320602" w:rsidRPr="0006617E">
        <w:rPr>
          <w:rFonts w:ascii="Times New Roman" w:hAnsi="Times New Roman"/>
          <w:sz w:val="24"/>
          <w:szCs w:val="24"/>
        </w:rPr>
        <w:t>ama</w:t>
      </w:r>
      <w:r w:rsidR="00320602" w:rsidDel="00320602">
        <w:rPr>
          <w:rFonts w:ascii="Times New Roman" w:hAnsi="Times New Roman"/>
          <w:sz w:val="24"/>
          <w:szCs w:val="24"/>
        </w:rPr>
        <w:t xml:space="preserve"> </w:t>
      </w:r>
      <w:r w:rsidR="00320602">
        <w:rPr>
          <w:rFonts w:ascii="Times New Roman" w:hAnsi="Times New Roman"/>
          <w:sz w:val="24"/>
          <w:szCs w:val="24"/>
        </w:rPr>
        <w:t xml:space="preserve">iš gauto </w:t>
      </w:r>
      <w:r w:rsidR="00CB10B4">
        <w:rPr>
          <w:rFonts w:ascii="Times New Roman" w:hAnsi="Times New Roman"/>
          <w:sz w:val="24"/>
          <w:szCs w:val="24"/>
        </w:rPr>
        <w:t xml:space="preserve">finansų tarpininkų </w:t>
      </w:r>
      <w:r w:rsidR="00320602">
        <w:rPr>
          <w:rFonts w:ascii="Times New Roman" w:hAnsi="Times New Roman"/>
          <w:sz w:val="24"/>
          <w:szCs w:val="24"/>
        </w:rPr>
        <w:t>skaičiaus</w:t>
      </w:r>
      <w:r w:rsidR="00CB10B4">
        <w:rPr>
          <w:rFonts w:ascii="Times New Roman" w:hAnsi="Times New Roman"/>
          <w:sz w:val="24"/>
          <w:szCs w:val="24"/>
        </w:rPr>
        <w:t>, o</w:t>
      </w:r>
      <w:r w:rsidR="00320602">
        <w:rPr>
          <w:rFonts w:ascii="Times New Roman" w:hAnsi="Times New Roman"/>
          <w:sz w:val="24"/>
          <w:szCs w:val="24"/>
        </w:rPr>
        <w:t xml:space="preserve"> </w:t>
      </w:r>
      <w:r w:rsidR="00CB10B4">
        <w:rPr>
          <w:rFonts w:ascii="Times New Roman" w:hAnsi="Times New Roman"/>
          <w:sz w:val="24"/>
          <w:szCs w:val="24"/>
        </w:rPr>
        <w:t>gauta suma koreguojami (didinami)</w:t>
      </w:r>
      <w:r w:rsidR="00320602">
        <w:rPr>
          <w:rFonts w:ascii="Times New Roman" w:hAnsi="Times New Roman"/>
          <w:sz w:val="24"/>
          <w:szCs w:val="24"/>
        </w:rPr>
        <w:t xml:space="preserve"> minėtų finansų tarpininkų minimal</w:t>
      </w:r>
      <w:r w:rsidR="00CB10B4">
        <w:rPr>
          <w:rFonts w:ascii="Times New Roman" w:hAnsi="Times New Roman"/>
          <w:sz w:val="24"/>
          <w:szCs w:val="24"/>
        </w:rPr>
        <w:t>ūs</w:t>
      </w:r>
      <w:r w:rsidR="00320602">
        <w:rPr>
          <w:rFonts w:ascii="Times New Roman" w:hAnsi="Times New Roman"/>
          <w:sz w:val="24"/>
          <w:szCs w:val="24"/>
        </w:rPr>
        <w:t xml:space="preserve"> portfeli</w:t>
      </w:r>
      <w:r w:rsidR="00CB10B4">
        <w:rPr>
          <w:rFonts w:ascii="Times New Roman" w:hAnsi="Times New Roman"/>
          <w:sz w:val="24"/>
          <w:szCs w:val="24"/>
        </w:rPr>
        <w:t>ai,</w:t>
      </w:r>
      <w:r w:rsidR="00320602">
        <w:rPr>
          <w:rFonts w:ascii="Times New Roman" w:hAnsi="Times New Roman"/>
          <w:sz w:val="24"/>
          <w:szCs w:val="24"/>
        </w:rPr>
        <w:t xml:space="preserve"> </w:t>
      </w:r>
      <w:r w:rsidR="00725847">
        <w:rPr>
          <w:rFonts w:ascii="Times New Roman" w:hAnsi="Times New Roman"/>
          <w:sz w:val="24"/>
          <w:szCs w:val="24"/>
        </w:rPr>
        <w:t xml:space="preserve">tačiau neviršijant G stulpelyje nurodytos sumos ir neviršijant </w:t>
      </w:r>
      <w:r w:rsidR="00CE5057">
        <w:rPr>
          <w:rFonts w:ascii="Times New Roman" w:hAnsi="Times New Roman"/>
          <w:sz w:val="24"/>
          <w:szCs w:val="24"/>
        </w:rPr>
        <w:t>C stulpelyje nurodyt</w:t>
      </w:r>
      <w:r w:rsidR="00725847">
        <w:rPr>
          <w:rFonts w:ascii="Times New Roman" w:hAnsi="Times New Roman"/>
          <w:sz w:val="24"/>
          <w:szCs w:val="24"/>
        </w:rPr>
        <w:t>os sumos;</w:t>
      </w:r>
      <w:r w:rsidR="00CE5057">
        <w:rPr>
          <w:rFonts w:ascii="Times New Roman" w:hAnsi="Times New Roman"/>
          <w:sz w:val="24"/>
          <w:szCs w:val="24"/>
        </w:rPr>
        <w:t xml:space="preserve"> </w:t>
      </w:r>
      <w:r w:rsidR="006C7DD2">
        <w:rPr>
          <w:rFonts w:ascii="Times New Roman" w:hAnsi="Times New Roman"/>
          <w:sz w:val="24"/>
          <w:szCs w:val="24"/>
        </w:rPr>
        <w:t xml:space="preserve"> </w:t>
      </w:r>
      <w:r w:rsidR="0006617E">
        <w:rPr>
          <w:rFonts w:ascii="Times New Roman" w:hAnsi="Times New Roman"/>
          <w:sz w:val="24"/>
          <w:szCs w:val="24"/>
        </w:rPr>
        <w:t xml:space="preserve">Kiekvienam finansų tarpininkui gauta suma įrašoma į </w:t>
      </w:r>
      <w:r w:rsidR="00675992">
        <w:rPr>
          <w:rFonts w:ascii="Times New Roman" w:hAnsi="Times New Roman"/>
          <w:sz w:val="24"/>
          <w:szCs w:val="24"/>
        </w:rPr>
        <w:t>I</w:t>
      </w:r>
      <w:r w:rsidR="0006617E">
        <w:rPr>
          <w:rFonts w:ascii="Times New Roman" w:hAnsi="Times New Roman"/>
          <w:sz w:val="24"/>
          <w:szCs w:val="24"/>
        </w:rPr>
        <w:t xml:space="preserve"> stulpelį</w:t>
      </w:r>
      <w:r w:rsidR="006C7DD2">
        <w:rPr>
          <w:rFonts w:ascii="Times New Roman" w:hAnsi="Times New Roman"/>
          <w:sz w:val="24"/>
          <w:szCs w:val="24"/>
        </w:rPr>
        <w:t xml:space="preserve"> (suapvalinant iki sveiko skaičiaus)</w:t>
      </w:r>
      <w:r w:rsidR="0006617E">
        <w:rPr>
          <w:rFonts w:ascii="Times New Roman" w:hAnsi="Times New Roman"/>
          <w:sz w:val="24"/>
          <w:szCs w:val="24"/>
        </w:rPr>
        <w:t>;</w:t>
      </w:r>
    </w:p>
    <w:p w14:paraId="13896691" w14:textId="77777777" w:rsidR="0006617E" w:rsidRPr="00F036DE" w:rsidRDefault="00675992" w:rsidP="00035106">
      <w:pPr>
        <w:pStyle w:val="ListParagraph"/>
        <w:numPr>
          <w:ilvl w:val="0"/>
          <w:numId w:val="14"/>
        </w:numPr>
        <w:jc w:val="both"/>
        <w:rPr>
          <w:rFonts w:ascii="Times New Roman" w:hAnsi="Times New Roman"/>
          <w:sz w:val="24"/>
          <w:szCs w:val="24"/>
        </w:rPr>
      </w:pPr>
      <w:r>
        <w:rPr>
          <w:rFonts w:ascii="Times New Roman" w:hAnsi="Times New Roman"/>
          <w:sz w:val="24"/>
          <w:szCs w:val="24"/>
        </w:rPr>
        <w:t>J</w:t>
      </w:r>
      <w:r w:rsidR="0006617E">
        <w:rPr>
          <w:rFonts w:ascii="Times New Roman" w:hAnsi="Times New Roman"/>
          <w:sz w:val="24"/>
          <w:szCs w:val="24"/>
        </w:rPr>
        <w:t xml:space="preserve"> stulpelyje įrašoma finansų tarpininkui skiriama </w:t>
      </w:r>
      <w:r w:rsidR="0006617E" w:rsidRPr="00524B71">
        <w:rPr>
          <w:rFonts w:ascii="Times New Roman" w:hAnsi="Times New Roman"/>
          <w:sz w:val="24"/>
          <w:szCs w:val="24"/>
        </w:rPr>
        <w:t>P</w:t>
      </w:r>
      <w:r w:rsidR="0006617E">
        <w:rPr>
          <w:rFonts w:ascii="Times New Roman" w:hAnsi="Times New Roman"/>
          <w:sz w:val="24"/>
          <w:szCs w:val="24"/>
        </w:rPr>
        <w:t>GF2 priemonės lėšų suma, kuri apskaičiuojama taip:</w:t>
      </w:r>
      <w:r w:rsidR="0006617E" w:rsidRPr="0006617E">
        <w:rPr>
          <w:rFonts w:ascii="Times New Roman" w:hAnsi="Times New Roman"/>
          <w:bCs/>
        </w:rPr>
        <w:t xml:space="preserve"> </w:t>
      </w:r>
      <w:r>
        <w:rPr>
          <w:rFonts w:ascii="Times New Roman" w:hAnsi="Times New Roman"/>
          <w:bCs/>
          <w:sz w:val="24"/>
          <w:szCs w:val="24"/>
        </w:rPr>
        <w:t>I</w:t>
      </w:r>
      <w:r w:rsidR="0006617E" w:rsidRPr="00192532">
        <w:rPr>
          <w:rFonts w:ascii="Times New Roman" w:hAnsi="Times New Roman"/>
          <w:bCs/>
          <w:sz w:val="24"/>
          <w:szCs w:val="24"/>
        </w:rPr>
        <w:t xml:space="preserve"> stulpelyje nurodyta suma * garantijos dydis (80 proc.) * viršutinės ribos normos dydis (20 proc.)</w:t>
      </w:r>
      <w:r w:rsidR="006C7DD2" w:rsidRPr="00192532">
        <w:rPr>
          <w:rFonts w:ascii="Times New Roman" w:hAnsi="Times New Roman"/>
          <w:sz w:val="24"/>
          <w:szCs w:val="24"/>
        </w:rPr>
        <w:t xml:space="preserve"> (suapvalinant iki sveiko skaičiaus)</w:t>
      </w:r>
      <w:r w:rsidR="0006617E" w:rsidRPr="00192532">
        <w:rPr>
          <w:rFonts w:ascii="Times New Roman" w:hAnsi="Times New Roman"/>
          <w:bCs/>
          <w:sz w:val="24"/>
          <w:szCs w:val="24"/>
        </w:rPr>
        <w:t>.</w:t>
      </w:r>
    </w:p>
    <w:p w14:paraId="1930897E" w14:textId="77777777" w:rsidR="00082C2E" w:rsidRPr="00535561" w:rsidRDefault="00082C2E" w:rsidP="00916A96">
      <w:pPr>
        <w:jc w:val="both"/>
        <w:rPr>
          <w:rFonts w:ascii="Times New Roman" w:hAnsi="Times New Roman"/>
          <w:sz w:val="24"/>
          <w:szCs w:val="24"/>
        </w:rPr>
      </w:pPr>
    </w:p>
    <w:sectPr w:rsidR="00082C2E" w:rsidRPr="00535561" w:rsidSect="003355D4">
      <w:pgSz w:w="16838" w:h="11906" w:orient="landscape"/>
      <w:pgMar w:top="1701" w:right="993" w:bottom="709" w:left="851" w:header="45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5A495" w14:textId="77777777" w:rsidR="00355A35" w:rsidRDefault="00355A35" w:rsidP="004F3A32">
      <w:pPr>
        <w:spacing w:after="0" w:line="240" w:lineRule="auto"/>
      </w:pPr>
      <w:r>
        <w:separator/>
      </w:r>
    </w:p>
  </w:endnote>
  <w:endnote w:type="continuationSeparator" w:id="0">
    <w:p w14:paraId="6CEB92F6" w14:textId="77777777" w:rsidR="00355A35" w:rsidRDefault="00355A35" w:rsidP="004F3A32">
      <w:pPr>
        <w:spacing w:after="0" w:line="240" w:lineRule="auto"/>
      </w:pPr>
      <w:r>
        <w:continuationSeparator/>
      </w:r>
    </w:p>
  </w:endnote>
  <w:endnote w:type="continuationNotice" w:id="1">
    <w:p w14:paraId="3CF0CA46" w14:textId="77777777" w:rsidR="00355A35" w:rsidRDefault="00355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82FE" w14:textId="0CA94411" w:rsidR="00355A35" w:rsidRPr="008218C1" w:rsidRDefault="00355A35">
    <w:pPr>
      <w:pStyle w:val="Footer"/>
      <w:jc w:val="center"/>
      <w:rPr>
        <w:rFonts w:ascii="Times New Roman" w:hAnsi="Times New Roman"/>
        <w:sz w:val="24"/>
      </w:rPr>
    </w:pPr>
    <w:r w:rsidRPr="008218C1">
      <w:rPr>
        <w:rFonts w:ascii="Times New Roman" w:hAnsi="Times New Roman"/>
        <w:sz w:val="24"/>
      </w:rPr>
      <w:fldChar w:fldCharType="begin"/>
    </w:r>
    <w:r w:rsidRPr="008218C1">
      <w:rPr>
        <w:rFonts w:ascii="Times New Roman" w:hAnsi="Times New Roman"/>
        <w:sz w:val="24"/>
      </w:rPr>
      <w:instrText xml:space="preserve"> PAGE   \* MERGEFORMAT </w:instrText>
    </w:r>
    <w:r w:rsidRPr="008218C1">
      <w:rPr>
        <w:rFonts w:ascii="Times New Roman" w:hAnsi="Times New Roman"/>
        <w:sz w:val="24"/>
      </w:rPr>
      <w:fldChar w:fldCharType="separate"/>
    </w:r>
    <w:r>
      <w:rPr>
        <w:rFonts w:ascii="Times New Roman" w:hAnsi="Times New Roman"/>
        <w:noProof/>
        <w:sz w:val="24"/>
      </w:rPr>
      <w:t>19</w:t>
    </w:r>
    <w:r w:rsidRPr="008218C1">
      <w:rPr>
        <w:rFonts w:ascii="Times New Roman" w:hAnsi="Times New Roman"/>
        <w:noProof/>
        <w:sz w:val="24"/>
      </w:rPr>
      <w:fldChar w:fldCharType="end"/>
    </w:r>
  </w:p>
  <w:p w14:paraId="5D771C65" w14:textId="77777777" w:rsidR="00355A35" w:rsidRDefault="0035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52406" w14:textId="77777777" w:rsidR="00355A35" w:rsidRDefault="00355A35" w:rsidP="004F3A32">
      <w:pPr>
        <w:spacing w:after="0" w:line="240" w:lineRule="auto"/>
      </w:pPr>
      <w:r>
        <w:separator/>
      </w:r>
    </w:p>
  </w:footnote>
  <w:footnote w:type="continuationSeparator" w:id="0">
    <w:p w14:paraId="300DBABC" w14:textId="77777777" w:rsidR="00355A35" w:rsidRDefault="00355A35" w:rsidP="004F3A32">
      <w:pPr>
        <w:spacing w:after="0" w:line="240" w:lineRule="auto"/>
      </w:pPr>
      <w:r>
        <w:continuationSeparator/>
      </w:r>
    </w:p>
  </w:footnote>
  <w:footnote w:type="continuationNotice" w:id="1">
    <w:p w14:paraId="32890D4D" w14:textId="77777777" w:rsidR="00355A35" w:rsidRDefault="00355A35">
      <w:pPr>
        <w:spacing w:after="0" w:line="240" w:lineRule="auto"/>
      </w:pPr>
    </w:p>
  </w:footnote>
  <w:footnote w:id="2">
    <w:p w14:paraId="485B4FB7" w14:textId="7DC98803" w:rsidR="00355A35" w:rsidRPr="00074220" w:rsidRDefault="00355A35">
      <w:pPr>
        <w:pStyle w:val="FootnoteText"/>
        <w:rPr>
          <w:rFonts w:ascii="Times New Roman" w:hAnsi="Times New Roman"/>
        </w:rPr>
      </w:pPr>
      <w:r w:rsidRPr="00074220">
        <w:rPr>
          <w:rStyle w:val="FootnoteReference"/>
          <w:rFonts w:ascii="Times New Roman" w:hAnsi="Times New Roman"/>
        </w:rPr>
        <w:footnoteRef/>
      </w:r>
      <w:r w:rsidRPr="00074220">
        <w:rPr>
          <w:rFonts w:ascii="Times New Roman" w:hAnsi="Times New Roman"/>
        </w:rPr>
        <w:t xml:space="preserve"> Sąvokos </w:t>
      </w:r>
      <w:r>
        <w:rPr>
          <w:rFonts w:ascii="Times New Roman" w:hAnsi="Times New Roman"/>
        </w:rPr>
        <w:t>Apraše</w:t>
      </w:r>
      <w:r w:rsidRPr="00074220">
        <w:rPr>
          <w:rFonts w:ascii="Times New Roman" w:hAnsi="Times New Roman"/>
        </w:rPr>
        <w:t xml:space="preserve"> suprantamos taip, kaip nurodyta </w:t>
      </w:r>
      <w:r>
        <w:rPr>
          <w:rFonts w:ascii="Times New Roman" w:hAnsi="Times New Roman"/>
        </w:rPr>
        <w:t xml:space="preserve">Aprašo </w:t>
      </w:r>
      <w:r>
        <w:rPr>
          <w:rFonts w:ascii="Times New Roman" w:hAnsi="Times New Roman"/>
          <w:lang w:val="en-US"/>
        </w:rPr>
        <w:t>1</w:t>
      </w:r>
      <w:r>
        <w:rPr>
          <w:rFonts w:ascii="Times New Roman" w:hAnsi="Times New Roman"/>
        </w:rPr>
        <w:t xml:space="preserve"> Priede (Pagrindinės sąlygos).</w:t>
      </w:r>
    </w:p>
  </w:footnote>
  <w:footnote w:id="3">
    <w:p w14:paraId="172BDE44" w14:textId="77777777" w:rsidR="00355A35" w:rsidRPr="00074220" w:rsidRDefault="00355A35" w:rsidP="00035106">
      <w:pPr>
        <w:pStyle w:val="FootnoteText"/>
        <w:rPr>
          <w:rFonts w:ascii="Times New Roman" w:hAnsi="Times New Roman"/>
        </w:rPr>
      </w:pPr>
      <w:r w:rsidRPr="00074220">
        <w:rPr>
          <w:rStyle w:val="FootnoteReference"/>
          <w:rFonts w:ascii="Times New Roman" w:hAnsi="Times New Roman"/>
        </w:rPr>
        <w:footnoteRef/>
      </w:r>
      <w:r w:rsidRPr="00074220">
        <w:rPr>
          <w:rFonts w:ascii="Times New Roman" w:hAnsi="Times New Roman"/>
        </w:rPr>
        <w:t xml:space="preserve"> Sąvokos šiame skyriuje suprantamos taip, kaip nurodyta žemiau pagrindinių sąvokų ir sąlygų lentelėje</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927DA" w14:textId="77777777" w:rsidR="00355A35" w:rsidRPr="00C3281F" w:rsidRDefault="00355A35">
    <w:pPr>
      <w:pStyle w:val="Heade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0D91"/>
    <w:multiLevelType w:val="hybridMultilevel"/>
    <w:tmpl w:val="D092F1DE"/>
    <w:lvl w:ilvl="0" w:tplc="C034278E">
      <w:start w:val="1"/>
      <w:numFmt w:val="decimal"/>
      <w:lvlText w:val="%1."/>
      <w:lvlJc w:val="left"/>
      <w:pPr>
        <w:ind w:left="488" w:hanging="360"/>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 w15:restartNumberingAfterBreak="0">
    <w:nsid w:val="094C4A10"/>
    <w:multiLevelType w:val="multilevel"/>
    <w:tmpl w:val="0427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181B14"/>
    <w:multiLevelType w:val="hybridMultilevel"/>
    <w:tmpl w:val="E5A451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44345A0"/>
    <w:multiLevelType w:val="hybridMultilevel"/>
    <w:tmpl w:val="7BF621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5027F5D"/>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2A413B7E"/>
    <w:multiLevelType w:val="multilevel"/>
    <w:tmpl w:val="A4A61714"/>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E16374"/>
    <w:multiLevelType w:val="multilevel"/>
    <w:tmpl w:val="0427001F"/>
    <w:numStyleLink w:val="Style1"/>
  </w:abstractNum>
  <w:abstractNum w:abstractNumId="7" w15:restartNumberingAfterBreak="0">
    <w:nsid w:val="3A4C4108"/>
    <w:multiLevelType w:val="multilevel"/>
    <w:tmpl w:val="9EC214AC"/>
    <w:styleLink w:val="Style4"/>
    <w:lvl w:ilvl="0">
      <w:start w:val="6"/>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42D5394C"/>
    <w:multiLevelType w:val="multilevel"/>
    <w:tmpl w:val="0427001F"/>
    <w:numStyleLink w:val="Style6"/>
  </w:abstractNum>
  <w:abstractNum w:abstractNumId="9" w15:restartNumberingAfterBreak="0">
    <w:nsid w:val="44900548"/>
    <w:multiLevelType w:val="multilevel"/>
    <w:tmpl w:val="0427001F"/>
    <w:styleLink w:val="Style1"/>
    <w:lvl w:ilvl="0">
      <w:start w:val="4"/>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B23E2B"/>
    <w:multiLevelType w:val="multilevel"/>
    <w:tmpl w:val="A4A61714"/>
    <w:numStyleLink w:val="Style3"/>
  </w:abstractNum>
  <w:abstractNum w:abstractNumId="11" w15:restartNumberingAfterBreak="0">
    <w:nsid w:val="587B3CF0"/>
    <w:multiLevelType w:val="hybridMultilevel"/>
    <w:tmpl w:val="E3389C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CC81F03"/>
    <w:multiLevelType w:val="multilevel"/>
    <w:tmpl w:val="0427001F"/>
    <w:styleLink w:val="Style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CE553E"/>
    <w:multiLevelType w:val="multilevel"/>
    <w:tmpl w:val="0427001F"/>
    <w:numStyleLink w:val="Style5"/>
  </w:abstractNum>
  <w:abstractNum w:abstractNumId="14" w15:restartNumberingAfterBreak="0">
    <w:nsid w:val="6D510693"/>
    <w:multiLevelType w:val="hybridMultilevel"/>
    <w:tmpl w:val="A5F05206"/>
    <w:lvl w:ilvl="0" w:tplc="29B679BE">
      <w:start w:val="2"/>
      <w:numFmt w:val="bullet"/>
      <w:lvlText w:val="-"/>
      <w:lvlJc w:val="left"/>
      <w:pPr>
        <w:ind w:left="1571" w:hanging="360"/>
      </w:pPr>
      <w:rPr>
        <w:rFonts w:ascii="Arial" w:eastAsia="Calibri"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6FA448F6"/>
    <w:multiLevelType w:val="hybridMultilevel"/>
    <w:tmpl w:val="4D8A3022"/>
    <w:lvl w:ilvl="0" w:tplc="456EDE5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69D435F"/>
    <w:multiLevelType w:val="multilevel"/>
    <w:tmpl w:val="16066BE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7E4C70D3"/>
    <w:multiLevelType w:val="multilevel"/>
    <w:tmpl w:val="0427001F"/>
    <w:numStyleLink w:val="Style2"/>
  </w:abstractNum>
  <w:abstractNum w:abstractNumId="18" w15:restartNumberingAfterBreak="0">
    <w:nsid w:val="7F941427"/>
    <w:multiLevelType w:val="multilevel"/>
    <w:tmpl w:val="0427001F"/>
    <w:styleLink w:val="Style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B175B3"/>
    <w:multiLevelType w:val="hybridMultilevel"/>
    <w:tmpl w:val="D514DF68"/>
    <w:lvl w:ilvl="0" w:tplc="29B679BE">
      <w:start w:val="2"/>
      <w:numFmt w:val="bullet"/>
      <w:lvlText w:val="-"/>
      <w:lvlJc w:val="left"/>
      <w:pPr>
        <w:ind w:left="1070" w:hanging="360"/>
      </w:pPr>
      <w:rPr>
        <w:rFonts w:ascii="Arial" w:eastAsia="Calibri" w:hAnsi="Arial" w:cs="Arial"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4"/>
  </w:num>
  <w:num w:numId="2">
    <w:abstractNumId w:val="16"/>
  </w:num>
  <w:num w:numId="3">
    <w:abstractNumId w:val="10"/>
    <w:lvlOverride w:ilvl="1">
      <w:lvl w:ilvl="1">
        <w:start w:val="1"/>
        <w:numFmt w:val="decimal"/>
        <w:lvlText w:val="%1.%2."/>
        <w:lvlJc w:val="left"/>
        <w:pPr>
          <w:ind w:left="792" w:hanging="432"/>
        </w:pPr>
        <w:rPr>
          <w:rFonts w:hint="default"/>
          <w:i w:val="0"/>
        </w:rPr>
      </w:lvl>
    </w:lvlOverride>
    <w:lvlOverride w:ilvl="2">
      <w:lvl w:ilvl="2">
        <w:start w:val="1"/>
        <w:numFmt w:val="decimal"/>
        <w:lvlText w:val="%1.%2.%3."/>
        <w:lvlJc w:val="left"/>
        <w:pPr>
          <w:ind w:left="788" w:hanging="504"/>
        </w:pPr>
        <w:rPr>
          <w:rFonts w:hint="default"/>
        </w:rPr>
      </w:lvl>
    </w:lvlOverride>
  </w:num>
  <w:num w:numId="4">
    <w:abstractNumId w:val="6"/>
    <w:lvlOverride w:ilvl="2">
      <w:lvl w:ilvl="2">
        <w:start w:val="1"/>
        <w:numFmt w:val="decimal"/>
        <w:lvlText w:val="%1.%2.%3."/>
        <w:lvlJc w:val="left"/>
        <w:pPr>
          <w:ind w:left="1224" w:hanging="504"/>
        </w:pPr>
      </w:lvl>
    </w:lvlOverride>
  </w:num>
  <w:num w:numId="5">
    <w:abstractNumId w:val="8"/>
  </w:num>
  <w:num w:numId="6">
    <w:abstractNumId w:val="9"/>
  </w:num>
  <w:num w:numId="7">
    <w:abstractNumId w:val="1"/>
  </w:num>
  <w:num w:numId="8">
    <w:abstractNumId w:val="17"/>
    <w:lvlOverride w:ilvl="2">
      <w:lvl w:ilvl="2">
        <w:start w:val="1"/>
        <w:numFmt w:val="decimal"/>
        <w:lvlText w:val="%1.%2.%3."/>
        <w:lvlJc w:val="left"/>
        <w:pPr>
          <w:ind w:left="1224" w:hanging="504"/>
        </w:pPr>
      </w:lvl>
    </w:lvlOverride>
  </w:num>
  <w:num w:numId="9">
    <w:abstractNumId w:val="5"/>
  </w:num>
  <w:num w:numId="10">
    <w:abstractNumId w:val="7"/>
  </w:num>
  <w:num w:numId="11">
    <w:abstractNumId w:val="13"/>
  </w:num>
  <w:num w:numId="12">
    <w:abstractNumId w:val="12"/>
  </w:num>
  <w:num w:numId="13">
    <w:abstractNumId w:val="18"/>
  </w:num>
  <w:num w:numId="14">
    <w:abstractNumId w:val="11"/>
  </w:num>
  <w:num w:numId="15">
    <w:abstractNumId w:val="19"/>
  </w:num>
  <w:num w:numId="16">
    <w:abstractNumId w:val="14"/>
  </w:num>
  <w:num w:numId="17">
    <w:abstractNumId w:val="2"/>
  </w:num>
  <w:num w:numId="18">
    <w:abstractNumId w:val="3"/>
  </w:num>
  <w:num w:numId="19">
    <w:abstractNumId w:val="0"/>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1296"/>
  <w:hyphenationZone w:val="396"/>
  <w:characterSpacingControl w:val="doNotCompress"/>
  <w:hdrShapeDefaults>
    <o:shapedefaults v:ext="edit" spidmax="12289">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9C"/>
    <w:rsid w:val="000001E1"/>
    <w:rsid w:val="00000650"/>
    <w:rsid w:val="0000072D"/>
    <w:rsid w:val="000007F2"/>
    <w:rsid w:val="00000B07"/>
    <w:rsid w:val="00001622"/>
    <w:rsid w:val="0000327E"/>
    <w:rsid w:val="0000427F"/>
    <w:rsid w:val="00004474"/>
    <w:rsid w:val="00004B2A"/>
    <w:rsid w:val="000053BE"/>
    <w:rsid w:val="000064FD"/>
    <w:rsid w:val="000114A3"/>
    <w:rsid w:val="000128EE"/>
    <w:rsid w:val="00012D30"/>
    <w:rsid w:val="00014361"/>
    <w:rsid w:val="000148FF"/>
    <w:rsid w:val="00015848"/>
    <w:rsid w:val="00015A50"/>
    <w:rsid w:val="00016EC2"/>
    <w:rsid w:val="000200A3"/>
    <w:rsid w:val="00020919"/>
    <w:rsid w:val="00020C3C"/>
    <w:rsid w:val="00020FEC"/>
    <w:rsid w:val="0002117A"/>
    <w:rsid w:val="0002187D"/>
    <w:rsid w:val="00021C93"/>
    <w:rsid w:val="00021FA8"/>
    <w:rsid w:val="0002257C"/>
    <w:rsid w:val="0002271D"/>
    <w:rsid w:val="000229F9"/>
    <w:rsid w:val="00022B3B"/>
    <w:rsid w:val="0002422D"/>
    <w:rsid w:val="0002460A"/>
    <w:rsid w:val="0002704A"/>
    <w:rsid w:val="000273BD"/>
    <w:rsid w:val="000274AD"/>
    <w:rsid w:val="00027F86"/>
    <w:rsid w:val="000310AB"/>
    <w:rsid w:val="0003250F"/>
    <w:rsid w:val="00032818"/>
    <w:rsid w:val="00032B5E"/>
    <w:rsid w:val="00034CC1"/>
    <w:rsid w:val="00035106"/>
    <w:rsid w:val="000359DA"/>
    <w:rsid w:val="00035B2A"/>
    <w:rsid w:val="00036A7A"/>
    <w:rsid w:val="0003776B"/>
    <w:rsid w:val="00037F62"/>
    <w:rsid w:val="00040A9A"/>
    <w:rsid w:val="00041F85"/>
    <w:rsid w:val="00042205"/>
    <w:rsid w:val="0004231A"/>
    <w:rsid w:val="0004262B"/>
    <w:rsid w:val="00042CE8"/>
    <w:rsid w:val="000433CD"/>
    <w:rsid w:val="00043485"/>
    <w:rsid w:val="00043FBF"/>
    <w:rsid w:val="00044073"/>
    <w:rsid w:val="0004467D"/>
    <w:rsid w:val="000447DA"/>
    <w:rsid w:val="000447FD"/>
    <w:rsid w:val="00044A1A"/>
    <w:rsid w:val="00044F3D"/>
    <w:rsid w:val="0004511D"/>
    <w:rsid w:val="0004533D"/>
    <w:rsid w:val="000457A3"/>
    <w:rsid w:val="000460BF"/>
    <w:rsid w:val="00046131"/>
    <w:rsid w:val="00046237"/>
    <w:rsid w:val="000471CE"/>
    <w:rsid w:val="000471E2"/>
    <w:rsid w:val="000478CB"/>
    <w:rsid w:val="00047D37"/>
    <w:rsid w:val="00050030"/>
    <w:rsid w:val="00050B2A"/>
    <w:rsid w:val="00050C3B"/>
    <w:rsid w:val="00050D3F"/>
    <w:rsid w:val="00050D9C"/>
    <w:rsid w:val="00050EE2"/>
    <w:rsid w:val="000512DC"/>
    <w:rsid w:val="0005222D"/>
    <w:rsid w:val="00052824"/>
    <w:rsid w:val="00053F2D"/>
    <w:rsid w:val="00054E86"/>
    <w:rsid w:val="00056651"/>
    <w:rsid w:val="00056F0A"/>
    <w:rsid w:val="000578D7"/>
    <w:rsid w:val="00057A99"/>
    <w:rsid w:val="000606F7"/>
    <w:rsid w:val="0006097C"/>
    <w:rsid w:val="00061105"/>
    <w:rsid w:val="00061658"/>
    <w:rsid w:val="00062650"/>
    <w:rsid w:val="00063843"/>
    <w:rsid w:val="00063E59"/>
    <w:rsid w:val="000651EC"/>
    <w:rsid w:val="0006554F"/>
    <w:rsid w:val="00065D65"/>
    <w:rsid w:val="0006617E"/>
    <w:rsid w:val="00066B19"/>
    <w:rsid w:val="00066EC2"/>
    <w:rsid w:val="0006717D"/>
    <w:rsid w:val="00067663"/>
    <w:rsid w:val="00067696"/>
    <w:rsid w:val="0007035D"/>
    <w:rsid w:val="00070380"/>
    <w:rsid w:val="0007071F"/>
    <w:rsid w:val="0007088C"/>
    <w:rsid w:val="00070EFC"/>
    <w:rsid w:val="0007116E"/>
    <w:rsid w:val="0007172E"/>
    <w:rsid w:val="000718FD"/>
    <w:rsid w:val="00071C31"/>
    <w:rsid w:val="00072033"/>
    <w:rsid w:val="000721CB"/>
    <w:rsid w:val="000722F5"/>
    <w:rsid w:val="00072D00"/>
    <w:rsid w:val="000733E3"/>
    <w:rsid w:val="000737A4"/>
    <w:rsid w:val="00074220"/>
    <w:rsid w:val="0007444E"/>
    <w:rsid w:val="00074DF7"/>
    <w:rsid w:val="0007566D"/>
    <w:rsid w:val="0007635A"/>
    <w:rsid w:val="0007662D"/>
    <w:rsid w:val="00076FD9"/>
    <w:rsid w:val="000771E1"/>
    <w:rsid w:val="00080232"/>
    <w:rsid w:val="000803C9"/>
    <w:rsid w:val="00080A4D"/>
    <w:rsid w:val="000815F0"/>
    <w:rsid w:val="0008179A"/>
    <w:rsid w:val="00081ECC"/>
    <w:rsid w:val="000821AD"/>
    <w:rsid w:val="0008270F"/>
    <w:rsid w:val="00082C2E"/>
    <w:rsid w:val="00083FEF"/>
    <w:rsid w:val="00084A36"/>
    <w:rsid w:val="00084EBF"/>
    <w:rsid w:val="000856A8"/>
    <w:rsid w:val="00087D95"/>
    <w:rsid w:val="000907D6"/>
    <w:rsid w:val="0009082B"/>
    <w:rsid w:val="000922BA"/>
    <w:rsid w:val="00092B0D"/>
    <w:rsid w:val="00092C3F"/>
    <w:rsid w:val="00092DD4"/>
    <w:rsid w:val="00092F27"/>
    <w:rsid w:val="00093497"/>
    <w:rsid w:val="0009403D"/>
    <w:rsid w:val="00094741"/>
    <w:rsid w:val="0009478C"/>
    <w:rsid w:val="00094AC1"/>
    <w:rsid w:val="00094C0A"/>
    <w:rsid w:val="00095893"/>
    <w:rsid w:val="000959CA"/>
    <w:rsid w:val="00097502"/>
    <w:rsid w:val="00097A3F"/>
    <w:rsid w:val="00097D5C"/>
    <w:rsid w:val="00097FB9"/>
    <w:rsid w:val="000A05F8"/>
    <w:rsid w:val="000A0C3B"/>
    <w:rsid w:val="000A1974"/>
    <w:rsid w:val="000A2997"/>
    <w:rsid w:val="000A2F8A"/>
    <w:rsid w:val="000A3123"/>
    <w:rsid w:val="000A3208"/>
    <w:rsid w:val="000A3BBE"/>
    <w:rsid w:val="000A42BC"/>
    <w:rsid w:val="000A635C"/>
    <w:rsid w:val="000A7F8E"/>
    <w:rsid w:val="000B03AE"/>
    <w:rsid w:val="000B1047"/>
    <w:rsid w:val="000B1224"/>
    <w:rsid w:val="000B1DC8"/>
    <w:rsid w:val="000B268D"/>
    <w:rsid w:val="000B2ACC"/>
    <w:rsid w:val="000B2F25"/>
    <w:rsid w:val="000B3BB3"/>
    <w:rsid w:val="000B3CED"/>
    <w:rsid w:val="000B4584"/>
    <w:rsid w:val="000B57DB"/>
    <w:rsid w:val="000B5863"/>
    <w:rsid w:val="000B5C4C"/>
    <w:rsid w:val="000C0F46"/>
    <w:rsid w:val="000C10BC"/>
    <w:rsid w:val="000C16AD"/>
    <w:rsid w:val="000C1EFD"/>
    <w:rsid w:val="000C2C1E"/>
    <w:rsid w:val="000C2D7E"/>
    <w:rsid w:val="000C3F5E"/>
    <w:rsid w:val="000C4A10"/>
    <w:rsid w:val="000C4A88"/>
    <w:rsid w:val="000C5133"/>
    <w:rsid w:val="000C5213"/>
    <w:rsid w:val="000C57C0"/>
    <w:rsid w:val="000C5A79"/>
    <w:rsid w:val="000C5FFF"/>
    <w:rsid w:val="000C68F7"/>
    <w:rsid w:val="000C696D"/>
    <w:rsid w:val="000C73B3"/>
    <w:rsid w:val="000C7B36"/>
    <w:rsid w:val="000C7D9B"/>
    <w:rsid w:val="000D0F43"/>
    <w:rsid w:val="000D16D4"/>
    <w:rsid w:val="000D1754"/>
    <w:rsid w:val="000D1AB8"/>
    <w:rsid w:val="000D24A8"/>
    <w:rsid w:val="000D2819"/>
    <w:rsid w:val="000D2A27"/>
    <w:rsid w:val="000D47C4"/>
    <w:rsid w:val="000D4987"/>
    <w:rsid w:val="000D53DD"/>
    <w:rsid w:val="000D5481"/>
    <w:rsid w:val="000D5887"/>
    <w:rsid w:val="000D5B5B"/>
    <w:rsid w:val="000D5E65"/>
    <w:rsid w:val="000D601C"/>
    <w:rsid w:val="000D65CF"/>
    <w:rsid w:val="000D7462"/>
    <w:rsid w:val="000D79A6"/>
    <w:rsid w:val="000E0922"/>
    <w:rsid w:val="000E12D8"/>
    <w:rsid w:val="000E1534"/>
    <w:rsid w:val="000E26FF"/>
    <w:rsid w:val="000E2946"/>
    <w:rsid w:val="000E2995"/>
    <w:rsid w:val="000E3108"/>
    <w:rsid w:val="000E37A9"/>
    <w:rsid w:val="000E3D1B"/>
    <w:rsid w:val="000E55AA"/>
    <w:rsid w:val="000E56E8"/>
    <w:rsid w:val="000E5CF2"/>
    <w:rsid w:val="000E602B"/>
    <w:rsid w:val="000E720A"/>
    <w:rsid w:val="000F0046"/>
    <w:rsid w:val="000F0EFE"/>
    <w:rsid w:val="000F14F0"/>
    <w:rsid w:val="000F196A"/>
    <w:rsid w:val="000F1AFA"/>
    <w:rsid w:val="000F2B57"/>
    <w:rsid w:val="000F2F49"/>
    <w:rsid w:val="000F33E4"/>
    <w:rsid w:val="000F481B"/>
    <w:rsid w:val="000F4BA5"/>
    <w:rsid w:val="000F6817"/>
    <w:rsid w:val="000F6FA2"/>
    <w:rsid w:val="00100455"/>
    <w:rsid w:val="00101191"/>
    <w:rsid w:val="001019E0"/>
    <w:rsid w:val="00102196"/>
    <w:rsid w:val="0010277C"/>
    <w:rsid w:val="001029FA"/>
    <w:rsid w:val="0010345E"/>
    <w:rsid w:val="001039E8"/>
    <w:rsid w:val="0010484F"/>
    <w:rsid w:val="00104B72"/>
    <w:rsid w:val="00105055"/>
    <w:rsid w:val="00105514"/>
    <w:rsid w:val="001055D1"/>
    <w:rsid w:val="00105C5B"/>
    <w:rsid w:val="00105EAB"/>
    <w:rsid w:val="00106D81"/>
    <w:rsid w:val="00106E38"/>
    <w:rsid w:val="0011006A"/>
    <w:rsid w:val="00110559"/>
    <w:rsid w:val="00110A90"/>
    <w:rsid w:val="00112220"/>
    <w:rsid w:val="00112895"/>
    <w:rsid w:val="00112997"/>
    <w:rsid w:val="0011392B"/>
    <w:rsid w:val="00113AAD"/>
    <w:rsid w:val="00114434"/>
    <w:rsid w:val="001152BF"/>
    <w:rsid w:val="001169E1"/>
    <w:rsid w:val="00117598"/>
    <w:rsid w:val="00117846"/>
    <w:rsid w:val="001178A7"/>
    <w:rsid w:val="0012161A"/>
    <w:rsid w:val="00122DD0"/>
    <w:rsid w:val="00123952"/>
    <w:rsid w:val="00123FE7"/>
    <w:rsid w:val="0012498F"/>
    <w:rsid w:val="00124FA2"/>
    <w:rsid w:val="00125A81"/>
    <w:rsid w:val="00125C97"/>
    <w:rsid w:val="00125DFD"/>
    <w:rsid w:val="00125E78"/>
    <w:rsid w:val="00125E97"/>
    <w:rsid w:val="001276AF"/>
    <w:rsid w:val="00131245"/>
    <w:rsid w:val="00131429"/>
    <w:rsid w:val="001315B4"/>
    <w:rsid w:val="00131E0B"/>
    <w:rsid w:val="00133792"/>
    <w:rsid w:val="0013426E"/>
    <w:rsid w:val="00134FC1"/>
    <w:rsid w:val="00134FDD"/>
    <w:rsid w:val="001355DE"/>
    <w:rsid w:val="001361C1"/>
    <w:rsid w:val="001361CF"/>
    <w:rsid w:val="00136F53"/>
    <w:rsid w:val="00137BCE"/>
    <w:rsid w:val="00140536"/>
    <w:rsid w:val="0014063E"/>
    <w:rsid w:val="0014116F"/>
    <w:rsid w:val="00141962"/>
    <w:rsid w:val="001429C4"/>
    <w:rsid w:val="00144BCC"/>
    <w:rsid w:val="00145126"/>
    <w:rsid w:val="001451E3"/>
    <w:rsid w:val="00145DBB"/>
    <w:rsid w:val="00146C7B"/>
    <w:rsid w:val="00146C7D"/>
    <w:rsid w:val="0014718A"/>
    <w:rsid w:val="001474B5"/>
    <w:rsid w:val="001475CE"/>
    <w:rsid w:val="00147B87"/>
    <w:rsid w:val="00150206"/>
    <w:rsid w:val="00150428"/>
    <w:rsid w:val="00150C58"/>
    <w:rsid w:val="00150CC2"/>
    <w:rsid w:val="001510C4"/>
    <w:rsid w:val="00151307"/>
    <w:rsid w:val="00151744"/>
    <w:rsid w:val="00152333"/>
    <w:rsid w:val="00152AC5"/>
    <w:rsid w:val="001530F3"/>
    <w:rsid w:val="00153AFE"/>
    <w:rsid w:val="001540FA"/>
    <w:rsid w:val="0015483C"/>
    <w:rsid w:val="001551D0"/>
    <w:rsid w:val="00155ED8"/>
    <w:rsid w:val="001568CD"/>
    <w:rsid w:val="00157BC3"/>
    <w:rsid w:val="00160CA8"/>
    <w:rsid w:val="001616AB"/>
    <w:rsid w:val="001621E0"/>
    <w:rsid w:val="001624D4"/>
    <w:rsid w:val="00162B14"/>
    <w:rsid w:val="00162CE5"/>
    <w:rsid w:val="001636CF"/>
    <w:rsid w:val="00163BE9"/>
    <w:rsid w:val="00163E64"/>
    <w:rsid w:val="00164A28"/>
    <w:rsid w:val="00165109"/>
    <w:rsid w:val="00165F27"/>
    <w:rsid w:val="001665C3"/>
    <w:rsid w:val="00166753"/>
    <w:rsid w:val="00167599"/>
    <w:rsid w:val="00167833"/>
    <w:rsid w:val="00170019"/>
    <w:rsid w:val="00170D6D"/>
    <w:rsid w:val="00170D8E"/>
    <w:rsid w:val="001718BE"/>
    <w:rsid w:val="0017191E"/>
    <w:rsid w:val="00171F6D"/>
    <w:rsid w:val="0017220E"/>
    <w:rsid w:val="0017273E"/>
    <w:rsid w:val="0017351D"/>
    <w:rsid w:val="00173901"/>
    <w:rsid w:val="0017416F"/>
    <w:rsid w:val="00174BD2"/>
    <w:rsid w:val="001752A4"/>
    <w:rsid w:val="00175A4F"/>
    <w:rsid w:val="0017642B"/>
    <w:rsid w:val="00176D69"/>
    <w:rsid w:val="00176D6C"/>
    <w:rsid w:val="00177104"/>
    <w:rsid w:val="00177139"/>
    <w:rsid w:val="00180137"/>
    <w:rsid w:val="00180766"/>
    <w:rsid w:val="001809F2"/>
    <w:rsid w:val="00180CB7"/>
    <w:rsid w:val="00180CEE"/>
    <w:rsid w:val="001820FD"/>
    <w:rsid w:val="0018361F"/>
    <w:rsid w:val="00183CBC"/>
    <w:rsid w:val="00184CBF"/>
    <w:rsid w:val="0018655D"/>
    <w:rsid w:val="00187223"/>
    <w:rsid w:val="00187A76"/>
    <w:rsid w:val="0019061E"/>
    <w:rsid w:val="00191C44"/>
    <w:rsid w:val="00191F30"/>
    <w:rsid w:val="0019235F"/>
    <w:rsid w:val="00192532"/>
    <w:rsid w:val="00192563"/>
    <w:rsid w:val="00192C8E"/>
    <w:rsid w:val="00194B3A"/>
    <w:rsid w:val="00194E8F"/>
    <w:rsid w:val="001951A1"/>
    <w:rsid w:val="00195225"/>
    <w:rsid w:val="00197D04"/>
    <w:rsid w:val="001A0099"/>
    <w:rsid w:val="001A0376"/>
    <w:rsid w:val="001A121D"/>
    <w:rsid w:val="001A15B3"/>
    <w:rsid w:val="001A1836"/>
    <w:rsid w:val="001A1CC5"/>
    <w:rsid w:val="001A1DEE"/>
    <w:rsid w:val="001A21AA"/>
    <w:rsid w:val="001A286C"/>
    <w:rsid w:val="001A4B1A"/>
    <w:rsid w:val="001A5092"/>
    <w:rsid w:val="001A5202"/>
    <w:rsid w:val="001A59A5"/>
    <w:rsid w:val="001A61D8"/>
    <w:rsid w:val="001A6C2B"/>
    <w:rsid w:val="001A6EDE"/>
    <w:rsid w:val="001A78C3"/>
    <w:rsid w:val="001B03A7"/>
    <w:rsid w:val="001B04AB"/>
    <w:rsid w:val="001B1CCF"/>
    <w:rsid w:val="001B1E60"/>
    <w:rsid w:val="001B2683"/>
    <w:rsid w:val="001B29AF"/>
    <w:rsid w:val="001B2D89"/>
    <w:rsid w:val="001B308F"/>
    <w:rsid w:val="001B34D0"/>
    <w:rsid w:val="001B4238"/>
    <w:rsid w:val="001B4881"/>
    <w:rsid w:val="001B4AE7"/>
    <w:rsid w:val="001B50FA"/>
    <w:rsid w:val="001B5366"/>
    <w:rsid w:val="001B7D40"/>
    <w:rsid w:val="001C0652"/>
    <w:rsid w:val="001C0A34"/>
    <w:rsid w:val="001C1291"/>
    <w:rsid w:val="001C1296"/>
    <w:rsid w:val="001C2A37"/>
    <w:rsid w:val="001C3C39"/>
    <w:rsid w:val="001C6716"/>
    <w:rsid w:val="001D0D6B"/>
    <w:rsid w:val="001D0E25"/>
    <w:rsid w:val="001D0F6A"/>
    <w:rsid w:val="001D12DE"/>
    <w:rsid w:val="001D294F"/>
    <w:rsid w:val="001D29FB"/>
    <w:rsid w:val="001D3387"/>
    <w:rsid w:val="001D35D3"/>
    <w:rsid w:val="001D3D69"/>
    <w:rsid w:val="001D44C6"/>
    <w:rsid w:val="001D4F06"/>
    <w:rsid w:val="001D4FB5"/>
    <w:rsid w:val="001D50F2"/>
    <w:rsid w:val="001D5415"/>
    <w:rsid w:val="001D594C"/>
    <w:rsid w:val="001D6572"/>
    <w:rsid w:val="001D6A23"/>
    <w:rsid w:val="001D6C7B"/>
    <w:rsid w:val="001D6F62"/>
    <w:rsid w:val="001D70BA"/>
    <w:rsid w:val="001E194E"/>
    <w:rsid w:val="001E1DEC"/>
    <w:rsid w:val="001E1EE2"/>
    <w:rsid w:val="001E1F87"/>
    <w:rsid w:val="001E2D60"/>
    <w:rsid w:val="001E2FEC"/>
    <w:rsid w:val="001E3056"/>
    <w:rsid w:val="001E35B1"/>
    <w:rsid w:val="001E3930"/>
    <w:rsid w:val="001E3988"/>
    <w:rsid w:val="001E547D"/>
    <w:rsid w:val="001E602F"/>
    <w:rsid w:val="001E6266"/>
    <w:rsid w:val="001E6C67"/>
    <w:rsid w:val="001E73A9"/>
    <w:rsid w:val="001E7CC0"/>
    <w:rsid w:val="001F1281"/>
    <w:rsid w:val="001F152D"/>
    <w:rsid w:val="001F21EF"/>
    <w:rsid w:val="001F2412"/>
    <w:rsid w:val="001F272D"/>
    <w:rsid w:val="001F296E"/>
    <w:rsid w:val="001F3ACF"/>
    <w:rsid w:val="001F4EC5"/>
    <w:rsid w:val="001F4F2D"/>
    <w:rsid w:val="001F668B"/>
    <w:rsid w:val="001F7373"/>
    <w:rsid w:val="001F7410"/>
    <w:rsid w:val="001F7534"/>
    <w:rsid w:val="001F7940"/>
    <w:rsid w:val="001F7E66"/>
    <w:rsid w:val="001F7F35"/>
    <w:rsid w:val="0020029F"/>
    <w:rsid w:val="00202444"/>
    <w:rsid w:val="00203445"/>
    <w:rsid w:val="002034DA"/>
    <w:rsid w:val="00203635"/>
    <w:rsid w:val="00203CB4"/>
    <w:rsid w:val="00204052"/>
    <w:rsid w:val="0020472C"/>
    <w:rsid w:val="002047F8"/>
    <w:rsid w:val="00206039"/>
    <w:rsid w:val="0020605F"/>
    <w:rsid w:val="00206589"/>
    <w:rsid w:val="002079C8"/>
    <w:rsid w:val="002101CC"/>
    <w:rsid w:val="002101FC"/>
    <w:rsid w:val="002103E9"/>
    <w:rsid w:val="00211518"/>
    <w:rsid w:val="00211ADB"/>
    <w:rsid w:val="00211B77"/>
    <w:rsid w:val="002124A7"/>
    <w:rsid w:val="002127E0"/>
    <w:rsid w:val="002129E6"/>
    <w:rsid w:val="00212B77"/>
    <w:rsid w:val="00212F84"/>
    <w:rsid w:val="00213055"/>
    <w:rsid w:val="00213916"/>
    <w:rsid w:val="00213C06"/>
    <w:rsid w:val="002146FE"/>
    <w:rsid w:val="002147E9"/>
    <w:rsid w:val="00214967"/>
    <w:rsid w:val="0021563B"/>
    <w:rsid w:val="00215CE1"/>
    <w:rsid w:val="00215E00"/>
    <w:rsid w:val="0021649A"/>
    <w:rsid w:val="002172F3"/>
    <w:rsid w:val="00217BA0"/>
    <w:rsid w:val="002204C5"/>
    <w:rsid w:val="00221353"/>
    <w:rsid w:val="00222DEE"/>
    <w:rsid w:val="00223455"/>
    <w:rsid w:val="002241A1"/>
    <w:rsid w:val="00224638"/>
    <w:rsid w:val="0022470E"/>
    <w:rsid w:val="00224C9A"/>
    <w:rsid w:val="00226BD9"/>
    <w:rsid w:val="00227014"/>
    <w:rsid w:val="002276A9"/>
    <w:rsid w:val="00227921"/>
    <w:rsid w:val="0023033D"/>
    <w:rsid w:val="002313B4"/>
    <w:rsid w:val="00231C3C"/>
    <w:rsid w:val="00231C8D"/>
    <w:rsid w:val="00231F00"/>
    <w:rsid w:val="00232628"/>
    <w:rsid w:val="00233282"/>
    <w:rsid w:val="00233A82"/>
    <w:rsid w:val="002341CA"/>
    <w:rsid w:val="00234304"/>
    <w:rsid w:val="00235834"/>
    <w:rsid w:val="0023585C"/>
    <w:rsid w:val="00235863"/>
    <w:rsid w:val="00235D7A"/>
    <w:rsid w:val="00235ED1"/>
    <w:rsid w:val="00236CE8"/>
    <w:rsid w:val="00237A22"/>
    <w:rsid w:val="00237AA7"/>
    <w:rsid w:val="00242524"/>
    <w:rsid w:val="00243571"/>
    <w:rsid w:val="002447D3"/>
    <w:rsid w:val="00244E64"/>
    <w:rsid w:val="0024589B"/>
    <w:rsid w:val="00245F84"/>
    <w:rsid w:val="00246648"/>
    <w:rsid w:val="00246B9F"/>
    <w:rsid w:val="00247ECB"/>
    <w:rsid w:val="00250E8E"/>
    <w:rsid w:val="00251671"/>
    <w:rsid w:val="00251916"/>
    <w:rsid w:val="002533ED"/>
    <w:rsid w:val="00253CF1"/>
    <w:rsid w:val="00253FE1"/>
    <w:rsid w:val="00254061"/>
    <w:rsid w:val="0025411A"/>
    <w:rsid w:val="00254494"/>
    <w:rsid w:val="00254E8E"/>
    <w:rsid w:val="002550C4"/>
    <w:rsid w:val="002552E2"/>
    <w:rsid w:val="0025588C"/>
    <w:rsid w:val="002566A0"/>
    <w:rsid w:val="002570D6"/>
    <w:rsid w:val="00261C37"/>
    <w:rsid w:val="00262982"/>
    <w:rsid w:val="00262F5B"/>
    <w:rsid w:val="00265408"/>
    <w:rsid w:val="00265D3A"/>
    <w:rsid w:val="00266524"/>
    <w:rsid w:val="00266D32"/>
    <w:rsid w:val="00267141"/>
    <w:rsid w:val="00267A7A"/>
    <w:rsid w:val="00267AE8"/>
    <w:rsid w:val="00270705"/>
    <w:rsid w:val="00272291"/>
    <w:rsid w:val="00272F3E"/>
    <w:rsid w:val="00273222"/>
    <w:rsid w:val="0027356C"/>
    <w:rsid w:val="00273D5A"/>
    <w:rsid w:val="00273F7E"/>
    <w:rsid w:val="00274158"/>
    <w:rsid w:val="00274190"/>
    <w:rsid w:val="00274681"/>
    <w:rsid w:val="00275D2C"/>
    <w:rsid w:val="00276E90"/>
    <w:rsid w:val="002771A2"/>
    <w:rsid w:val="00277BAC"/>
    <w:rsid w:val="002803C2"/>
    <w:rsid w:val="00281D28"/>
    <w:rsid w:val="00281E7E"/>
    <w:rsid w:val="002824F8"/>
    <w:rsid w:val="00282632"/>
    <w:rsid w:val="00283B3D"/>
    <w:rsid w:val="00283CB0"/>
    <w:rsid w:val="002851F6"/>
    <w:rsid w:val="0028548E"/>
    <w:rsid w:val="00285544"/>
    <w:rsid w:val="00285670"/>
    <w:rsid w:val="00285843"/>
    <w:rsid w:val="00286469"/>
    <w:rsid w:val="00286604"/>
    <w:rsid w:val="00286749"/>
    <w:rsid w:val="0028688D"/>
    <w:rsid w:val="00286A8C"/>
    <w:rsid w:val="00286EE4"/>
    <w:rsid w:val="002879D3"/>
    <w:rsid w:val="00287A54"/>
    <w:rsid w:val="00287D86"/>
    <w:rsid w:val="00290227"/>
    <w:rsid w:val="0029025D"/>
    <w:rsid w:val="00290BA4"/>
    <w:rsid w:val="00290C45"/>
    <w:rsid w:val="00290CFD"/>
    <w:rsid w:val="00290DC6"/>
    <w:rsid w:val="002921AA"/>
    <w:rsid w:val="00292C88"/>
    <w:rsid w:val="002942D0"/>
    <w:rsid w:val="002943E8"/>
    <w:rsid w:val="002945AE"/>
    <w:rsid w:val="00294C46"/>
    <w:rsid w:val="00294FA1"/>
    <w:rsid w:val="00295339"/>
    <w:rsid w:val="002956E0"/>
    <w:rsid w:val="00295BDB"/>
    <w:rsid w:val="00296508"/>
    <w:rsid w:val="002A0D4B"/>
    <w:rsid w:val="002A137C"/>
    <w:rsid w:val="002A1ABE"/>
    <w:rsid w:val="002A3992"/>
    <w:rsid w:val="002A432D"/>
    <w:rsid w:val="002A43DB"/>
    <w:rsid w:val="002A4699"/>
    <w:rsid w:val="002A4B2D"/>
    <w:rsid w:val="002A569E"/>
    <w:rsid w:val="002A689D"/>
    <w:rsid w:val="002A6A71"/>
    <w:rsid w:val="002A78AB"/>
    <w:rsid w:val="002B094D"/>
    <w:rsid w:val="002B0A03"/>
    <w:rsid w:val="002B115F"/>
    <w:rsid w:val="002B152E"/>
    <w:rsid w:val="002B1C1D"/>
    <w:rsid w:val="002B3097"/>
    <w:rsid w:val="002B3376"/>
    <w:rsid w:val="002B355E"/>
    <w:rsid w:val="002B3F19"/>
    <w:rsid w:val="002B5AB0"/>
    <w:rsid w:val="002B6033"/>
    <w:rsid w:val="002C00E4"/>
    <w:rsid w:val="002C040E"/>
    <w:rsid w:val="002C0780"/>
    <w:rsid w:val="002C17B5"/>
    <w:rsid w:val="002C2848"/>
    <w:rsid w:val="002C30C1"/>
    <w:rsid w:val="002C33AC"/>
    <w:rsid w:val="002C3655"/>
    <w:rsid w:val="002C37E0"/>
    <w:rsid w:val="002C3C15"/>
    <w:rsid w:val="002C425B"/>
    <w:rsid w:val="002C4993"/>
    <w:rsid w:val="002C4F39"/>
    <w:rsid w:val="002C55D6"/>
    <w:rsid w:val="002C6286"/>
    <w:rsid w:val="002C7279"/>
    <w:rsid w:val="002C75F1"/>
    <w:rsid w:val="002D0463"/>
    <w:rsid w:val="002D0729"/>
    <w:rsid w:val="002D0816"/>
    <w:rsid w:val="002D39B0"/>
    <w:rsid w:val="002D3E56"/>
    <w:rsid w:val="002D49EB"/>
    <w:rsid w:val="002D4ACA"/>
    <w:rsid w:val="002D4B61"/>
    <w:rsid w:val="002D5666"/>
    <w:rsid w:val="002D5784"/>
    <w:rsid w:val="002D67CC"/>
    <w:rsid w:val="002D737E"/>
    <w:rsid w:val="002D7787"/>
    <w:rsid w:val="002D7B22"/>
    <w:rsid w:val="002D7EF7"/>
    <w:rsid w:val="002E01D8"/>
    <w:rsid w:val="002E0CF1"/>
    <w:rsid w:val="002E11A9"/>
    <w:rsid w:val="002E1BE7"/>
    <w:rsid w:val="002E1F2A"/>
    <w:rsid w:val="002E25E3"/>
    <w:rsid w:val="002E272C"/>
    <w:rsid w:val="002E2BE5"/>
    <w:rsid w:val="002E2F26"/>
    <w:rsid w:val="002E3A24"/>
    <w:rsid w:val="002E4007"/>
    <w:rsid w:val="002E4634"/>
    <w:rsid w:val="002E4CF2"/>
    <w:rsid w:val="002E4CFB"/>
    <w:rsid w:val="002E4D7F"/>
    <w:rsid w:val="002E5367"/>
    <w:rsid w:val="002E5B78"/>
    <w:rsid w:val="002E6288"/>
    <w:rsid w:val="002E67F8"/>
    <w:rsid w:val="002E6B01"/>
    <w:rsid w:val="002E6B17"/>
    <w:rsid w:val="002E6B42"/>
    <w:rsid w:val="002E6C8A"/>
    <w:rsid w:val="002E6D91"/>
    <w:rsid w:val="002F01C2"/>
    <w:rsid w:val="002F056A"/>
    <w:rsid w:val="002F0A0F"/>
    <w:rsid w:val="002F0D60"/>
    <w:rsid w:val="002F0DC6"/>
    <w:rsid w:val="002F0E3C"/>
    <w:rsid w:val="002F1B4D"/>
    <w:rsid w:val="002F1B93"/>
    <w:rsid w:val="002F2131"/>
    <w:rsid w:val="002F26B4"/>
    <w:rsid w:val="002F4426"/>
    <w:rsid w:val="002F53F9"/>
    <w:rsid w:val="002F621A"/>
    <w:rsid w:val="002F7CC4"/>
    <w:rsid w:val="00300A4E"/>
    <w:rsid w:val="00301266"/>
    <w:rsid w:val="00301443"/>
    <w:rsid w:val="00302276"/>
    <w:rsid w:val="00302A5A"/>
    <w:rsid w:val="00302CCF"/>
    <w:rsid w:val="00304B2B"/>
    <w:rsid w:val="00306141"/>
    <w:rsid w:val="00306AC9"/>
    <w:rsid w:val="00307881"/>
    <w:rsid w:val="00307B9A"/>
    <w:rsid w:val="00307C06"/>
    <w:rsid w:val="003107CE"/>
    <w:rsid w:val="0031082A"/>
    <w:rsid w:val="00310F02"/>
    <w:rsid w:val="003123F8"/>
    <w:rsid w:val="0031283B"/>
    <w:rsid w:val="00312D97"/>
    <w:rsid w:val="003137F9"/>
    <w:rsid w:val="00313995"/>
    <w:rsid w:val="003149D2"/>
    <w:rsid w:val="00314A1D"/>
    <w:rsid w:val="00314BF9"/>
    <w:rsid w:val="003155A9"/>
    <w:rsid w:val="003155DF"/>
    <w:rsid w:val="00315A84"/>
    <w:rsid w:val="0031666C"/>
    <w:rsid w:val="003172CC"/>
    <w:rsid w:val="0031774A"/>
    <w:rsid w:val="00317C1B"/>
    <w:rsid w:val="00317DFC"/>
    <w:rsid w:val="00320602"/>
    <w:rsid w:val="00320744"/>
    <w:rsid w:val="00320F01"/>
    <w:rsid w:val="00320F95"/>
    <w:rsid w:val="003222AC"/>
    <w:rsid w:val="00322A81"/>
    <w:rsid w:val="003243CA"/>
    <w:rsid w:val="00324439"/>
    <w:rsid w:val="00324C67"/>
    <w:rsid w:val="0032567A"/>
    <w:rsid w:val="003257CB"/>
    <w:rsid w:val="00325EAA"/>
    <w:rsid w:val="00326AE5"/>
    <w:rsid w:val="003278B4"/>
    <w:rsid w:val="0033070B"/>
    <w:rsid w:val="00330F16"/>
    <w:rsid w:val="003315E1"/>
    <w:rsid w:val="00331C30"/>
    <w:rsid w:val="00331C8C"/>
    <w:rsid w:val="00332576"/>
    <w:rsid w:val="003328BB"/>
    <w:rsid w:val="00333DD2"/>
    <w:rsid w:val="00333ED3"/>
    <w:rsid w:val="00334041"/>
    <w:rsid w:val="00334825"/>
    <w:rsid w:val="003355D4"/>
    <w:rsid w:val="00336B78"/>
    <w:rsid w:val="00336EA2"/>
    <w:rsid w:val="00337887"/>
    <w:rsid w:val="00337F97"/>
    <w:rsid w:val="003400E3"/>
    <w:rsid w:val="00340CC0"/>
    <w:rsid w:val="003411D4"/>
    <w:rsid w:val="00341E07"/>
    <w:rsid w:val="003427F1"/>
    <w:rsid w:val="00342F63"/>
    <w:rsid w:val="00343A34"/>
    <w:rsid w:val="0034497B"/>
    <w:rsid w:val="00345841"/>
    <w:rsid w:val="00345B8F"/>
    <w:rsid w:val="003460B2"/>
    <w:rsid w:val="003460C7"/>
    <w:rsid w:val="003468BF"/>
    <w:rsid w:val="00346E1E"/>
    <w:rsid w:val="00346F47"/>
    <w:rsid w:val="003477AD"/>
    <w:rsid w:val="00347DB5"/>
    <w:rsid w:val="003504D0"/>
    <w:rsid w:val="0035051C"/>
    <w:rsid w:val="00350692"/>
    <w:rsid w:val="003516A1"/>
    <w:rsid w:val="00351BC4"/>
    <w:rsid w:val="003537C8"/>
    <w:rsid w:val="00354337"/>
    <w:rsid w:val="00354678"/>
    <w:rsid w:val="0035489B"/>
    <w:rsid w:val="00354E7F"/>
    <w:rsid w:val="0035511D"/>
    <w:rsid w:val="003552A3"/>
    <w:rsid w:val="00355A35"/>
    <w:rsid w:val="00356AA5"/>
    <w:rsid w:val="00357D70"/>
    <w:rsid w:val="00360247"/>
    <w:rsid w:val="00360657"/>
    <w:rsid w:val="00361EF4"/>
    <w:rsid w:val="00362125"/>
    <w:rsid w:val="00363086"/>
    <w:rsid w:val="0036326D"/>
    <w:rsid w:val="00364284"/>
    <w:rsid w:val="003642EB"/>
    <w:rsid w:val="00364550"/>
    <w:rsid w:val="00365114"/>
    <w:rsid w:val="003653C7"/>
    <w:rsid w:val="003658D3"/>
    <w:rsid w:val="00365949"/>
    <w:rsid w:val="00365F02"/>
    <w:rsid w:val="00366157"/>
    <w:rsid w:val="003662BD"/>
    <w:rsid w:val="00366437"/>
    <w:rsid w:val="00366730"/>
    <w:rsid w:val="00366943"/>
    <w:rsid w:val="00367AA8"/>
    <w:rsid w:val="0037103E"/>
    <w:rsid w:val="00371185"/>
    <w:rsid w:val="0037251F"/>
    <w:rsid w:val="00372765"/>
    <w:rsid w:val="00372C36"/>
    <w:rsid w:val="00372CA0"/>
    <w:rsid w:val="00374244"/>
    <w:rsid w:val="00374CE6"/>
    <w:rsid w:val="00375598"/>
    <w:rsid w:val="003756CA"/>
    <w:rsid w:val="003758C5"/>
    <w:rsid w:val="003758CE"/>
    <w:rsid w:val="00375EFE"/>
    <w:rsid w:val="00375F7A"/>
    <w:rsid w:val="0037683A"/>
    <w:rsid w:val="00376F72"/>
    <w:rsid w:val="00380863"/>
    <w:rsid w:val="00380D41"/>
    <w:rsid w:val="00380DA5"/>
    <w:rsid w:val="00381E1C"/>
    <w:rsid w:val="0038367D"/>
    <w:rsid w:val="00383A6B"/>
    <w:rsid w:val="00383AFE"/>
    <w:rsid w:val="00384AC7"/>
    <w:rsid w:val="0038620C"/>
    <w:rsid w:val="00386391"/>
    <w:rsid w:val="003863ED"/>
    <w:rsid w:val="00386CCA"/>
    <w:rsid w:val="00387364"/>
    <w:rsid w:val="00390FAE"/>
    <w:rsid w:val="003910DB"/>
    <w:rsid w:val="00392238"/>
    <w:rsid w:val="0039258C"/>
    <w:rsid w:val="0039295F"/>
    <w:rsid w:val="003929B4"/>
    <w:rsid w:val="00392BB1"/>
    <w:rsid w:val="003930A4"/>
    <w:rsid w:val="00393C10"/>
    <w:rsid w:val="003943A8"/>
    <w:rsid w:val="003943BC"/>
    <w:rsid w:val="00394A39"/>
    <w:rsid w:val="00394C7C"/>
    <w:rsid w:val="0039511D"/>
    <w:rsid w:val="00395BD3"/>
    <w:rsid w:val="00395C40"/>
    <w:rsid w:val="00396605"/>
    <w:rsid w:val="003968D8"/>
    <w:rsid w:val="003A0F59"/>
    <w:rsid w:val="003A1716"/>
    <w:rsid w:val="003A227F"/>
    <w:rsid w:val="003A2327"/>
    <w:rsid w:val="003A2B93"/>
    <w:rsid w:val="003A3912"/>
    <w:rsid w:val="003A40D0"/>
    <w:rsid w:val="003A479B"/>
    <w:rsid w:val="003A528C"/>
    <w:rsid w:val="003A5CDF"/>
    <w:rsid w:val="003A6B06"/>
    <w:rsid w:val="003A6B38"/>
    <w:rsid w:val="003A6B5C"/>
    <w:rsid w:val="003A6DEC"/>
    <w:rsid w:val="003B012A"/>
    <w:rsid w:val="003B0A8F"/>
    <w:rsid w:val="003B1411"/>
    <w:rsid w:val="003B2846"/>
    <w:rsid w:val="003B2C1E"/>
    <w:rsid w:val="003B3B1D"/>
    <w:rsid w:val="003B52F2"/>
    <w:rsid w:val="003B5421"/>
    <w:rsid w:val="003B5DF7"/>
    <w:rsid w:val="003B63B6"/>
    <w:rsid w:val="003B6595"/>
    <w:rsid w:val="003B675D"/>
    <w:rsid w:val="003B6BF3"/>
    <w:rsid w:val="003B6D93"/>
    <w:rsid w:val="003B7127"/>
    <w:rsid w:val="003C0C06"/>
    <w:rsid w:val="003C136E"/>
    <w:rsid w:val="003C1C38"/>
    <w:rsid w:val="003C2158"/>
    <w:rsid w:val="003C2874"/>
    <w:rsid w:val="003C3058"/>
    <w:rsid w:val="003C30B7"/>
    <w:rsid w:val="003C3506"/>
    <w:rsid w:val="003C3B52"/>
    <w:rsid w:val="003C3B89"/>
    <w:rsid w:val="003C3BD2"/>
    <w:rsid w:val="003C3CB0"/>
    <w:rsid w:val="003C3FC7"/>
    <w:rsid w:val="003C416F"/>
    <w:rsid w:val="003C4866"/>
    <w:rsid w:val="003C4B20"/>
    <w:rsid w:val="003C4D78"/>
    <w:rsid w:val="003C51FF"/>
    <w:rsid w:val="003C5475"/>
    <w:rsid w:val="003C5EA0"/>
    <w:rsid w:val="003C6C5A"/>
    <w:rsid w:val="003C769C"/>
    <w:rsid w:val="003D094A"/>
    <w:rsid w:val="003D11C6"/>
    <w:rsid w:val="003D2517"/>
    <w:rsid w:val="003D25C5"/>
    <w:rsid w:val="003D2FB9"/>
    <w:rsid w:val="003D2FCF"/>
    <w:rsid w:val="003D395D"/>
    <w:rsid w:val="003D410C"/>
    <w:rsid w:val="003D66BF"/>
    <w:rsid w:val="003D753A"/>
    <w:rsid w:val="003D7DEF"/>
    <w:rsid w:val="003D7EDB"/>
    <w:rsid w:val="003D7F86"/>
    <w:rsid w:val="003E08D6"/>
    <w:rsid w:val="003E08EF"/>
    <w:rsid w:val="003E0AE8"/>
    <w:rsid w:val="003E0E7A"/>
    <w:rsid w:val="003E10DB"/>
    <w:rsid w:val="003E1169"/>
    <w:rsid w:val="003E19CD"/>
    <w:rsid w:val="003E1FB9"/>
    <w:rsid w:val="003E2AD5"/>
    <w:rsid w:val="003E31D6"/>
    <w:rsid w:val="003E45D7"/>
    <w:rsid w:val="003E4E09"/>
    <w:rsid w:val="003E5C9A"/>
    <w:rsid w:val="003E5F07"/>
    <w:rsid w:val="003E5FC0"/>
    <w:rsid w:val="003E6DF1"/>
    <w:rsid w:val="003F0D63"/>
    <w:rsid w:val="003F14DC"/>
    <w:rsid w:val="003F1711"/>
    <w:rsid w:val="003F1AB6"/>
    <w:rsid w:val="003F1B93"/>
    <w:rsid w:val="003F1E63"/>
    <w:rsid w:val="003F1F04"/>
    <w:rsid w:val="003F20CB"/>
    <w:rsid w:val="003F21F9"/>
    <w:rsid w:val="003F24C3"/>
    <w:rsid w:val="003F263F"/>
    <w:rsid w:val="003F267C"/>
    <w:rsid w:val="003F2FDF"/>
    <w:rsid w:val="003F3B19"/>
    <w:rsid w:val="003F3B6C"/>
    <w:rsid w:val="003F410E"/>
    <w:rsid w:val="003F41D8"/>
    <w:rsid w:val="003F44A7"/>
    <w:rsid w:val="003F4BF8"/>
    <w:rsid w:val="003F4F73"/>
    <w:rsid w:val="003F58FF"/>
    <w:rsid w:val="003F5A1B"/>
    <w:rsid w:val="003F6337"/>
    <w:rsid w:val="003F63C3"/>
    <w:rsid w:val="003F669D"/>
    <w:rsid w:val="003F6824"/>
    <w:rsid w:val="003F6E57"/>
    <w:rsid w:val="003F7058"/>
    <w:rsid w:val="003F7B02"/>
    <w:rsid w:val="004002C5"/>
    <w:rsid w:val="0040165E"/>
    <w:rsid w:val="00401DF2"/>
    <w:rsid w:val="004039A6"/>
    <w:rsid w:val="00404E5A"/>
    <w:rsid w:val="0040505A"/>
    <w:rsid w:val="004068BB"/>
    <w:rsid w:val="00406E13"/>
    <w:rsid w:val="0040711D"/>
    <w:rsid w:val="00407D62"/>
    <w:rsid w:val="0041074D"/>
    <w:rsid w:val="00410889"/>
    <w:rsid w:val="00410C35"/>
    <w:rsid w:val="0041117C"/>
    <w:rsid w:val="004111AD"/>
    <w:rsid w:val="0041147D"/>
    <w:rsid w:val="00411654"/>
    <w:rsid w:val="00413477"/>
    <w:rsid w:val="00413EB0"/>
    <w:rsid w:val="00414485"/>
    <w:rsid w:val="004146B7"/>
    <w:rsid w:val="00414BCE"/>
    <w:rsid w:val="00414EC7"/>
    <w:rsid w:val="00414FF1"/>
    <w:rsid w:val="0041594C"/>
    <w:rsid w:val="00417D42"/>
    <w:rsid w:val="00417DE7"/>
    <w:rsid w:val="00417FBD"/>
    <w:rsid w:val="004207C5"/>
    <w:rsid w:val="00420D82"/>
    <w:rsid w:val="004213E6"/>
    <w:rsid w:val="004217BD"/>
    <w:rsid w:val="004228D5"/>
    <w:rsid w:val="00422F06"/>
    <w:rsid w:val="00423687"/>
    <w:rsid w:val="0042397D"/>
    <w:rsid w:val="00423C4C"/>
    <w:rsid w:val="00423ECF"/>
    <w:rsid w:val="004243C0"/>
    <w:rsid w:val="00424575"/>
    <w:rsid w:val="004245B8"/>
    <w:rsid w:val="00424782"/>
    <w:rsid w:val="00425BD7"/>
    <w:rsid w:val="0042669C"/>
    <w:rsid w:val="00426A19"/>
    <w:rsid w:val="004277F0"/>
    <w:rsid w:val="004300D2"/>
    <w:rsid w:val="0043030F"/>
    <w:rsid w:val="004308ED"/>
    <w:rsid w:val="00430C78"/>
    <w:rsid w:val="0043122C"/>
    <w:rsid w:val="00431922"/>
    <w:rsid w:val="00432066"/>
    <w:rsid w:val="00432290"/>
    <w:rsid w:val="004329D1"/>
    <w:rsid w:val="00432B8A"/>
    <w:rsid w:val="00432CB8"/>
    <w:rsid w:val="00433107"/>
    <w:rsid w:val="004341B5"/>
    <w:rsid w:val="00434965"/>
    <w:rsid w:val="00434A38"/>
    <w:rsid w:val="00435238"/>
    <w:rsid w:val="004360BC"/>
    <w:rsid w:val="00436238"/>
    <w:rsid w:val="004362CE"/>
    <w:rsid w:val="00437AD9"/>
    <w:rsid w:val="00437D8A"/>
    <w:rsid w:val="00440E3D"/>
    <w:rsid w:val="004415E8"/>
    <w:rsid w:val="00441AC6"/>
    <w:rsid w:val="00441D5D"/>
    <w:rsid w:val="004423F5"/>
    <w:rsid w:val="00442EB9"/>
    <w:rsid w:val="00442F69"/>
    <w:rsid w:val="004433B1"/>
    <w:rsid w:val="00443BBE"/>
    <w:rsid w:val="00443C10"/>
    <w:rsid w:val="00443F7B"/>
    <w:rsid w:val="0044423E"/>
    <w:rsid w:val="00444257"/>
    <w:rsid w:val="004444B6"/>
    <w:rsid w:val="00444ACB"/>
    <w:rsid w:val="00444CBF"/>
    <w:rsid w:val="004459BD"/>
    <w:rsid w:val="00445B71"/>
    <w:rsid w:val="00446271"/>
    <w:rsid w:val="00446E41"/>
    <w:rsid w:val="00446EF6"/>
    <w:rsid w:val="004473A6"/>
    <w:rsid w:val="00447CE2"/>
    <w:rsid w:val="0045004C"/>
    <w:rsid w:val="004504FB"/>
    <w:rsid w:val="004509C9"/>
    <w:rsid w:val="00451896"/>
    <w:rsid w:val="00451F6A"/>
    <w:rsid w:val="004523A0"/>
    <w:rsid w:val="004531E7"/>
    <w:rsid w:val="00453EFE"/>
    <w:rsid w:val="00454846"/>
    <w:rsid w:val="00455086"/>
    <w:rsid w:val="004557AB"/>
    <w:rsid w:val="00455B41"/>
    <w:rsid w:val="00455DFE"/>
    <w:rsid w:val="00456A96"/>
    <w:rsid w:val="004615DD"/>
    <w:rsid w:val="0046168A"/>
    <w:rsid w:val="00461893"/>
    <w:rsid w:val="00461CB4"/>
    <w:rsid w:val="00463098"/>
    <w:rsid w:val="00463173"/>
    <w:rsid w:val="00464131"/>
    <w:rsid w:val="00464CD8"/>
    <w:rsid w:val="00464FB9"/>
    <w:rsid w:val="00465775"/>
    <w:rsid w:val="00465801"/>
    <w:rsid w:val="00465C34"/>
    <w:rsid w:val="004663B9"/>
    <w:rsid w:val="0046739D"/>
    <w:rsid w:val="004679BA"/>
    <w:rsid w:val="00470365"/>
    <w:rsid w:val="00470C02"/>
    <w:rsid w:val="00470ECB"/>
    <w:rsid w:val="004734DE"/>
    <w:rsid w:val="00476866"/>
    <w:rsid w:val="00476CAE"/>
    <w:rsid w:val="004770DC"/>
    <w:rsid w:val="00477235"/>
    <w:rsid w:val="004779E2"/>
    <w:rsid w:val="00483091"/>
    <w:rsid w:val="004831A2"/>
    <w:rsid w:val="0048327E"/>
    <w:rsid w:val="0048335F"/>
    <w:rsid w:val="00483E09"/>
    <w:rsid w:val="00483E20"/>
    <w:rsid w:val="004848B9"/>
    <w:rsid w:val="00485233"/>
    <w:rsid w:val="004866B6"/>
    <w:rsid w:val="0048678D"/>
    <w:rsid w:val="004869A8"/>
    <w:rsid w:val="00487DBB"/>
    <w:rsid w:val="00487E34"/>
    <w:rsid w:val="0049065D"/>
    <w:rsid w:val="00490FE2"/>
    <w:rsid w:val="00490FE4"/>
    <w:rsid w:val="00491107"/>
    <w:rsid w:val="00491164"/>
    <w:rsid w:val="0049144B"/>
    <w:rsid w:val="00492531"/>
    <w:rsid w:val="00493C1F"/>
    <w:rsid w:val="00493C91"/>
    <w:rsid w:val="00493DFB"/>
    <w:rsid w:val="00494267"/>
    <w:rsid w:val="004945B4"/>
    <w:rsid w:val="00494B14"/>
    <w:rsid w:val="00494DA8"/>
    <w:rsid w:val="00495102"/>
    <w:rsid w:val="0049518C"/>
    <w:rsid w:val="00496E15"/>
    <w:rsid w:val="00496F14"/>
    <w:rsid w:val="004979CD"/>
    <w:rsid w:val="00497FC8"/>
    <w:rsid w:val="004A04D7"/>
    <w:rsid w:val="004A0959"/>
    <w:rsid w:val="004A17A2"/>
    <w:rsid w:val="004A3C92"/>
    <w:rsid w:val="004A3DB2"/>
    <w:rsid w:val="004A3DE3"/>
    <w:rsid w:val="004A5298"/>
    <w:rsid w:val="004A5FF1"/>
    <w:rsid w:val="004A7606"/>
    <w:rsid w:val="004A760B"/>
    <w:rsid w:val="004A769F"/>
    <w:rsid w:val="004A783B"/>
    <w:rsid w:val="004B0790"/>
    <w:rsid w:val="004B0B94"/>
    <w:rsid w:val="004B3CB7"/>
    <w:rsid w:val="004B4851"/>
    <w:rsid w:val="004B4C5B"/>
    <w:rsid w:val="004B512C"/>
    <w:rsid w:val="004B53EB"/>
    <w:rsid w:val="004B5B02"/>
    <w:rsid w:val="004B6152"/>
    <w:rsid w:val="004B6AE3"/>
    <w:rsid w:val="004C08B5"/>
    <w:rsid w:val="004C0EE3"/>
    <w:rsid w:val="004C18BC"/>
    <w:rsid w:val="004C393C"/>
    <w:rsid w:val="004C3FCA"/>
    <w:rsid w:val="004C4768"/>
    <w:rsid w:val="004C50F2"/>
    <w:rsid w:val="004C5741"/>
    <w:rsid w:val="004C68F9"/>
    <w:rsid w:val="004C6925"/>
    <w:rsid w:val="004C6A5A"/>
    <w:rsid w:val="004C6BBB"/>
    <w:rsid w:val="004C7B70"/>
    <w:rsid w:val="004C7EC2"/>
    <w:rsid w:val="004C7F2E"/>
    <w:rsid w:val="004C7F8C"/>
    <w:rsid w:val="004D0390"/>
    <w:rsid w:val="004D0919"/>
    <w:rsid w:val="004D0C01"/>
    <w:rsid w:val="004D1196"/>
    <w:rsid w:val="004D1A78"/>
    <w:rsid w:val="004D261F"/>
    <w:rsid w:val="004D3BB9"/>
    <w:rsid w:val="004D3C22"/>
    <w:rsid w:val="004D4453"/>
    <w:rsid w:val="004D536A"/>
    <w:rsid w:val="004D65EF"/>
    <w:rsid w:val="004D66C2"/>
    <w:rsid w:val="004D74A0"/>
    <w:rsid w:val="004D7EC1"/>
    <w:rsid w:val="004D7F23"/>
    <w:rsid w:val="004E0078"/>
    <w:rsid w:val="004E0605"/>
    <w:rsid w:val="004E098C"/>
    <w:rsid w:val="004E2C44"/>
    <w:rsid w:val="004E3EA0"/>
    <w:rsid w:val="004E3FFC"/>
    <w:rsid w:val="004E474A"/>
    <w:rsid w:val="004E4E0B"/>
    <w:rsid w:val="004E74FD"/>
    <w:rsid w:val="004E7BC8"/>
    <w:rsid w:val="004F00D0"/>
    <w:rsid w:val="004F00EB"/>
    <w:rsid w:val="004F02E3"/>
    <w:rsid w:val="004F1001"/>
    <w:rsid w:val="004F1931"/>
    <w:rsid w:val="004F1F93"/>
    <w:rsid w:val="004F2710"/>
    <w:rsid w:val="004F27B5"/>
    <w:rsid w:val="004F2974"/>
    <w:rsid w:val="004F2D25"/>
    <w:rsid w:val="004F2E8D"/>
    <w:rsid w:val="004F38FA"/>
    <w:rsid w:val="004F3A32"/>
    <w:rsid w:val="004F4430"/>
    <w:rsid w:val="004F4B27"/>
    <w:rsid w:val="004F4BA1"/>
    <w:rsid w:val="004F4F37"/>
    <w:rsid w:val="004F502F"/>
    <w:rsid w:val="004F5187"/>
    <w:rsid w:val="004F5999"/>
    <w:rsid w:val="004F6922"/>
    <w:rsid w:val="004F7798"/>
    <w:rsid w:val="004F79D3"/>
    <w:rsid w:val="00500B0D"/>
    <w:rsid w:val="00500C29"/>
    <w:rsid w:val="00501690"/>
    <w:rsid w:val="005019B8"/>
    <w:rsid w:val="00502160"/>
    <w:rsid w:val="00502475"/>
    <w:rsid w:val="005028AB"/>
    <w:rsid w:val="00504D8D"/>
    <w:rsid w:val="005051C3"/>
    <w:rsid w:val="00505A70"/>
    <w:rsid w:val="00505CEE"/>
    <w:rsid w:val="00505D84"/>
    <w:rsid w:val="005060A0"/>
    <w:rsid w:val="005070D9"/>
    <w:rsid w:val="0050799C"/>
    <w:rsid w:val="00507ED0"/>
    <w:rsid w:val="005103CC"/>
    <w:rsid w:val="00510EF4"/>
    <w:rsid w:val="0051129C"/>
    <w:rsid w:val="00511323"/>
    <w:rsid w:val="00511BF0"/>
    <w:rsid w:val="005125BF"/>
    <w:rsid w:val="005129D0"/>
    <w:rsid w:val="00512B17"/>
    <w:rsid w:val="00513BE7"/>
    <w:rsid w:val="00516336"/>
    <w:rsid w:val="0051681D"/>
    <w:rsid w:val="00516C4F"/>
    <w:rsid w:val="00520147"/>
    <w:rsid w:val="00520668"/>
    <w:rsid w:val="00522131"/>
    <w:rsid w:val="005221EE"/>
    <w:rsid w:val="0052240F"/>
    <w:rsid w:val="00522C8F"/>
    <w:rsid w:val="00523FAA"/>
    <w:rsid w:val="00524275"/>
    <w:rsid w:val="0052484C"/>
    <w:rsid w:val="0052489C"/>
    <w:rsid w:val="00524E1C"/>
    <w:rsid w:val="0052633D"/>
    <w:rsid w:val="00527287"/>
    <w:rsid w:val="00527C79"/>
    <w:rsid w:val="00527E37"/>
    <w:rsid w:val="00530469"/>
    <w:rsid w:val="00531530"/>
    <w:rsid w:val="00531CBF"/>
    <w:rsid w:val="0053213B"/>
    <w:rsid w:val="0053271E"/>
    <w:rsid w:val="005341CA"/>
    <w:rsid w:val="005343D7"/>
    <w:rsid w:val="00535327"/>
    <w:rsid w:val="00535437"/>
    <w:rsid w:val="00535561"/>
    <w:rsid w:val="0053565E"/>
    <w:rsid w:val="005361BB"/>
    <w:rsid w:val="00536916"/>
    <w:rsid w:val="00536F7D"/>
    <w:rsid w:val="00537523"/>
    <w:rsid w:val="00537676"/>
    <w:rsid w:val="0054030A"/>
    <w:rsid w:val="005411E6"/>
    <w:rsid w:val="0054168E"/>
    <w:rsid w:val="005418E0"/>
    <w:rsid w:val="00542D00"/>
    <w:rsid w:val="00542D06"/>
    <w:rsid w:val="0054359B"/>
    <w:rsid w:val="005440B2"/>
    <w:rsid w:val="005442DF"/>
    <w:rsid w:val="00544F6D"/>
    <w:rsid w:val="00545200"/>
    <w:rsid w:val="005476EC"/>
    <w:rsid w:val="00547BB6"/>
    <w:rsid w:val="00550177"/>
    <w:rsid w:val="005502B1"/>
    <w:rsid w:val="00550832"/>
    <w:rsid w:val="00550D92"/>
    <w:rsid w:val="00551582"/>
    <w:rsid w:val="00551A54"/>
    <w:rsid w:val="00552396"/>
    <w:rsid w:val="005524AC"/>
    <w:rsid w:val="00552D80"/>
    <w:rsid w:val="00552E96"/>
    <w:rsid w:val="00552F27"/>
    <w:rsid w:val="005535AC"/>
    <w:rsid w:val="005544B0"/>
    <w:rsid w:val="0055489D"/>
    <w:rsid w:val="00555480"/>
    <w:rsid w:val="00555BB7"/>
    <w:rsid w:val="00556A8E"/>
    <w:rsid w:val="00556D6F"/>
    <w:rsid w:val="00557552"/>
    <w:rsid w:val="00557C83"/>
    <w:rsid w:val="005600FE"/>
    <w:rsid w:val="005601D3"/>
    <w:rsid w:val="00560DD9"/>
    <w:rsid w:val="00561556"/>
    <w:rsid w:val="005633EA"/>
    <w:rsid w:val="00563D11"/>
    <w:rsid w:val="00564D16"/>
    <w:rsid w:val="00565111"/>
    <w:rsid w:val="0056540A"/>
    <w:rsid w:val="00565CDE"/>
    <w:rsid w:val="0056651C"/>
    <w:rsid w:val="00567DC6"/>
    <w:rsid w:val="005706DB"/>
    <w:rsid w:val="0057093D"/>
    <w:rsid w:val="00571118"/>
    <w:rsid w:val="00571378"/>
    <w:rsid w:val="00571467"/>
    <w:rsid w:val="00571564"/>
    <w:rsid w:val="005715E4"/>
    <w:rsid w:val="00571613"/>
    <w:rsid w:val="00571B83"/>
    <w:rsid w:val="00571BCF"/>
    <w:rsid w:val="00571F09"/>
    <w:rsid w:val="005720A8"/>
    <w:rsid w:val="005722BA"/>
    <w:rsid w:val="00572A35"/>
    <w:rsid w:val="0057323F"/>
    <w:rsid w:val="005759AD"/>
    <w:rsid w:val="00576213"/>
    <w:rsid w:val="00576281"/>
    <w:rsid w:val="00576424"/>
    <w:rsid w:val="00576E68"/>
    <w:rsid w:val="005771B8"/>
    <w:rsid w:val="0057786A"/>
    <w:rsid w:val="005807CA"/>
    <w:rsid w:val="00580D16"/>
    <w:rsid w:val="005810EE"/>
    <w:rsid w:val="0058182C"/>
    <w:rsid w:val="00581A66"/>
    <w:rsid w:val="00583768"/>
    <w:rsid w:val="00583C05"/>
    <w:rsid w:val="00583EAB"/>
    <w:rsid w:val="00584824"/>
    <w:rsid w:val="005856EF"/>
    <w:rsid w:val="0058597D"/>
    <w:rsid w:val="00586217"/>
    <w:rsid w:val="00586E8A"/>
    <w:rsid w:val="00587842"/>
    <w:rsid w:val="005909E9"/>
    <w:rsid w:val="00591342"/>
    <w:rsid w:val="005913AD"/>
    <w:rsid w:val="00591C19"/>
    <w:rsid w:val="00593AB0"/>
    <w:rsid w:val="0059432F"/>
    <w:rsid w:val="00594D22"/>
    <w:rsid w:val="00594EC1"/>
    <w:rsid w:val="005952D0"/>
    <w:rsid w:val="00596DD1"/>
    <w:rsid w:val="00597C2F"/>
    <w:rsid w:val="005A0058"/>
    <w:rsid w:val="005A08E9"/>
    <w:rsid w:val="005A0F4F"/>
    <w:rsid w:val="005A10FB"/>
    <w:rsid w:val="005A29B5"/>
    <w:rsid w:val="005A2AEC"/>
    <w:rsid w:val="005A2D30"/>
    <w:rsid w:val="005A4BD6"/>
    <w:rsid w:val="005A4D13"/>
    <w:rsid w:val="005A5231"/>
    <w:rsid w:val="005A65B7"/>
    <w:rsid w:val="005A6F6C"/>
    <w:rsid w:val="005A7159"/>
    <w:rsid w:val="005B0820"/>
    <w:rsid w:val="005B1796"/>
    <w:rsid w:val="005B1958"/>
    <w:rsid w:val="005B42BF"/>
    <w:rsid w:val="005B4D7A"/>
    <w:rsid w:val="005B538E"/>
    <w:rsid w:val="005B58BE"/>
    <w:rsid w:val="005C059C"/>
    <w:rsid w:val="005C0AFE"/>
    <w:rsid w:val="005C15C5"/>
    <w:rsid w:val="005C1693"/>
    <w:rsid w:val="005C2288"/>
    <w:rsid w:val="005C2C92"/>
    <w:rsid w:val="005C2E34"/>
    <w:rsid w:val="005C3101"/>
    <w:rsid w:val="005C32D1"/>
    <w:rsid w:val="005C48F1"/>
    <w:rsid w:val="005C5485"/>
    <w:rsid w:val="005C5752"/>
    <w:rsid w:val="005C5EFF"/>
    <w:rsid w:val="005C5F97"/>
    <w:rsid w:val="005C71E8"/>
    <w:rsid w:val="005C7573"/>
    <w:rsid w:val="005C7779"/>
    <w:rsid w:val="005C7B41"/>
    <w:rsid w:val="005C7E86"/>
    <w:rsid w:val="005D0537"/>
    <w:rsid w:val="005D0A11"/>
    <w:rsid w:val="005D0B62"/>
    <w:rsid w:val="005D1A2B"/>
    <w:rsid w:val="005D227A"/>
    <w:rsid w:val="005D2939"/>
    <w:rsid w:val="005D2E5E"/>
    <w:rsid w:val="005D335A"/>
    <w:rsid w:val="005D39D7"/>
    <w:rsid w:val="005D3C98"/>
    <w:rsid w:val="005D4204"/>
    <w:rsid w:val="005D4CE8"/>
    <w:rsid w:val="005D5736"/>
    <w:rsid w:val="005D5897"/>
    <w:rsid w:val="005D5E02"/>
    <w:rsid w:val="005D7AAE"/>
    <w:rsid w:val="005E03E5"/>
    <w:rsid w:val="005E11BD"/>
    <w:rsid w:val="005E3869"/>
    <w:rsid w:val="005E46FB"/>
    <w:rsid w:val="005E5027"/>
    <w:rsid w:val="005E5196"/>
    <w:rsid w:val="005E548B"/>
    <w:rsid w:val="005E54A7"/>
    <w:rsid w:val="005E58BD"/>
    <w:rsid w:val="005E5909"/>
    <w:rsid w:val="005E5CD9"/>
    <w:rsid w:val="005E649F"/>
    <w:rsid w:val="005E7AA1"/>
    <w:rsid w:val="005F0CFF"/>
    <w:rsid w:val="005F22C2"/>
    <w:rsid w:val="005F243F"/>
    <w:rsid w:val="005F4977"/>
    <w:rsid w:val="005F50A3"/>
    <w:rsid w:val="005F5355"/>
    <w:rsid w:val="005F556D"/>
    <w:rsid w:val="005F619E"/>
    <w:rsid w:val="005F6C42"/>
    <w:rsid w:val="005F6F2F"/>
    <w:rsid w:val="005F764F"/>
    <w:rsid w:val="0060051F"/>
    <w:rsid w:val="00601404"/>
    <w:rsid w:val="0060165F"/>
    <w:rsid w:val="00601DD8"/>
    <w:rsid w:val="00602257"/>
    <w:rsid w:val="00602DA6"/>
    <w:rsid w:val="0060338D"/>
    <w:rsid w:val="00604B0D"/>
    <w:rsid w:val="00604FC2"/>
    <w:rsid w:val="00604FF7"/>
    <w:rsid w:val="00605252"/>
    <w:rsid w:val="0060582D"/>
    <w:rsid w:val="00606269"/>
    <w:rsid w:val="006064E2"/>
    <w:rsid w:val="00606A65"/>
    <w:rsid w:val="0060760F"/>
    <w:rsid w:val="00610844"/>
    <w:rsid w:val="00610A86"/>
    <w:rsid w:val="00610FFD"/>
    <w:rsid w:val="006117E1"/>
    <w:rsid w:val="00611860"/>
    <w:rsid w:val="00612AE6"/>
    <w:rsid w:val="00612C3A"/>
    <w:rsid w:val="00613233"/>
    <w:rsid w:val="0061365D"/>
    <w:rsid w:val="00613D0A"/>
    <w:rsid w:val="00613F8C"/>
    <w:rsid w:val="006148B9"/>
    <w:rsid w:val="0061491D"/>
    <w:rsid w:val="00614BFD"/>
    <w:rsid w:val="00614C53"/>
    <w:rsid w:val="00614D39"/>
    <w:rsid w:val="00614EBE"/>
    <w:rsid w:val="006152E4"/>
    <w:rsid w:val="006153BA"/>
    <w:rsid w:val="006156BD"/>
    <w:rsid w:val="0061571A"/>
    <w:rsid w:val="00617DB2"/>
    <w:rsid w:val="0062056D"/>
    <w:rsid w:val="00620BA5"/>
    <w:rsid w:val="0062166F"/>
    <w:rsid w:val="00621777"/>
    <w:rsid w:val="00621A62"/>
    <w:rsid w:val="00622124"/>
    <w:rsid w:val="00622662"/>
    <w:rsid w:val="00622E46"/>
    <w:rsid w:val="0062392B"/>
    <w:rsid w:val="00624087"/>
    <w:rsid w:val="00624233"/>
    <w:rsid w:val="006249B4"/>
    <w:rsid w:val="006255CA"/>
    <w:rsid w:val="006261A7"/>
    <w:rsid w:val="00626252"/>
    <w:rsid w:val="00630544"/>
    <w:rsid w:val="006315F5"/>
    <w:rsid w:val="00631A5E"/>
    <w:rsid w:val="00631BCF"/>
    <w:rsid w:val="0063236B"/>
    <w:rsid w:val="00632533"/>
    <w:rsid w:val="006327F1"/>
    <w:rsid w:val="006329D6"/>
    <w:rsid w:val="006329E5"/>
    <w:rsid w:val="006331D5"/>
    <w:rsid w:val="006333A1"/>
    <w:rsid w:val="006333D7"/>
    <w:rsid w:val="00633914"/>
    <w:rsid w:val="0063442F"/>
    <w:rsid w:val="0063467F"/>
    <w:rsid w:val="006372F0"/>
    <w:rsid w:val="006379E6"/>
    <w:rsid w:val="00642555"/>
    <w:rsid w:val="00642670"/>
    <w:rsid w:val="00642934"/>
    <w:rsid w:val="0064358E"/>
    <w:rsid w:val="00643897"/>
    <w:rsid w:val="00643CA7"/>
    <w:rsid w:val="00644AF5"/>
    <w:rsid w:val="00644C43"/>
    <w:rsid w:val="00644DFB"/>
    <w:rsid w:val="0064648E"/>
    <w:rsid w:val="00650373"/>
    <w:rsid w:val="00650E83"/>
    <w:rsid w:val="0065145C"/>
    <w:rsid w:val="00652578"/>
    <w:rsid w:val="0065348F"/>
    <w:rsid w:val="006534CA"/>
    <w:rsid w:val="0065422E"/>
    <w:rsid w:val="00654C59"/>
    <w:rsid w:val="0065582F"/>
    <w:rsid w:val="006558D4"/>
    <w:rsid w:val="00655DDB"/>
    <w:rsid w:val="00656B56"/>
    <w:rsid w:val="00656F40"/>
    <w:rsid w:val="00656F6A"/>
    <w:rsid w:val="00657720"/>
    <w:rsid w:val="00660612"/>
    <w:rsid w:val="006619F6"/>
    <w:rsid w:val="00662829"/>
    <w:rsid w:val="0066294B"/>
    <w:rsid w:val="00662A14"/>
    <w:rsid w:val="00663D82"/>
    <w:rsid w:val="00664625"/>
    <w:rsid w:val="00665146"/>
    <w:rsid w:val="006651C7"/>
    <w:rsid w:val="00665DC9"/>
    <w:rsid w:val="006668E4"/>
    <w:rsid w:val="006674E0"/>
    <w:rsid w:val="00670288"/>
    <w:rsid w:val="0067091D"/>
    <w:rsid w:val="00670B23"/>
    <w:rsid w:val="00672EAC"/>
    <w:rsid w:val="0067403A"/>
    <w:rsid w:val="00674189"/>
    <w:rsid w:val="00675739"/>
    <w:rsid w:val="00675992"/>
    <w:rsid w:val="006759A4"/>
    <w:rsid w:val="006765DF"/>
    <w:rsid w:val="00676ED6"/>
    <w:rsid w:val="00676FE9"/>
    <w:rsid w:val="00677B90"/>
    <w:rsid w:val="006803A6"/>
    <w:rsid w:val="006811D5"/>
    <w:rsid w:val="006811F2"/>
    <w:rsid w:val="00681B58"/>
    <w:rsid w:val="00682257"/>
    <w:rsid w:val="00682F90"/>
    <w:rsid w:val="00683E68"/>
    <w:rsid w:val="00684CE7"/>
    <w:rsid w:val="006850C7"/>
    <w:rsid w:val="00685397"/>
    <w:rsid w:val="00685432"/>
    <w:rsid w:val="00685AFD"/>
    <w:rsid w:val="00685EB7"/>
    <w:rsid w:val="00686C29"/>
    <w:rsid w:val="006871F1"/>
    <w:rsid w:val="00687A9C"/>
    <w:rsid w:val="00691613"/>
    <w:rsid w:val="006927EB"/>
    <w:rsid w:val="00692CD0"/>
    <w:rsid w:val="00692F21"/>
    <w:rsid w:val="00693342"/>
    <w:rsid w:val="00693399"/>
    <w:rsid w:val="0069371B"/>
    <w:rsid w:val="00693B47"/>
    <w:rsid w:val="00693E8A"/>
    <w:rsid w:val="00693F9B"/>
    <w:rsid w:val="0069425C"/>
    <w:rsid w:val="00694916"/>
    <w:rsid w:val="006952B3"/>
    <w:rsid w:val="00695772"/>
    <w:rsid w:val="006957C5"/>
    <w:rsid w:val="0069630A"/>
    <w:rsid w:val="006966C1"/>
    <w:rsid w:val="006968FD"/>
    <w:rsid w:val="00696E03"/>
    <w:rsid w:val="0069706D"/>
    <w:rsid w:val="006972AE"/>
    <w:rsid w:val="00697D5D"/>
    <w:rsid w:val="00697F1F"/>
    <w:rsid w:val="006A0ECB"/>
    <w:rsid w:val="006A10D2"/>
    <w:rsid w:val="006A2545"/>
    <w:rsid w:val="006A2A88"/>
    <w:rsid w:val="006A4D2D"/>
    <w:rsid w:val="006A5805"/>
    <w:rsid w:val="006A6559"/>
    <w:rsid w:val="006B067A"/>
    <w:rsid w:val="006B0A73"/>
    <w:rsid w:val="006B180C"/>
    <w:rsid w:val="006B1D08"/>
    <w:rsid w:val="006B1DF2"/>
    <w:rsid w:val="006B33E5"/>
    <w:rsid w:val="006B3EB1"/>
    <w:rsid w:val="006B4280"/>
    <w:rsid w:val="006B5017"/>
    <w:rsid w:val="006B5962"/>
    <w:rsid w:val="006B5B9A"/>
    <w:rsid w:val="006B6A28"/>
    <w:rsid w:val="006B7328"/>
    <w:rsid w:val="006B7B8B"/>
    <w:rsid w:val="006C0879"/>
    <w:rsid w:val="006C13CA"/>
    <w:rsid w:val="006C14F8"/>
    <w:rsid w:val="006C186B"/>
    <w:rsid w:val="006C18AC"/>
    <w:rsid w:val="006C2A87"/>
    <w:rsid w:val="006C2F20"/>
    <w:rsid w:val="006C3DD1"/>
    <w:rsid w:val="006C40B9"/>
    <w:rsid w:val="006C4FD6"/>
    <w:rsid w:val="006C72E2"/>
    <w:rsid w:val="006C7A05"/>
    <w:rsid w:val="006C7DD2"/>
    <w:rsid w:val="006D0043"/>
    <w:rsid w:val="006D0F1B"/>
    <w:rsid w:val="006D1089"/>
    <w:rsid w:val="006D1376"/>
    <w:rsid w:val="006D191D"/>
    <w:rsid w:val="006D294F"/>
    <w:rsid w:val="006D2BB0"/>
    <w:rsid w:val="006D450A"/>
    <w:rsid w:val="006D4E1F"/>
    <w:rsid w:val="006D51DA"/>
    <w:rsid w:val="006D53D5"/>
    <w:rsid w:val="006D5ABA"/>
    <w:rsid w:val="006D6215"/>
    <w:rsid w:val="006D6E11"/>
    <w:rsid w:val="006D70CB"/>
    <w:rsid w:val="006D70E8"/>
    <w:rsid w:val="006D7846"/>
    <w:rsid w:val="006D7AA7"/>
    <w:rsid w:val="006D7BE4"/>
    <w:rsid w:val="006E0E86"/>
    <w:rsid w:val="006E1278"/>
    <w:rsid w:val="006E160E"/>
    <w:rsid w:val="006E1A5C"/>
    <w:rsid w:val="006E25D3"/>
    <w:rsid w:val="006E279D"/>
    <w:rsid w:val="006E2B69"/>
    <w:rsid w:val="006E2E9D"/>
    <w:rsid w:val="006E3239"/>
    <w:rsid w:val="006E3447"/>
    <w:rsid w:val="006E393C"/>
    <w:rsid w:val="006E3E80"/>
    <w:rsid w:val="006E3F77"/>
    <w:rsid w:val="006E42E6"/>
    <w:rsid w:val="006E4D55"/>
    <w:rsid w:val="006E543B"/>
    <w:rsid w:val="006E6005"/>
    <w:rsid w:val="006E60DF"/>
    <w:rsid w:val="006E63B5"/>
    <w:rsid w:val="006E693E"/>
    <w:rsid w:val="006E6B62"/>
    <w:rsid w:val="006E6CF4"/>
    <w:rsid w:val="006E7051"/>
    <w:rsid w:val="006E715A"/>
    <w:rsid w:val="006F035E"/>
    <w:rsid w:val="006F0853"/>
    <w:rsid w:val="006F1EB4"/>
    <w:rsid w:val="006F2621"/>
    <w:rsid w:val="006F29E1"/>
    <w:rsid w:val="006F2AAE"/>
    <w:rsid w:val="006F3FC1"/>
    <w:rsid w:val="006F420B"/>
    <w:rsid w:val="006F4350"/>
    <w:rsid w:val="006F473C"/>
    <w:rsid w:val="006F4B2B"/>
    <w:rsid w:val="006F5119"/>
    <w:rsid w:val="006F5C5C"/>
    <w:rsid w:val="006F68B2"/>
    <w:rsid w:val="006F7FA0"/>
    <w:rsid w:val="0070015D"/>
    <w:rsid w:val="00701384"/>
    <w:rsid w:val="00701C4C"/>
    <w:rsid w:val="00701E0F"/>
    <w:rsid w:val="00702D5F"/>
    <w:rsid w:val="007038D5"/>
    <w:rsid w:val="00703FF8"/>
    <w:rsid w:val="00704B81"/>
    <w:rsid w:val="00704F71"/>
    <w:rsid w:val="007052DC"/>
    <w:rsid w:val="00705B30"/>
    <w:rsid w:val="00705D34"/>
    <w:rsid w:val="007075A0"/>
    <w:rsid w:val="00707B03"/>
    <w:rsid w:val="007107F5"/>
    <w:rsid w:val="0071099B"/>
    <w:rsid w:val="00711915"/>
    <w:rsid w:val="00711D77"/>
    <w:rsid w:val="00712291"/>
    <w:rsid w:val="007123BF"/>
    <w:rsid w:val="00712417"/>
    <w:rsid w:val="00712D5F"/>
    <w:rsid w:val="007133A2"/>
    <w:rsid w:val="00713804"/>
    <w:rsid w:val="00713F33"/>
    <w:rsid w:val="0071449A"/>
    <w:rsid w:val="00715CE9"/>
    <w:rsid w:val="00715FF4"/>
    <w:rsid w:val="007168E2"/>
    <w:rsid w:val="007178E5"/>
    <w:rsid w:val="00720E4D"/>
    <w:rsid w:val="00720ECE"/>
    <w:rsid w:val="007214C9"/>
    <w:rsid w:val="00722873"/>
    <w:rsid w:val="007229A5"/>
    <w:rsid w:val="00722BB3"/>
    <w:rsid w:val="007235C1"/>
    <w:rsid w:val="007237DC"/>
    <w:rsid w:val="00725378"/>
    <w:rsid w:val="007257FD"/>
    <w:rsid w:val="00725847"/>
    <w:rsid w:val="007263FC"/>
    <w:rsid w:val="007267D3"/>
    <w:rsid w:val="00726B00"/>
    <w:rsid w:val="007303B0"/>
    <w:rsid w:val="007308C5"/>
    <w:rsid w:val="0073123C"/>
    <w:rsid w:val="00732609"/>
    <w:rsid w:val="0073265C"/>
    <w:rsid w:val="00732825"/>
    <w:rsid w:val="00734D08"/>
    <w:rsid w:val="00734DDD"/>
    <w:rsid w:val="0073515F"/>
    <w:rsid w:val="00735E4E"/>
    <w:rsid w:val="00736275"/>
    <w:rsid w:val="007368F8"/>
    <w:rsid w:val="00736C30"/>
    <w:rsid w:val="00736F7D"/>
    <w:rsid w:val="00736FBA"/>
    <w:rsid w:val="007377BA"/>
    <w:rsid w:val="007413CB"/>
    <w:rsid w:val="00741A60"/>
    <w:rsid w:val="00742948"/>
    <w:rsid w:val="00742988"/>
    <w:rsid w:val="0074467B"/>
    <w:rsid w:val="00744803"/>
    <w:rsid w:val="00744E03"/>
    <w:rsid w:val="00745138"/>
    <w:rsid w:val="00745D29"/>
    <w:rsid w:val="00746495"/>
    <w:rsid w:val="007503A2"/>
    <w:rsid w:val="007507FA"/>
    <w:rsid w:val="00750AAA"/>
    <w:rsid w:val="00750AF2"/>
    <w:rsid w:val="00752CCF"/>
    <w:rsid w:val="007537BB"/>
    <w:rsid w:val="007539E5"/>
    <w:rsid w:val="00754574"/>
    <w:rsid w:val="007553EF"/>
    <w:rsid w:val="00756462"/>
    <w:rsid w:val="00756D5F"/>
    <w:rsid w:val="00757A1D"/>
    <w:rsid w:val="0076040E"/>
    <w:rsid w:val="00761076"/>
    <w:rsid w:val="00761113"/>
    <w:rsid w:val="00761276"/>
    <w:rsid w:val="00762427"/>
    <w:rsid w:val="00763008"/>
    <w:rsid w:val="00763546"/>
    <w:rsid w:val="0076382D"/>
    <w:rsid w:val="00763981"/>
    <w:rsid w:val="00763F24"/>
    <w:rsid w:val="00764488"/>
    <w:rsid w:val="007648F1"/>
    <w:rsid w:val="00764CDC"/>
    <w:rsid w:val="00765321"/>
    <w:rsid w:val="00765DE0"/>
    <w:rsid w:val="0076673E"/>
    <w:rsid w:val="00766992"/>
    <w:rsid w:val="00766CDF"/>
    <w:rsid w:val="00767E14"/>
    <w:rsid w:val="007708EB"/>
    <w:rsid w:val="007720C7"/>
    <w:rsid w:val="007722EB"/>
    <w:rsid w:val="00772526"/>
    <w:rsid w:val="007725F8"/>
    <w:rsid w:val="00772CC5"/>
    <w:rsid w:val="00772D03"/>
    <w:rsid w:val="00773CA5"/>
    <w:rsid w:val="0077560A"/>
    <w:rsid w:val="0077639B"/>
    <w:rsid w:val="007770AC"/>
    <w:rsid w:val="00777158"/>
    <w:rsid w:val="00777479"/>
    <w:rsid w:val="00780085"/>
    <w:rsid w:val="007804AB"/>
    <w:rsid w:val="007807D5"/>
    <w:rsid w:val="00781C12"/>
    <w:rsid w:val="00782225"/>
    <w:rsid w:val="0078479D"/>
    <w:rsid w:val="007849FE"/>
    <w:rsid w:val="00784AB9"/>
    <w:rsid w:val="0078559A"/>
    <w:rsid w:val="0078565A"/>
    <w:rsid w:val="00785799"/>
    <w:rsid w:val="007858AE"/>
    <w:rsid w:val="00786282"/>
    <w:rsid w:val="0078665A"/>
    <w:rsid w:val="00786928"/>
    <w:rsid w:val="00787C25"/>
    <w:rsid w:val="00790EFD"/>
    <w:rsid w:val="007928BA"/>
    <w:rsid w:val="00793055"/>
    <w:rsid w:val="00793287"/>
    <w:rsid w:val="007935C5"/>
    <w:rsid w:val="00793873"/>
    <w:rsid w:val="00793974"/>
    <w:rsid w:val="007942E9"/>
    <w:rsid w:val="00794397"/>
    <w:rsid w:val="0079481B"/>
    <w:rsid w:val="007956A1"/>
    <w:rsid w:val="00795B45"/>
    <w:rsid w:val="00795B69"/>
    <w:rsid w:val="00796008"/>
    <w:rsid w:val="0079633E"/>
    <w:rsid w:val="007A004C"/>
    <w:rsid w:val="007A0109"/>
    <w:rsid w:val="007A07B4"/>
    <w:rsid w:val="007A0E2B"/>
    <w:rsid w:val="007A2A64"/>
    <w:rsid w:val="007A2AD1"/>
    <w:rsid w:val="007A2D9D"/>
    <w:rsid w:val="007A30F9"/>
    <w:rsid w:val="007A4114"/>
    <w:rsid w:val="007A473D"/>
    <w:rsid w:val="007A537A"/>
    <w:rsid w:val="007A5640"/>
    <w:rsid w:val="007A5716"/>
    <w:rsid w:val="007A5BD3"/>
    <w:rsid w:val="007A6B46"/>
    <w:rsid w:val="007B06EA"/>
    <w:rsid w:val="007B0F07"/>
    <w:rsid w:val="007B1B4D"/>
    <w:rsid w:val="007B24A4"/>
    <w:rsid w:val="007B2AD4"/>
    <w:rsid w:val="007B3271"/>
    <w:rsid w:val="007B353E"/>
    <w:rsid w:val="007B3788"/>
    <w:rsid w:val="007B5103"/>
    <w:rsid w:val="007B56BA"/>
    <w:rsid w:val="007B56EC"/>
    <w:rsid w:val="007B5B33"/>
    <w:rsid w:val="007B5B64"/>
    <w:rsid w:val="007B5EDF"/>
    <w:rsid w:val="007B68A2"/>
    <w:rsid w:val="007B6AD5"/>
    <w:rsid w:val="007C0A90"/>
    <w:rsid w:val="007C1D66"/>
    <w:rsid w:val="007C1E00"/>
    <w:rsid w:val="007C2FCB"/>
    <w:rsid w:val="007C429E"/>
    <w:rsid w:val="007C48D2"/>
    <w:rsid w:val="007C5566"/>
    <w:rsid w:val="007C5B00"/>
    <w:rsid w:val="007D0C00"/>
    <w:rsid w:val="007D1048"/>
    <w:rsid w:val="007D1909"/>
    <w:rsid w:val="007D196A"/>
    <w:rsid w:val="007D2663"/>
    <w:rsid w:val="007D2F34"/>
    <w:rsid w:val="007D34FD"/>
    <w:rsid w:val="007D4BA4"/>
    <w:rsid w:val="007D4C21"/>
    <w:rsid w:val="007D5081"/>
    <w:rsid w:val="007D532D"/>
    <w:rsid w:val="007D59D5"/>
    <w:rsid w:val="007D6812"/>
    <w:rsid w:val="007D6C6B"/>
    <w:rsid w:val="007D7332"/>
    <w:rsid w:val="007D74C9"/>
    <w:rsid w:val="007D7508"/>
    <w:rsid w:val="007D77FC"/>
    <w:rsid w:val="007E06E1"/>
    <w:rsid w:val="007E0DF6"/>
    <w:rsid w:val="007E0E94"/>
    <w:rsid w:val="007E20BE"/>
    <w:rsid w:val="007E34BD"/>
    <w:rsid w:val="007E37D6"/>
    <w:rsid w:val="007E4235"/>
    <w:rsid w:val="007E42B6"/>
    <w:rsid w:val="007E4701"/>
    <w:rsid w:val="007E514F"/>
    <w:rsid w:val="007E57E6"/>
    <w:rsid w:val="007E78D7"/>
    <w:rsid w:val="007F0EFE"/>
    <w:rsid w:val="007F0F16"/>
    <w:rsid w:val="007F1F9D"/>
    <w:rsid w:val="007F35E9"/>
    <w:rsid w:val="007F3CC4"/>
    <w:rsid w:val="007F4CD0"/>
    <w:rsid w:val="007F521F"/>
    <w:rsid w:val="007F5459"/>
    <w:rsid w:val="007F5EF5"/>
    <w:rsid w:val="007F6034"/>
    <w:rsid w:val="007F6756"/>
    <w:rsid w:val="007F7117"/>
    <w:rsid w:val="007F78E4"/>
    <w:rsid w:val="0080005D"/>
    <w:rsid w:val="0080154E"/>
    <w:rsid w:val="008021CD"/>
    <w:rsid w:val="0080329A"/>
    <w:rsid w:val="008047D3"/>
    <w:rsid w:val="008052B4"/>
    <w:rsid w:val="008055A6"/>
    <w:rsid w:val="00806058"/>
    <w:rsid w:val="00806BEF"/>
    <w:rsid w:val="00807214"/>
    <w:rsid w:val="00807658"/>
    <w:rsid w:val="00807972"/>
    <w:rsid w:val="0081092F"/>
    <w:rsid w:val="0081123B"/>
    <w:rsid w:val="0081125E"/>
    <w:rsid w:val="008114FF"/>
    <w:rsid w:val="008118DE"/>
    <w:rsid w:val="00811C72"/>
    <w:rsid w:val="008121F0"/>
    <w:rsid w:val="00812673"/>
    <w:rsid w:val="008128C1"/>
    <w:rsid w:val="00812C8D"/>
    <w:rsid w:val="00813D0B"/>
    <w:rsid w:val="00813FC8"/>
    <w:rsid w:val="00814117"/>
    <w:rsid w:val="008143DC"/>
    <w:rsid w:val="00814BEB"/>
    <w:rsid w:val="00815413"/>
    <w:rsid w:val="00815C60"/>
    <w:rsid w:val="008162B1"/>
    <w:rsid w:val="00816503"/>
    <w:rsid w:val="00816B4F"/>
    <w:rsid w:val="00817D77"/>
    <w:rsid w:val="008206BE"/>
    <w:rsid w:val="00820910"/>
    <w:rsid w:val="00820D34"/>
    <w:rsid w:val="008218C1"/>
    <w:rsid w:val="0082332D"/>
    <w:rsid w:val="00823682"/>
    <w:rsid w:val="00823915"/>
    <w:rsid w:val="00824050"/>
    <w:rsid w:val="00824424"/>
    <w:rsid w:val="008244D8"/>
    <w:rsid w:val="00824F72"/>
    <w:rsid w:val="00824F76"/>
    <w:rsid w:val="008250F5"/>
    <w:rsid w:val="00825A4C"/>
    <w:rsid w:val="00825B32"/>
    <w:rsid w:val="00825C53"/>
    <w:rsid w:val="00825E90"/>
    <w:rsid w:val="00825FFE"/>
    <w:rsid w:val="00826532"/>
    <w:rsid w:val="0082685A"/>
    <w:rsid w:val="00830531"/>
    <w:rsid w:val="00830611"/>
    <w:rsid w:val="008306C6"/>
    <w:rsid w:val="008317A3"/>
    <w:rsid w:val="0083339A"/>
    <w:rsid w:val="00833F85"/>
    <w:rsid w:val="00834574"/>
    <w:rsid w:val="00834F89"/>
    <w:rsid w:val="00834FA5"/>
    <w:rsid w:val="0083609C"/>
    <w:rsid w:val="008363D7"/>
    <w:rsid w:val="0083664E"/>
    <w:rsid w:val="00841D69"/>
    <w:rsid w:val="00842E5B"/>
    <w:rsid w:val="00843263"/>
    <w:rsid w:val="00844AD0"/>
    <w:rsid w:val="008462FA"/>
    <w:rsid w:val="008470C2"/>
    <w:rsid w:val="0084744F"/>
    <w:rsid w:val="0085016C"/>
    <w:rsid w:val="0085040A"/>
    <w:rsid w:val="00850A5E"/>
    <w:rsid w:val="00850E63"/>
    <w:rsid w:val="00851837"/>
    <w:rsid w:val="00851B8B"/>
    <w:rsid w:val="00852291"/>
    <w:rsid w:val="0085248A"/>
    <w:rsid w:val="00852C79"/>
    <w:rsid w:val="00853E77"/>
    <w:rsid w:val="008540B0"/>
    <w:rsid w:val="00854B30"/>
    <w:rsid w:val="008552C6"/>
    <w:rsid w:val="008554DA"/>
    <w:rsid w:val="008557E2"/>
    <w:rsid w:val="00855B0F"/>
    <w:rsid w:val="00855EBF"/>
    <w:rsid w:val="0085652C"/>
    <w:rsid w:val="008565BF"/>
    <w:rsid w:val="0085670D"/>
    <w:rsid w:val="00856A3C"/>
    <w:rsid w:val="00856ACC"/>
    <w:rsid w:val="00856ADB"/>
    <w:rsid w:val="00857934"/>
    <w:rsid w:val="0086034E"/>
    <w:rsid w:val="00861093"/>
    <w:rsid w:val="008611A4"/>
    <w:rsid w:val="0086221B"/>
    <w:rsid w:val="008623BD"/>
    <w:rsid w:val="00863220"/>
    <w:rsid w:val="008636D1"/>
    <w:rsid w:val="0086383E"/>
    <w:rsid w:val="00863898"/>
    <w:rsid w:val="00863936"/>
    <w:rsid w:val="008644C2"/>
    <w:rsid w:val="00865667"/>
    <w:rsid w:val="00865DF6"/>
    <w:rsid w:val="00865E90"/>
    <w:rsid w:val="00865ECF"/>
    <w:rsid w:val="00865FFB"/>
    <w:rsid w:val="00866CE1"/>
    <w:rsid w:val="00867C1C"/>
    <w:rsid w:val="008702AF"/>
    <w:rsid w:val="00870A53"/>
    <w:rsid w:val="00870E28"/>
    <w:rsid w:val="00870E73"/>
    <w:rsid w:val="008716F1"/>
    <w:rsid w:val="00872492"/>
    <w:rsid w:val="00872612"/>
    <w:rsid w:val="0087267C"/>
    <w:rsid w:val="00872917"/>
    <w:rsid w:val="008738B5"/>
    <w:rsid w:val="00874085"/>
    <w:rsid w:val="0087596A"/>
    <w:rsid w:val="00875D02"/>
    <w:rsid w:val="0087668F"/>
    <w:rsid w:val="008767CD"/>
    <w:rsid w:val="00876EAD"/>
    <w:rsid w:val="008773A2"/>
    <w:rsid w:val="008775B7"/>
    <w:rsid w:val="0087761F"/>
    <w:rsid w:val="00877F55"/>
    <w:rsid w:val="00880318"/>
    <w:rsid w:val="00880A41"/>
    <w:rsid w:val="00881196"/>
    <w:rsid w:val="00881EC5"/>
    <w:rsid w:val="00882945"/>
    <w:rsid w:val="00882B52"/>
    <w:rsid w:val="008835CD"/>
    <w:rsid w:val="00884262"/>
    <w:rsid w:val="00884B89"/>
    <w:rsid w:val="00884CC8"/>
    <w:rsid w:val="00886CC7"/>
    <w:rsid w:val="0088757A"/>
    <w:rsid w:val="00887B4E"/>
    <w:rsid w:val="00887D17"/>
    <w:rsid w:val="00890EE5"/>
    <w:rsid w:val="008923FA"/>
    <w:rsid w:val="008924E6"/>
    <w:rsid w:val="008924F0"/>
    <w:rsid w:val="00893660"/>
    <w:rsid w:val="00893D40"/>
    <w:rsid w:val="008940B9"/>
    <w:rsid w:val="008942B0"/>
    <w:rsid w:val="00896EF8"/>
    <w:rsid w:val="0089709B"/>
    <w:rsid w:val="008977F0"/>
    <w:rsid w:val="0089793B"/>
    <w:rsid w:val="00897A17"/>
    <w:rsid w:val="00897B4B"/>
    <w:rsid w:val="00897EE5"/>
    <w:rsid w:val="008A0D89"/>
    <w:rsid w:val="008A12DB"/>
    <w:rsid w:val="008A13B5"/>
    <w:rsid w:val="008A233C"/>
    <w:rsid w:val="008A2CA7"/>
    <w:rsid w:val="008A33B4"/>
    <w:rsid w:val="008A3526"/>
    <w:rsid w:val="008A353E"/>
    <w:rsid w:val="008A39B6"/>
    <w:rsid w:val="008A3AD2"/>
    <w:rsid w:val="008A3ECC"/>
    <w:rsid w:val="008A456F"/>
    <w:rsid w:val="008A4F58"/>
    <w:rsid w:val="008A56EF"/>
    <w:rsid w:val="008A570F"/>
    <w:rsid w:val="008A597F"/>
    <w:rsid w:val="008A6628"/>
    <w:rsid w:val="008A6C2E"/>
    <w:rsid w:val="008A781C"/>
    <w:rsid w:val="008B25C8"/>
    <w:rsid w:val="008B4355"/>
    <w:rsid w:val="008B478B"/>
    <w:rsid w:val="008B494E"/>
    <w:rsid w:val="008B5065"/>
    <w:rsid w:val="008B50AA"/>
    <w:rsid w:val="008B58FA"/>
    <w:rsid w:val="008B6EEF"/>
    <w:rsid w:val="008B71F9"/>
    <w:rsid w:val="008B79BB"/>
    <w:rsid w:val="008B79FD"/>
    <w:rsid w:val="008C07B2"/>
    <w:rsid w:val="008C1079"/>
    <w:rsid w:val="008C1703"/>
    <w:rsid w:val="008C2017"/>
    <w:rsid w:val="008C2231"/>
    <w:rsid w:val="008C2630"/>
    <w:rsid w:val="008C2651"/>
    <w:rsid w:val="008C26BC"/>
    <w:rsid w:val="008C3380"/>
    <w:rsid w:val="008C3ACF"/>
    <w:rsid w:val="008C3E3E"/>
    <w:rsid w:val="008C53D9"/>
    <w:rsid w:val="008C56F5"/>
    <w:rsid w:val="008C5CC8"/>
    <w:rsid w:val="008C5F14"/>
    <w:rsid w:val="008C76F7"/>
    <w:rsid w:val="008C7E86"/>
    <w:rsid w:val="008D110E"/>
    <w:rsid w:val="008D1382"/>
    <w:rsid w:val="008D258C"/>
    <w:rsid w:val="008D281C"/>
    <w:rsid w:val="008D449D"/>
    <w:rsid w:val="008D4CC9"/>
    <w:rsid w:val="008D5735"/>
    <w:rsid w:val="008D5BF2"/>
    <w:rsid w:val="008D609A"/>
    <w:rsid w:val="008D60EC"/>
    <w:rsid w:val="008D62DC"/>
    <w:rsid w:val="008D68CD"/>
    <w:rsid w:val="008D6AAF"/>
    <w:rsid w:val="008D6E19"/>
    <w:rsid w:val="008D7D82"/>
    <w:rsid w:val="008E03BC"/>
    <w:rsid w:val="008E13A1"/>
    <w:rsid w:val="008E2454"/>
    <w:rsid w:val="008E2835"/>
    <w:rsid w:val="008E2E6C"/>
    <w:rsid w:val="008E2EA3"/>
    <w:rsid w:val="008E3C31"/>
    <w:rsid w:val="008E3D9E"/>
    <w:rsid w:val="008E6007"/>
    <w:rsid w:val="008E6E24"/>
    <w:rsid w:val="008E7FCB"/>
    <w:rsid w:val="008F1331"/>
    <w:rsid w:val="008F28BD"/>
    <w:rsid w:val="008F4190"/>
    <w:rsid w:val="008F5237"/>
    <w:rsid w:val="008F58CE"/>
    <w:rsid w:val="008F5922"/>
    <w:rsid w:val="008F6486"/>
    <w:rsid w:val="008F70DC"/>
    <w:rsid w:val="008F7F79"/>
    <w:rsid w:val="0090009B"/>
    <w:rsid w:val="00900F67"/>
    <w:rsid w:val="0090277C"/>
    <w:rsid w:val="00904240"/>
    <w:rsid w:val="0090466C"/>
    <w:rsid w:val="00904892"/>
    <w:rsid w:val="00905008"/>
    <w:rsid w:val="00905B1D"/>
    <w:rsid w:val="00905C60"/>
    <w:rsid w:val="009061FB"/>
    <w:rsid w:val="00906CC9"/>
    <w:rsid w:val="00906EFE"/>
    <w:rsid w:val="009076FB"/>
    <w:rsid w:val="0090776C"/>
    <w:rsid w:val="00907855"/>
    <w:rsid w:val="00912344"/>
    <w:rsid w:val="00912741"/>
    <w:rsid w:val="00912FAD"/>
    <w:rsid w:val="00915252"/>
    <w:rsid w:val="00915A08"/>
    <w:rsid w:val="00915A90"/>
    <w:rsid w:val="00916263"/>
    <w:rsid w:val="009167F4"/>
    <w:rsid w:val="00916A96"/>
    <w:rsid w:val="0091720D"/>
    <w:rsid w:val="009200C9"/>
    <w:rsid w:val="009208FA"/>
    <w:rsid w:val="00920C1F"/>
    <w:rsid w:val="009229E2"/>
    <w:rsid w:val="00922D56"/>
    <w:rsid w:val="00923545"/>
    <w:rsid w:val="0092366E"/>
    <w:rsid w:val="00923769"/>
    <w:rsid w:val="00923BCE"/>
    <w:rsid w:val="00923D52"/>
    <w:rsid w:val="00923EB5"/>
    <w:rsid w:val="00924F5E"/>
    <w:rsid w:val="00925E36"/>
    <w:rsid w:val="00927D2D"/>
    <w:rsid w:val="0093010A"/>
    <w:rsid w:val="00931397"/>
    <w:rsid w:val="0093182A"/>
    <w:rsid w:val="00932281"/>
    <w:rsid w:val="009337FF"/>
    <w:rsid w:val="009343AB"/>
    <w:rsid w:val="0093442B"/>
    <w:rsid w:val="009345E4"/>
    <w:rsid w:val="009353D2"/>
    <w:rsid w:val="00935815"/>
    <w:rsid w:val="009359FC"/>
    <w:rsid w:val="00935BDF"/>
    <w:rsid w:val="00936166"/>
    <w:rsid w:val="009370EB"/>
    <w:rsid w:val="0093727D"/>
    <w:rsid w:val="00937BAD"/>
    <w:rsid w:val="00937E18"/>
    <w:rsid w:val="009409AB"/>
    <w:rsid w:val="00940C2C"/>
    <w:rsid w:val="009416AA"/>
    <w:rsid w:val="00941972"/>
    <w:rsid w:val="00942349"/>
    <w:rsid w:val="009433BB"/>
    <w:rsid w:val="009440D1"/>
    <w:rsid w:val="00944B45"/>
    <w:rsid w:val="00944B84"/>
    <w:rsid w:val="00944CCC"/>
    <w:rsid w:val="00944F78"/>
    <w:rsid w:val="0094537D"/>
    <w:rsid w:val="00945EAB"/>
    <w:rsid w:val="009469BB"/>
    <w:rsid w:val="00946B44"/>
    <w:rsid w:val="00946B8B"/>
    <w:rsid w:val="009506BF"/>
    <w:rsid w:val="00950866"/>
    <w:rsid w:val="0095128F"/>
    <w:rsid w:val="00951461"/>
    <w:rsid w:val="0095163A"/>
    <w:rsid w:val="009522A6"/>
    <w:rsid w:val="0095252F"/>
    <w:rsid w:val="00952EAE"/>
    <w:rsid w:val="00953D07"/>
    <w:rsid w:val="009544C0"/>
    <w:rsid w:val="00954D81"/>
    <w:rsid w:val="009555A1"/>
    <w:rsid w:val="00955FE1"/>
    <w:rsid w:val="00956F20"/>
    <w:rsid w:val="0095745D"/>
    <w:rsid w:val="009575C4"/>
    <w:rsid w:val="00957BCB"/>
    <w:rsid w:val="009604E4"/>
    <w:rsid w:val="00960949"/>
    <w:rsid w:val="00962812"/>
    <w:rsid w:val="00962B93"/>
    <w:rsid w:val="00962DBA"/>
    <w:rsid w:val="009633F3"/>
    <w:rsid w:val="00965DD9"/>
    <w:rsid w:val="0096641C"/>
    <w:rsid w:val="00967959"/>
    <w:rsid w:val="00967E76"/>
    <w:rsid w:val="0097068D"/>
    <w:rsid w:val="009711CF"/>
    <w:rsid w:val="009725DC"/>
    <w:rsid w:val="00973C38"/>
    <w:rsid w:val="00973E97"/>
    <w:rsid w:val="00974436"/>
    <w:rsid w:val="00974A2F"/>
    <w:rsid w:val="00975B43"/>
    <w:rsid w:val="00975BD2"/>
    <w:rsid w:val="009763AC"/>
    <w:rsid w:val="009763DD"/>
    <w:rsid w:val="00980C2A"/>
    <w:rsid w:val="00980D49"/>
    <w:rsid w:val="00980E20"/>
    <w:rsid w:val="009814B0"/>
    <w:rsid w:val="009822C4"/>
    <w:rsid w:val="00982475"/>
    <w:rsid w:val="00982657"/>
    <w:rsid w:val="0098342A"/>
    <w:rsid w:val="00983560"/>
    <w:rsid w:val="0098412B"/>
    <w:rsid w:val="00984A64"/>
    <w:rsid w:val="00985970"/>
    <w:rsid w:val="009869EC"/>
    <w:rsid w:val="00987015"/>
    <w:rsid w:val="009873E8"/>
    <w:rsid w:val="00987513"/>
    <w:rsid w:val="009878FD"/>
    <w:rsid w:val="00987B94"/>
    <w:rsid w:val="00987ECD"/>
    <w:rsid w:val="00990DD8"/>
    <w:rsid w:val="0099168D"/>
    <w:rsid w:val="00991C92"/>
    <w:rsid w:val="0099362A"/>
    <w:rsid w:val="009936DD"/>
    <w:rsid w:val="00994562"/>
    <w:rsid w:val="00994C98"/>
    <w:rsid w:val="0099574A"/>
    <w:rsid w:val="00996C1E"/>
    <w:rsid w:val="00997278"/>
    <w:rsid w:val="009978FB"/>
    <w:rsid w:val="00997BAC"/>
    <w:rsid w:val="009A01DE"/>
    <w:rsid w:val="009A09C6"/>
    <w:rsid w:val="009A0CFE"/>
    <w:rsid w:val="009A122C"/>
    <w:rsid w:val="009A24AC"/>
    <w:rsid w:val="009A24F5"/>
    <w:rsid w:val="009A34E7"/>
    <w:rsid w:val="009A4F9F"/>
    <w:rsid w:val="009A54C9"/>
    <w:rsid w:val="009A5A71"/>
    <w:rsid w:val="009A6760"/>
    <w:rsid w:val="009A6A97"/>
    <w:rsid w:val="009A6DD0"/>
    <w:rsid w:val="009A77E7"/>
    <w:rsid w:val="009B003D"/>
    <w:rsid w:val="009B0B9E"/>
    <w:rsid w:val="009B2340"/>
    <w:rsid w:val="009B2E2B"/>
    <w:rsid w:val="009B357E"/>
    <w:rsid w:val="009B3AD4"/>
    <w:rsid w:val="009B3AFC"/>
    <w:rsid w:val="009B3C43"/>
    <w:rsid w:val="009B418E"/>
    <w:rsid w:val="009B4EE0"/>
    <w:rsid w:val="009B4FCA"/>
    <w:rsid w:val="009B537F"/>
    <w:rsid w:val="009B5B0E"/>
    <w:rsid w:val="009B6139"/>
    <w:rsid w:val="009B679F"/>
    <w:rsid w:val="009B7001"/>
    <w:rsid w:val="009B708D"/>
    <w:rsid w:val="009B70D1"/>
    <w:rsid w:val="009B72DC"/>
    <w:rsid w:val="009B7B60"/>
    <w:rsid w:val="009B7BA1"/>
    <w:rsid w:val="009C0CB9"/>
    <w:rsid w:val="009C114C"/>
    <w:rsid w:val="009C1BAC"/>
    <w:rsid w:val="009C1CAF"/>
    <w:rsid w:val="009C3718"/>
    <w:rsid w:val="009C373B"/>
    <w:rsid w:val="009C379F"/>
    <w:rsid w:val="009C461D"/>
    <w:rsid w:val="009C56D3"/>
    <w:rsid w:val="009C6388"/>
    <w:rsid w:val="009C6425"/>
    <w:rsid w:val="009C6538"/>
    <w:rsid w:val="009C65D8"/>
    <w:rsid w:val="009C6E26"/>
    <w:rsid w:val="009C76D6"/>
    <w:rsid w:val="009C7C15"/>
    <w:rsid w:val="009D0109"/>
    <w:rsid w:val="009D1497"/>
    <w:rsid w:val="009D214F"/>
    <w:rsid w:val="009D2478"/>
    <w:rsid w:val="009D379D"/>
    <w:rsid w:val="009D43D8"/>
    <w:rsid w:val="009D4820"/>
    <w:rsid w:val="009D4A3A"/>
    <w:rsid w:val="009D4C29"/>
    <w:rsid w:val="009D50F8"/>
    <w:rsid w:val="009D5BD9"/>
    <w:rsid w:val="009D600C"/>
    <w:rsid w:val="009D640C"/>
    <w:rsid w:val="009E00D6"/>
    <w:rsid w:val="009E0565"/>
    <w:rsid w:val="009E06AB"/>
    <w:rsid w:val="009E094A"/>
    <w:rsid w:val="009E1180"/>
    <w:rsid w:val="009E1967"/>
    <w:rsid w:val="009E2415"/>
    <w:rsid w:val="009E2445"/>
    <w:rsid w:val="009E26DA"/>
    <w:rsid w:val="009E37BD"/>
    <w:rsid w:val="009E4294"/>
    <w:rsid w:val="009E4826"/>
    <w:rsid w:val="009E5063"/>
    <w:rsid w:val="009E5253"/>
    <w:rsid w:val="009E52FE"/>
    <w:rsid w:val="009E5D34"/>
    <w:rsid w:val="009F09A4"/>
    <w:rsid w:val="009F18AA"/>
    <w:rsid w:val="009F1C84"/>
    <w:rsid w:val="009F1F7F"/>
    <w:rsid w:val="009F2149"/>
    <w:rsid w:val="009F2C9C"/>
    <w:rsid w:val="009F3486"/>
    <w:rsid w:val="009F4479"/>
    <w:rsid w:val="009F50BE"/>
    <w:rsid w:val="009F54DD"/>
    <w:rsid w:val="009F5827"/>
    <w:rsid w:val="009F5902"/>
    <w:rsid w:val="009F5A46"/>
    <w:rsid w:val="009F66CD"/>
    <w:rsid w:val="009F69AD"/>
    <w:rsid w:val="009F7685"/>
    <w:rsid w:val="009F78F7"/>
    <w:rsid w:val="00A0088F"/>
    <w:rsid w:val="00A00CE1"/>
    <w:rsid w:val="00A01103"/>
    <w:rsid w:val="00A02127"/>
    <w:rsid w:val="00A032DF"/>
    <w:rsid w:val="00A03457"/>
    <w:rsid w:val="00A035F3"/>
    <w:rsid w:val="00A03951"/>
    <w:rsid w:val="00A03A05"/>
    <w:rsid w:val="00A0593D"/>
    <w:rsid w:val="00A05FA6"/>
    <w:rsid w:val="00A06073"/>
    <w:rsid w:val="00A06D64"/>
    <w:rsid w:val="00A127A2"/>
    <w:rsid w:val="00A13B1A"/>
    <w:rsid w:val="00A13C4D"/>
    <w:rsid w:val="00A1481B"/>
    <w:rsid w:val="00A148E1"/>
    <w:rsid w:val="00A15342"/>
    <w:rsid w:val="00A15349"/>
    <w:rsid w:val="00A154E0"/>
    <w:rsid w:val="00A16179"/>
    <w:rsid w:val="00A16634"/>
    <w:rsid w:val="00A17F06"/>
    <w:rsid w:val="00A20492"/>
    <w:rsid w:val="00A2063F"/>
    <w:rsid w:val="00A2108B"/>
    <w:rsid w:val="00A2116F"/>
    <w:rsid w:val="00A211D7"/>
    <w:rsid w:val="00A215BF"/>
    <w:rsid w:val="00A219AA"/>
    <w:rsid w:val="00A22D25"/>
    <w:rsid w:val="00A24527"/>
    <w:rsid w:val="00A245E4"/>
    <w:rsid w:val="00A25C39"/>
    <w:rsid w:val="00A26861"/>
    <w:rsid w:val="00A27187"/>
    <w:rsid w:val="00A3031C"/>
    <w:rsid w:val="00A31865"/>
    <w:rsid w:val="00A31DB3"/>
    <w:rsid w:val="00A3268D"/>
    <w:rsid w:val="00A32C1C"/>
    <w:rsid w:val="00A32EB5"/>
    <w:rsid w:val="00A33FA6"/>
    <w:rsid w:val="00A34280"/>
    <w:rsid w:val="00A34783"/>
    <w:rsid w:val="00A34A3C"/>
    <w:rsid w:val="00A3530A"/>
    <w:rsid w:val="00A35611"/>
    <w:rsid w:val="00A3580B"/>
    <w:rsid w:val="00A3616F"/>
    <w:rsid w:val="00A36490"/>
    <w:rsid w:val="00A3699E"/>
    <w:rsid w:val="00A36B39"/>
    <w:rsid w:val="00A36E26"/>
    <w:rsid w:val="00A40507"/>
    <w:rsid w:val="00A410C8"/>
    <w:rsid w:val="00A41D20"/>
    <w:rsid w:val="00A41F2A"/>
    <w:rsid w:val="00A421A2"/>
    <w:rsid w:val="00A4314B"/>
    <w:rsid w:val="00A4382C"/>
    <w:rsid w:val="00A44273"/>
    <w:rsid w:val="00A4443A"/>
    <w:rsid w:val="00A4484A"/>
    <w:rsid w:val="00A44B5C"/>
    <w:rsid w:val="00A471B5"/>
    <w:rsid w:val="00A474B2"/>
    <w:rsid w:val="00A47518"/>
    <w:rsid w:val="00A51F5E"/>
    <w:rsid w:val="00A51FD0"/>
    <w:rsid w:val="00A524F7"/>
    <w:rsid w:val="00A5259C"/>
    <w:rsid w:val="00A52693"/>
    <w:rsid w:val="00A54982"/>
    <w:rsid w:val="00A549E2"/>
    <w:rsid w:val="00A54D7B"/>
    <w:rsid w:val="00A55E69"/>
    <w:rsid w:val="00A56E88"/>
    <w:rsid w:val="00A61234"/>
    <w:rsid w:val="00A61C26"/>
    <w:rsid w:val="00A6293E"/>
    <w:rsid w:val="00A648A3"/>
    <w:rsid w:val="00A6491A"/>
    <w:rsid w:val="00A6581E"/>
    <w:rsid w:val="00A668FB"/>
    <w:rsid w:val="00A66BC2"/>
    <w:rsid w:val="00A70307"/>
    <w:rsid w:val="00A71989"/>
    <w:rsid w:val="00A73C08"/>
    <w:rsid w:val="00A73DC8"/>
    <w:rsid w:val="00A73F1A"/>
    <w:rsid w:val="00A73F90"/>
    <w:rsid w:val="00A746AF"/>
    <w:rsid w:val="00A75F59"/>
    <w:rsid w:val="00A76264"/>
    <w:rsid w:val="00A765D3"/>
    <w:rsid w:val="00A76B0F"/>
    <w:rsid w:val="00A803C9"/>
    <w:rsid w:val="00A8056C"/>
    <w:rsid w:val="00A80CC2"/>
    <w:rsid w:val="00A8201B"/>
    <w:rsid w:val="00A8295A"/>
    <w:rsid w:val="00A82C7D"/>
    <w:rsid w:val="00A83180"/>
    <w:rsid w:val="00A83584"/>
    <w:rsid w:val="00A83895"/>
    <w:rsid w:val="00A85EE7"/>
    <w:rsid w:val="00A85F15"/>
    <w:rsid w:val="00A863E2"/>
    <w:rsid w:val="00A869B3"/>
    <w:rsid w:val="00A901BD"/>
    <w:rsid w:val="00A90B3A"/>
    <w:rsid w:val="00A91CCC"/>
    <w:rsid w:val="00A91FD3"/>
    <w:rsid w:val="00A921E2"/>
    <w:rsid w:val="00A922B8"/>
    <w:rsid w:val="00A929A0"/>
    <w:rsid w:val="00A92B4E"/>
    <w:rsid w:val="00A92BA0"/>
    <w:rsid w:val="00A93232"/>
    <w:rsid w:val="00A9373F"/>
    <w:rsid w:val="00A93ADF"/>
    <w:rsid w:val="00A944CC"/>
    <w:rsid w:val="00A94F9A"/>
    <w:rsid w:val="00A952DA"/>
    <w:rsid w:val="00A9547B"/>
    <w:rsid w:val="00A95EC7"/>
    <w:rsid w:val="00A96E5F"/>
    <w:rsid w:val="00A97667"/>
    <w:rsid w:val="00A978A7"/>
    <w:rsid w:val="00AA01B3"/>
    <w:rsid w:val="00AA0B3A"/>
    <w:rsid w:val="00AA0D0A"/>
    <w:rsid w:val="00AA0E71"/>
    <w:rsid w:val="00AA172B"/>
    <w:rsid w:val="00AA1F3D"/>
    <w:rsid w:val="00AA1FCE"/>
    <w:rsid w:val="00AA2E1F"/>
    <w:rsid w:val="00AA302A"/>
    <w:rsid w:val="00AA51D0"/>
    <w:rsid w:val="00AA5AD3"/>
    <w:rsid w:val="00AA6185"/>
    <w:rsid w:val="00AA6968"/>
    <w:rsid w:val="00AA7C3D"/>
    <w:rsid w:val="00AB0644"/>
    <w:rsid w:val="00AB15D8"/>
    <w:rsid w:val="00AB1C4E"/>
    <w:rsid w:val="00AB1EBE"/>
    <w:rsid w:val="00AB2C8A"/>
    <w:rsid w:val="00AB2DD7"/>
    <w:rsid w:val="00AB391E"/>
    <w:rsid w:val="00AB3EF4"/>
    <w:rsid w:val="00AB3F08"/>
    <w:rsid w:val="00AB48CA"/>
    <w:rsid w:val="00AB4907"/>
    <w:rsid w:val="00AB556A"/>
    <w:rsid w:val="00AB58D6"/>
    <w:rsid w:val="00AB5C32"/>
    <w:rsid w:val="00AB686D"/>
    <w:rsid w:val="00AB77CF"/>
    <w:rsid w:val="00AB7915"/>
    <w:rsid w:val="00AB79F1"/>
    <w:rsid w:val="00AB7F27"/>
    <w:rsid w:val="00AC0732"/>
    <w:rsid w:val="00AC0F76"/>
    <w:rsid w:val="00AC1A2E"/>
    <w:rsid w:val="00AC1EC9"/>
    <w:rsid w:val="00AC21F2"/>
    <w:rsid w:val="00AC2EAD"/>
    <w:rsid w:val="00AC31F3"/>
    <w:rsid w:val="00AC3BED"/>
    <w:rsid w:val="00AC3D9C"/>
    <w:rsid w:val="00AC58B5"/>
    <w:rsid w:val="00AC65F7"/>
    <w:rsid w:val="00AC6D62"/>
    <w:rsid w:val="00AC7881"/>
    <w:rsid w:val="00AC79AE"/>
    <w:rsid w:val="00AC7E66"/>
    <w:rsid w:val="00AC7E68"/>
    <w:rsid w:val="00AD00EC"/>
    <w:rsid w:val="00AD0BBE"/>
    <w:rsid w:val="00AD0C12"/>
    <w:rsid w:val="00AD0C91"/>
    <w:rsid w:val="00AD0CD6"/>
    <w:rsid w:val="00AD1186"/>
    <w:rsid w:val="00AD190F"/>
    <w:rsid w:val="00AD2163"/>
    <w:rsid w:val="00AD2574"/>
    <w:rsid w:val="00AD32B2"/>
    <w:rsid w:val="00AD3DB3"/>
    <w:rsid w:val="00AD4554"/>
    <w:rsid w:val="00AD4640"/>
    <w:rsid w:val="00AD4F54"/>
    <w:rsid w:val="00AD5058"/>
    <w:rsid w:val="00AD513E"/>
    <w:rsid w:val="00AD5405"/>
    <w:rsid w:val="00AD6486"/>
    <w:rsid w:val="00AD6A3B"/>
    <w:rsid w:val="00AD750B"/>
    <w:rsid w:val="00AE0225"/>
    <w:rsid w:val="00AE139F"/>
    <w:rsid w:val="00AE2066"/>
    <w:rsid w:val="00AE27FE"/>
    <w:rsid w:val="00AE2888"/>
    <w:rsid w:val="00AE2DDF"/>
    <w:rsid w:val="00AE3046"/>
    <w:rsid w:val="00AE32E5"/>
    <w:rsid w:val="00AE48DC"/>
    <w:rsid w:val="00AE5C60"/>
    <w:rsid w:val="00AE6147"/>
    <w:rsid w:val="00AE6985"/>
    <w:rsid w:val="00AE752A"/>
    <w:rsid w:val="00AF0379"/>
    <w:rsid w:val="00AF1E73"/>
    <w:rsid w:val="00AF2225"/>
    <w:rsid w:val="00AF2A58"/>
    <w:rsid w:val="00AF3744"/>
    <w:rsid w:val="00AF4017"/>
    <w:rsid w:val="00AF5122"/>
    <w:rsid w:val="00AF5B03"/>
    <w:rsid w:val="00AF6503"/>
    <w:rsid w:val="00AF664E"/>
    <w:rsid w:val="00AF666B"/>
    <w:rsid w:val="00AF6997"/>
    <w:rsid w:val="00AF6DB2"/>
    <w:rsid w:val="00B00C47"/>
    <w:rsid w:val="00B0141D"/>
    <w:rsid w:val="00B017B7"/>
    <w:rsid w:val="00B01D02"/>
    <w:rsid w:val="00B03547"/>
    <w:rsid w:val="00B04477"/>
    <w:rsid w:val="00B0503D"/>
    <w:rsid w:val="00B05385"/>
    <w:rsid w:val="00B068F0"/>
    <w:rsid w:val="00B070EF"/>
    <w:rsid w:val="00B0728C"/>
    <w:rsid w:val="00B11E41"/>
    <w:rsid w:val="00B15E5D"/>
    <w:rsid w:val="00B167BF"/>
    <w:rsid w:val="00B16B91"/>
    <w:rsid w:val="00B17839"/>
    <w:rsid w:val="00B21907"/>
    <w:rsid w:val="00B21D41"/>
    <w:rsid w:val="00B22DBF"/>
    <w:rsid w:val="00B23659"/>
    <w:rsid w:val="00B23C49"/>
    <w:rsid w:val="00B23D63"/>
    <w:rsid w:val="00B2492B"/>
    <w:rsid w:val="00B25487"/>
    <w:rsid w:val="00B25865"/>
    <w:rsid w:val="00B258D8"/>
    <w:rsid w:val="00B25E60"/>
    <w:rsid w:val="00B26C21"/>
    <w:rsid w:val="00B26E57"/>
    <w:rsid w:val="00B27A32"/>
    <w:rsid w:val="00B30415"/>
    <w:rsid w:val="00B31784"/>
    <w:rsid w:val="00B3180F"/>
    <w:rsid w:val="00B31AE6"/>
    <w:rsid w:val="00B32722"/>
    <w:rsid w:val="00B33386"/>
    <w:rsid w:val="00B33F58"/>
    <w:rsid w:val="00B34094"/>
    <w:rsid w:val="00B3481F"/>
    <w:rsid w:val="00B34FB8"/>
    <w:rsid w:val="00B357E4"/>
    <w:rsid w:val="00B35841"/>
    <w:rsid w:val="00B35AF8"/>
    <w:rsid w:val="00B36B48"/>
    <w:rsid w:val="00B4082E"/>
    <w:rsid w:val="00B41365"/>
    <w:rsid w:val="00B41986"/>
    <w:rsid w:val="00B41E62"/>
    <w:rsid w:val="00B42605"/>
    <w:rsid w:val="00B42ABD"/>
    <w:rsid w:val="00B42CCA"/>
    <w:rsid w:val="00B42E6D"/>
    <w:rsid w:val="00B431F1"/>
    <w:rsid w:val="00B436EF"/>
    <w:rsid w:val="00B43746"/>
    <w:rsid w:val="00B43A94"/>
    <w:rsid w:val="00B43F75"/>
    <w:rsid w:val="00B44F9F"/>
    <w:rsid w:val="00B45202"/>
    <w:rsid w:val="00B4575B"/>
    <w:rsid w:val="00B46179"/>
    <w:rsid w:val="00B46C66"/>
    <w:rsid w:val="00B47110"/>
    <w:rsid w:val="00B50C33"/>
    <w:rsid w:val="00B515D0"/>
    <w:rsid w:val="00B51CD0"/>
    <w:rsid w:val="00B52417"/>
    <w:rsid w:val="00B52574"/>
    <w:rsid w:val="00B54BEA"/>
    <w:rsid w:val="00B54C1E"/>
    <w:rsid w:val="00B54D17"/>
    <w:rsid w:val="00B55050"/>
    <w:rsid w:val="00B55818"/>
    <w:rsid w:val="00B55EE7"/>
    <w:rsid w:val="00B5626F"/>
    <w:rsid w:val="00B5666D"/>
    <w:rsid w:val="00B56919"/>
    <w:rsid w:val="00B56C21"/>
    <w:rsid w:val="00B57643"/>
    <w:rsid w:val="00B5798F"/>
    <w:rsid w:val="00B607F4"/>
    <w:rsid w:val="00B626C8"/>
    <w:rsid w:val="00B628C9"/>
    <w:rsid w:val="00B62A98"/>
    <w:rsid w:val="00B63685"/>
    <w:rsid w:val="00B63ABF"/>
    <w:rsid w:val="00B64425"/>
    <w:rsid w:val="00B646F3"/>
    <w:rsid w:val="00B64CBB"/>
    <w:rsid w:val="00B655BC"/>
    <w:rsid w:val="00B663C7"/>
    <w:rsid w:val="00B6681D"/>
    <w:rsid w:val="00B66A9D"/>
    <w:rsid w:val="00B677BA"/>
    <w:rsid w:val="00B7006C"/>
    <w:rsid w:val="00B70519"/>
    <w:rsid w:val="00B70D71"/>
    <w:rsid w:val="00B72063"/>
    <w:rsid w:val="00B72073"/>
    <w:rsid w:val="00B725C9"/>
    <w:rsid w:val="00B733E4"/>
    <w:rsid w:val="00B73978"/>
    <w:rsid w:val="00B73A81"/>
    <w:rsid w:val="00B73AC3"/>
    <w:rsid w:val="00B74DBA"/>
    <w:rsid w:val="00B751E6"/>
    <w:rsid w:val="00B75D17"/>
    <w:rsid w:val="00B75D87"/>
    <w:rsid w:val="00B76103"/>
    <w:rsid w:val="00B76205"/>
    <w:rsid w:val="00B76593"/>
    <w:rsid w:val="00B77175"/>
    <w:rsid w:val="00B773B4"/>
    <w:rsid w:val="00B774DE"/>
    <w:rsid w:val="00B77C89"/>
    <w:rsid w:val="00B77F8A"/>
    <w:rsid w:val="00B801F9"/>
    <w:rsid w:val="00B80399"/>
    <w:rsid w:val="00B8042C"/>
    <w:rsid w:val="00B80BC8"/>
    <w:rsid w:val="00B80DA7"/>
    <w:rsid w:val="00B80E54"/>
    <w:rsid w:val="00B81563"/>
    <w:rsid w:val="00B82402"/>
    <w:rsid w:val="00B83324"/>
    <w:rsid w:val="00B8476E"/>
    <w:rsid w:val="00B850C5"/>
    <w:rsid w:val="00B851A0"/>
    <w:rsid w:val="00B851EF"/>
    <w:rsid w:val="00B8582A"/>
    <w:rsid w:val="00B86A9D"/>
    <w:rsid w:val="00B87AF9"/>
    <w:rsid w:val="00B90846"/>
    <w:rsid w:val="00B91219"/>
    <w:rsid w:val="00B92AE1"/>
    <w:rsid w:val="00B92B71"/>
    <w:rsid w:val="00B92D94"/>
    <w:rsid w:val="00B9782B"/>
    <w:rsid w:val="00BA0492"/>
    <w:rsid w:val="00BA0658"/>
    <w:rsid w:val="00BA07E5"/>
    <w:rsid w:val="00BA0DC4"/>
    <w:rsid w:val="00BA0E4E"/>
    <w:rsid w:val="00BA1DE7"/>
    <w:rsid w:val="00BA33EE"/>
    <w:rsid w:val="00BA53C4"/>
    <w:rsid w:val="00BA5478"/>
    <w:rsid w:val="00BA5FF4"/>
    <w:rsid w:val="00BA6550"/>
    <w:rsid w:val="00BA655C"/>
    <w:rsid w:val="00BA655D"/>
    <w:rsid w:val="00BA68BF"/>
    <w:rsid w:val="00BA7B84"/>
    <w:rsid w:val="00BA7C0E"/>
    <w:rsid w:val="00BA7CF0"/>
    <w:rsid w:val="00BB0277"/>
    <w:rsid w:val="00BB0394"/>
    <w:rsid w:val="00BB09CB"/>
    <w:rsid w:val="00BB0D3B"/>
    <w:rsid w:val="00BB0D5D"/>
    <w:rsid w:val="00BB1AE2"/>
    <w:rsid w:val="00BB1D7B"/>
    <w:rsid w:val="00BB1FC0"/>
    <w:rsid w:val="00BB20B9"/>
    <w:rsid w:val="00BB26F5"/>
    <w:rsid w:val="00BB2CC9"/>
    <w:rsid w:val="00BB3F11"/>
    <w:rsid w:val="00BB4A73"/>
    <w:rsid w:val="00BB5ACC"/>
    <w:rsid w:val="00BB6415"/>
    <w:rsid w:val="00BB6AA1"/>
    <w:rsid w:val="00BB73C9"/>
    <w:rsid w:val="00BB753E"/>
    <w:rsid w:val="00BB7A7D"/>
    <w:rsid w:val="00BB7C4E"/>
    <w:rsid w:val="00BC026A"/>
    <w:rsid w:val="00BC0AC8"/>
    <w:rsid w:val="00BC0C86"/>
    <w:rsid w:val="00BC106F"/>
    <w:rsid w:val="00BC12BA"/>
    <w:rsid w:val="00BC202C"/>
    <w:rsid w:val="00BC2419"/>
    <w:rsid w:val="00BC2518"/>
    <w:rsid w:val="00BC267D"/>
    <w:rsid w:val="00BC29C9"/>
    <w:rsid w:val="00BC2E3E"/>
    <w:rsid w:val="00BC2E4E"/>
    <w:rsid w:val="00BC3266"/>
    <w:rsid w:val="00BC342E"/>
    <w:rsid w:val="00BC34F4"/>
    <w:rsid w:val="00BC46ED"/>
    <w:rsid w:val="00BC4B59"/>
    <w:rsid w:val="00BC4D30"/>
    <w:rsid w:val="00BC537A"/>
    <w:rsid w:val="00BC571D"/>
    <w:rsid w:val="00BC62C8"/>
    <w:rsid w:val="00BC69A5"/>
    <w:rsid w:val="00BC7480"/>
    <w:rsid w:val="00BC78B1"/>
    <w:rsid w:val="00BD0682"/>
    <w:rsid w:val="00BD0DB2"/>
    <w:rsid w:val="00BD139F"/>
    <w:rsid w:val="00BD2DAD"/>
    <w:rsid w:val="00BD315B"/>
    <w:rsid w:val="00BD3B41"/>
    <w:rsid w:val="00BD3E50"/>
    <w:rsid w:val="00BD56A9"/>
    <w:rsid w:val="00BD7821"/>
    <w:rsid w:val="00BE0281"/>
    <w:rsid w:val="00BE080D"/>
    <w:rsid w:val="00BE0B29"/>
    <w:rsid w:val="00BE0CEC"/>
    <w:rsid w:val="00BE0EBE"/>
    <w:rsid w:val="00BE0FD5"/>
    <w:rsid w:val="00BE20B1"/>
    <w:rsid w:val="00BE2468"/>
    <w:rsid w:val="00BE24B5"/>
    <w:rsid w:val="00BE35DA"/>
    <w:rsid w:val="00BE3691"/>
    <w:rsid w:val="00BE3C7B"/>
    <w:rsid w:val="00BE5074"/>
    <w:rsid w:val="00BE542D"/>
    <w:rsid w:val="00BE5524"/>
    <w:rsid w:val="00BE5826"/>
    <w:rsid w:val="00BE593C"/>
    <w:rsid w:val="00BE669B"/>
    <w:rsid w:val="00BE6AA9"/>
    <w:rsid w:val="00BE70BB"/>
    <w:rsid w:val="00BE7D06"/>
    <w:rsid w:val="00BF043B"/>
    <w:rsid w:val="00BF0E8A"/>
    <w:rsid w:val="00BF1391"/>
    <w:rsid w:val="00BF1B1A"/>
    <w:rsid w:val="00BF23AE"/>
    <w:rsid w:val="00BF2499"/>
    <w:rsid w:val="00BF3330"/>
    <w:rsid w:val="00BF35B2"/>
    <w:rsid w:val="00BF38C4"/>
    <w:rsid w:val="00BF3CA6"/>
    <w:rsid w:val="00BF3D1B"/>
    <w:rsid w:val="00BF4422"/>
    <w:rsid w:val="00BF4BE2"/>
    <w:rsid w:val="00BF4F96"/>
    <w:rsid w:val="00BF52B0"/>
    <w:rsid w:val="00BF6030"/>
    <w:rsid w:val="00BF7024"/>
    <w:rsid w:val="00BF75AD"/>
    <w:rsid w:val="00BF7774"/>
    <w:rsid w:val="00BF788B"/>
    <w:rsid w:val="00BF7FC9"/>
    <w:rsid w:val="00C0050B"/>
    <w:rsid w:val="00C00BF6"/>
    <w:rsid w:val="00C02C1A"/>
    <w:rsid w:val="00C02E8A"/>
    <w:rsid w:val="00C02EEC"/>
    <w:rsid w:val="00C03970"/>
    <w:rsid w:val="00C03AB7"/>
    <w:rsid w:val="00C0513B"/>
    <w:rsid w:val="00C06645"/>
    <w:rsid w:val="00C06E7F"/>
    <w:rsid w:val="00C06F93"/>
    <w:rsid w:val="00C0749C"/>
    <w:rsid w:val="00C075CE"/>
    <w:rsid w:val="00C12D41"/>
    <w:rsid w:val="00C142D7"/>
    <w:rsid w:val="00C14798"/>
    <w:rsid w:val="00C15DFE"/>
    <w:rsid w:val="00C166E9"/>
    <w:rsid w:val="00C17568"/>
    <w:rsid w:val="00C17A89"/>
    <w:rsid w:val="00C21705"/>
    <w:rsid w:val="00C21749"/>
    <w:rsid w:val="00C21C7B"/>
    <w:rsid w:val="00C221A2"/>
    <w:rsid w:val="00C224B4"/>
    <w:rsid w:val="00C22AD2"/>
    <w:rsid w:val="00C22D76"/>
    <w:rsid w:val="00C2317E"/>
    <w:rsid w:val="00C23C16"/>
    <w:rsid w:val="00C23C98"/>
    <w:rsid w:val="00C23E67"/>
    <w:rsid w:val="00C242A6"/>
    <w:rsid w:val="00C2555A"/>
    <w:rsid w:val="00C2565D"/>
    <w:rsid w:val="00C25719"/>
    <w:rsid w:val="00C264C0"/>
    <w:rsid w:val="00C26512"/>
    <w:rsid w:val="00C26DCD"/>
    <w:rsid w:val="00C27001"/>
    <w:rsid w:val="00C274AB"/>
    <w:rsid w:val="00C31C9F"/>
    <w:rsid w:val="00C326B5"/>
    <w:rsid w:val="00C3281F"/>
    <w:rsid w:val="00C33231"/>
    <w:rsid w:val="00C33306"/>
    <w:rsid w:val="00C33638"/>
    <w:rsid w:val="00C33B4C"/>
    <w:rsid w:val="00C33C98"/>
    <w:rsid w:val="00C3425A"/>
    <w:rsid w:val="00C34594"/>
    <w:rsid w:val="00C351B6"/>
    <w:rsid w:val="00C35AF6"/>
    <w:rsid w:val="00C35B98"/>
    <w:rsid w:val="00C36539"/>
    <w:rsid w:val="00C366A5"/>
    <w:rsid w:val="00C368EE"/>
    <w:rsid w:val="00C36A8C"/>
    <w:rsid w:val="00C40E67"/>
    <w:rsid w:val="00C4106A"/>
    <w:rsid w:val="00C41D92"/>
    <w:rsid w:val="00C41FBE"/>
    <w:rsid w:val="00C420C1"/>
    <w:rsid w:val="00C4216E"/>
    <w:rsid w:val="00C423E1"/>
    <w:rsid w:val="00C42521"/>
    <w:rsid w:val="00C430B7"/>
    <w:rsid w:val="00C43855"/>
    <w:rsid w:val="00C45164"/>
    <w:rsid w:val="00C45BC8"/>
    <w:rsid w:val="00C463CA"/>
    <w:rsid w:val="00C467A7"/>
    <w:rsid w:val="00C46A2A"/>
    <w:rsid w:val="00C46F3C"/>
    <w:rsid w:val="00C506E6"/>
    <w:rsid w:val="00C50A17"/>
    <w:rsid w:val="00C50BE5"/>
    <w:rsid w:val="00C510DB"/>
    <w:rsid w:val="00C519CB"/>
    <w:rsid w:val="00C52255"/>
    <w:rsid w:val="00C5267D"/>
    <w:rsid w:val="00C52C92"/>
    <w:rsid w:val="00C54679"/>
    <w:rsid w:val="00C54B79"/>
    <w:rsid w:val="00C54F15"/>
    <w:rsid w:val="00C55252"/>
    <w:rsid w:val="00C55604"/>
    <w:rsid w:val="00C55B19"/>
    <w:rsid w:val="00C55D26"/>
    <w:rsid w:val="00C564F1"/>
    <w:rsid w:val="00C57D7A"/>
    <w:rsid w:val="00C60EF6"/>
    <w:rsid w:val="00C6193B"/>
    <w:rsid w:val="00C62CAF"/>
    <w:rsid w:val="00C62F76"/>
    <w:rsid w:val="00C63321"/>
    <w:rsid w:val="00C63A80"/>
    <w:rsid w:val="00C63D68"/>
    <w:rsid w:val="00C64075"/>
    <w:rsid w:val="00C6433D"/>
    <w:rsid w:val="00C65FDF"/>
    <w:rsid w:val="00C66CD0"/>
    <w:rsid w:val="00C67120"/>
    <w:rsid w:val="00C67FD2"/>
    <w:rsid w:val="00C70717"/>
    <w:rsid w:val="00C71762"/>
    <w:rsid w:val="00C72AB9"/>
    <w:rsid w:val="00C737E7"/>
    <w:rsid w:val="00C7433E"/>
    <w:rsid w:val="00C751E6"/>
    <w:rsid w:val="00C7596D"/>
    <w:rsid w:val="00C75DF8"/>
    <w:rsid w:val="00C75F7F"/>
    <w:rsid w:val="00C76A37"/>
    <w:rsid w:val="00C77367"/>
    <w:rsid w:val="00C77655"/>
    <w:rsid w:val="00C800B0"/>
    <w:rsid w:val="00C80475"/>
    <w:rsid w:val="00C806C5"/>
    <w:rsid w:val="00C80950"/>
    <w:rsid w:val="00C81691"/>
    <w:rsid w:val="00C81A57"/>
    <w:rsid w:val="00C81DE4"/>
    <w:rsid w:val="00C8261D"/>
    <w:rsid w:val="00C826CF"/>
    <w:rsid w:val="00C82964"/>
    <w:rsid w:val="00C829FB"/>
    <w:rsid w:val="00C83373"/>
    <w:rsid w:val="00C83B35"/>
    <w:rsid w:val="00C84EA3"/>
    <w:rsid w:val="00C85C8D"/>
    <w:rsid w:val="00C86356"/>
    <w:rsid w:val="00C86EBD"/>
    <w:rsid w:val="00C87AE1"/>
    <w:rsid w:val="00C87CC2"/>
    <w:rsid w:val="00C87E71"/>
    <w:rsid w:val="00C91A55"/>
    <w:rsid w:val="00C91B68"/>
    <w:rsid w:val="00C921CB"/>
    <w:rsid w:val="00C922AF"/>
    <w:rsid w:val="00C931C0"/>
    <w:rsid w:val="00C94BA6"/>
    <w:rsid w:val="00C9544C"/>
    <w:rsid w:val="00C960D3"/>
    <w:rsid w:val="00C9664B"/>
    <w:rsid w:val="00C97F48"/>
    <w:rsid w:val="00CA0508"/>
    <w:rsid w:val="00CA0AB4"/>
    <w:rsid w:val="00CA1E24"/>
    <w:rsid w:val="00CA2AE8"/>
    <w:rsid w:val="00CA45C3"/>
    <w:rsid w:val="00CA48DE"/>
    <w:rsid w:val="00CA534E"/>
    <w:rsid w:val="00CA55EA"/>
    <w:rsid w:val="00CA699B"/>
    <w:rsid w:val="00CA6DEB"/>
    <w:rsid w:val="00CA7133"/>
    <w:rsid w:val="00CA78DA"/>
    <w:rsid w:val="00CA7B11"/>
    <w:rsid w:val="00CB08C9"/>
    <w:rsid w:val="00CB0922"/>
    <w:rsid w:val="00CB10B4"/>
    <w:rsid w:val="00CB12D5"/>
    <w:rsid w:val="00CB1A62"/>
    <w:rsid w:val="00CB20C7"/>
    <w:rsid w:val="00CB2207"/>
    <w:rsid w:val="00CB25BC"/>
    <w:rsid w:val="00CB26DA"/>
    <w:rsid w:val="00CB2749"/>
    <w:rsid w:val="00CB2B4E"/>
    <w:rsid w:val="00CB2EFB"/>
    <w:rsid w:val="00CB3F3C"/>
    <w:rsid w:val="00CB4BDE"/>
    <w:rsid w:val="00CB4D84"/>
    <w:rsid w:val="00CB5652"/>
    <w:rsid w:val="00CB59CC"/>
    <w:rsid w:val="00CB7DB6"/>
    <w:rsid w:val="00CC0372"/>
    <w:rsid w:val="00CC0B12"/>
    <w:rsid w:val="00CC1153"/>
    <w:rsid w:val="00CC3747"/>
    <w:rsid w:val="00CC3B7D"/>
    <w:rsid w:val="00CC407A"/>
    <w:rsid w:val="00CC5129"/>
    <w:rsid w:val="00CC5429"/>
    <w:rsid w:val="00CC5FE3"/>
    <w:rsid w:val="00CC62D1"/>
    <w:rsid w:val="00CC6622"/>
    <w:rsid w:val="00CC6A10"/>
    <w:rsid w:val="00CC6CA3"/>
    <w:rsid w:val="00CC7C38"/>
    <w:rsid w:val="00CD00E2"/>
    <w:rsid w:val="00CD0177"/>
    <w:rsid w:val="00CD06F7"/>
    <w:rsid w:val="00CD0E24"/>
    <w:rsid w:val="00CD336B"/>
    <w:rsid w:val="00CD3959"/>
    <w:rsid w:val="00CD3D36"/>
    <w:rsid w:val="00CD4643"/>
    <w:rsid w:val="00CD4B6B"/>
    <w:rsid w:val="00CD4E05"/>
    <w:rsid w:val="00CD6B36"/>
    <w:rsid w:val="00CD6E8B"/>
    <w:rsid w:val="00CD7602"/>
    <w:rsid w:val="00CD779F"/>
    <w:rsid w:val="00CD79D7"/>
    <w:rsid w:val="00CD7ECE"/>
    <w:rsid w:val="00CE006E"/>
    <w:rsid w:val="00CE0906"/>
    <w:rsid w:val="00CE13C3"/>
    <w:rsid w:val="00CE166A"/>
    <w:rsid w:val="00CE1AA1"/>
    <w:rsid w:val="00CE2504"/>
    <w:rsid w:val="00CE289D"/>
    <w:rsid w:val="00CE2D01"/>
    <w:rsid w:val="00CE3030"/>
    <w:rsid w:val="00CE3414"/>
    <w:rsid w:val="00CE34C1"/>
    <w:rsid w:val="00CE450B"/>
    <w:rsid w:val="00CE459E"/>
    <w:rsid w:val="00CE4691"/>
    <w:rsid w:val="00CE47A2"/>
    <w:rsid w:val="00CE491C"/>
    <w:rsid w:val="00CE4B4F"/>
    <w:rsid w:val="00CE5057"/>
    <w:rsid w:val="00CE52CE"/>
    <w:rsid w:val="00CE52D9"/>
    <w:rsid w:val="00CE63EE"/>
    <w:rsid w:val="00CE73C9"/>
    <w:rsid w:val="00CE78DE"/>
    <w:rsid w:val="00CE7ED9"/>
    <w:rsid w:val="00CF027F"/>
    <w:rsid w:val="00CF05E9"/>
    <w:rsid w:val="00CF1364"/>
    <w:rsid w:val="00CF2080"/>
    <w:rsid w:val="00CF23CC"/>
    <w:rsid w:val="00CF3143"/>
    <w:rsid w:val="00CF3727"/>
    <w:rsid w:val="00CF484F"/>
    <w:rsid w:val="00CF6019"/>
    <w:rsid w:val="00CF617F"/>
    <w:rsid w:val="00CF6360"/>
    <w:rsid w:val="00CF696E"/>
    <w:rsid w:val="00D00575"/>
    <w:rsid w:val="00D008B1"/>
    <w:rsid w:val="00D01264"/>
    <w:rsid w:val="00D0171C"/>
    <w:rsid w:val="00D020C2"/>
    <w:rsid w:val="00D0230A"/>
    <w:rsid w:val="00D02B9B"/>
    <w:rsid w:val="00D02D30"/>
    <w:rsid w:val="00D035D3"/>
    <w:rsid w:val="00D03AB7"/>
    <w:rsid w:val="00D04050"/>
    <w:rsid w:val="00D044ED"/>
    <w:rsid w:val="00D04B35"/>
    <w:rsid w:val="00D04D3E"/>
    <w:rsid w:val="00D04F83"/>
    <w:rsid w:val="00D05ECB"/>
    <w:rsid w:val="00D0633B"/>
    <w:rsid w:val="00D06408"/>
    <w:rsid w:val="00D07EB1"/>
    <w:rsid w:val="00D07F12"/>
    <w:rsid w:val="00D112CF"/>
    <w:rsid w:val="00D113A7"/>
    <w:rsid w:val="00D1152C"/>
    <w:rsid w:val="00D11B31"/>
    <w:rsid w:val="00D1243D"/>
    <w:rsid w:val="00D12841"/>
    <w:rsid w:val="00D12BBD"/>
    <w:rsid w:val="00D13C62"/>
    <w:rsid w:val="00D155C8"/>
    <w:rsid w:val="00D16271"/>
    <w:rsid w:val="00D20468"/>
    <w:rsid w:val="00D21322"/>
    <w:rsid w:val="00D21672"/>
    <w:rsid w:val="00D22978"/>
    <w:rsid w:val="00D229AC"/>
    <w:rsid w:val="00D22D73"/>
    <w:rsid w:val="00D233EC"/>
    <w:rsid w:val="00D23B9E"/>
    <w:rsid w:val="00D244A9"/>
    <w:rsid w:val="00D24986"/>
    <w:rsid w:val="00D24AB6"/>
    <w:rsid w:val="00D251B8"/>
    <w:rsid w:val="00D263BD"/>
    <w:rsid w:val="00D266F9"/>
    <w:rsid w:val="00D26938"/>
    <w:rsid w:val="00D26D07"/>
    <w:rsid w:val="00D27108"/>
    <w:rsid w:val="00D2717C"/>
    <w:rsid w:val="00D277AC"/>
    <w:rsid w:val="00D30499"/>
    <w:rsid w:val="00D3054F"/>
    <w:rsid w:val="00D30AA6"/>
    <w:rsid w:val="00D30BA9"/>
    <w:rsid w:val="00D317D1"/>
    <w:rsid w:val="00D31E95"/>
    <w:rsid w:val="00D31F20"/>
    <w:rsid w:val="00D32B82"/>
    <w:rsid w:val="00D32DEF"/>
    <w:rsid w:val="00D32F46"/>
    <w:rsid w:val="00D339E6"/>
    <w:rsid w:val="00D367DF"/>
    <w:rsid w:val="00D36FF6"/>
    <w:rsid w:val="00D374BF"/>
    <w:rsid w:val="00D37609"/>
    <w:rsid w:val="00D3793C"/>
    <w:rsid w:val="00D37C61"/>
    <w:rsid w:val="00D414E2"/>
    <w:rsid w:val="00D4156A"/>
    <w:rsid w:val="00D41678"/>
    <w:rsid w:val="00D4173A"/>
    <w:rsid w:val="00D41C78"/>
    <w:rsid w:val="00D427B9"/>
    <w:rsid w:val="00D43B56"/>
    <w:rsid w:val="00D44D1A"/>
    <w:rsid w:val="00D451B2"/>
    <w:rsid w:val="00D45E1A"/>
    <w:rsid w:val="00D46EED"/>
    <w:rsid w:val="00D47496"/>
    <w:rsid w:val="00D50145"/>
    <w:rsid w:val="00D5018C"/>
    <w:rsid w:val="00D508B3"/>
    <w:rsid w:val="00D50C7A"/>
    <w:rsid w:val="00D51BF3"/>
    <w:rsid w:val="00D524DA"/>
    <w:rsid w:val="00D527CB"/>
    <w:rsid w:val="00D5422A"/>
    <w:rsid w:val="00D5464E"/>
    <w:rsid w:val="00D5553F"/>
    <w:rsid w:val="00D556B6"/>
    <w:rsid w:val="00D56947"/>
    <w:rsid w:val="00D56AC0"/>
    <w:rsid w:val="00D57E23"/>
    <w:rsid w:val="00D60448"/>
    <w:rsid w:val="00D606BA"/>
    <w:rsid w:val="00D63624"/>
    <w:rsid w:val="00D6383F"/>
    <w:rsid w:val="00D63871"/>
    <w:rsid w:val="00D63CDA"/>
    <w:rsid w:val="00D641FB"/>
    <w:rsid w:val="00D64B8E"/>
    <w:rsid w:val="00D64FC4"/>
    <w:rsid w:val="00D6584D"/>
    <w:rsid w:val="00D65C46"/>
    <w:rsid w:val="00D66704"/>
    <w:rsid w:val="00D67B46"/>
    <w:rsid w:val="00D702B4"/>
    <w:rsid w:val="00D70BCA"/>
    <w:rsid w:val="00D70DCD"/>
    <w:rsid w:val="00D7211B"/>
    <w:rsid w:val="00D7217E"/>
    <w:rsid w:val="00D72737"/>
    <w:rsid w:val="00D72D76"/>
    <w:rsid w:val="00D73119"/>
    <w:rsid w:val="00D737AA"/>
    <w:rsid w:val="00D7385F"/>
    <w:rsid w:val="00D738C8"/>
    <w:rsid w:val="00D73EB6"/>
    <w:rsid w:val="00D74CF2"/>
    <w:rsid w:val="00D7507F"/>
    <w:rsid w:val="00D757C9"/>
    <w:rsid w:val="00D75B0C"/>
    <w:rsid w:val="00D75DB3"/>
    <w:rsid w:val="00D8076B"/>
    <w:rsid w:val="00D81AAC"/>
    <w:rsid w:val="00D82B01"/>
    <w:rsid w:val="00D82C66"/>
    <w:rsid w:val="00D8330B"/>
    <w:rsid w:val="00D83534"/>
    <w:rsid w:val="00D83FEF"/>
    <w:rsid w:val="00D845B4"/>
    <w:rsid w:val="00D846FB"/>
    <w:rsid w:val="00D858A6"/>
    <w:rsid w:val="00D85B27"/>
    <w:rsid w:val="00D8639D"/>
    <w:rsid w:val="00D87261"/>
    <w:rsid w:val="00D90FDD"/>
    <w:rsid w:val="00D917A4"/>
    <w:rsid w:val="00D91FFC"/>
    <w:rsid w:val="00D928A5"/>
    <w:rsid w:val="00D929D4"/>
    <w:rsid w:val="00D92B4D"/>
    <w:rsid w:val="00D92F22"/>
    <w:rsid w:val="00D93246"/>
    <w:rsid w:val="00D94E3C"/>
    <w:rsid w:val="00D95057"/>
    <w:rsid w:val="00D95DE0"/>
    <w:rsid w:val="00D962AE"/>
    <w:rsid w:val="00D966A1"/>
    <w:rsid w:val="00D96DE7"/>
    <w:rsid w:val="00DA04C9"/>
    <w:rsid w:val="00DA10A9"/>
    <w:rsid w:val="00DA151A"/>
    <w:rsid w:val="00DA38AB"/>
    <w:rsid w:val="00DA50D3"/>
    <w:rsid w:val="00DA5473"/>
    <w:rsid w:val="00DA58BA"/>
    <w:rsid w:val="00DA6B1C"/>
    <w:rsid w:val="00DA6C5E"/>
    <w:rsid w:val="00DA6CBC"/>
    <w:rsid w:val="00DA7EBA"/>
    <w:rsid w:val="00DB0115"/>
    <w:rsid w:val="00DB04D2"/>
    <w:rsid w:val="00DB15BE"/>
    <w:rsid w:val="00DB2081"/>
    <w:rsid w:val="00DB23C2"/>
    <w:rsid w:val="00DB382E"/>
    <w:rsid w:val="00DB4342"/>
    <w:rsid w:val="00DB440A"/>
    <w:rsid w:val="00DB4802"/>
    <w:rsid w:val="00DB4BCE"/>
    <w:rsid w:val="00DB4CA2"/>
    <w:rsid w:val="00DB4E3B"/>
    <w:rsid w:val="00DB64C8"/>
    <w:rsid w:val="00DB69F9"/>
    <w:rsid w:val="00DC00E2"/>
    <w:rsid w:val="00DC017C"/>
    <w:rsid w:val="00DC0CA2"/>
    <w:rsid w:val="00DC1243"/>
    <w:rsid w:val="00DC12B4"/>
    <w:rsid w:val="00DC18CD"/>
    <w:rsid w:val="00DC31D9"/>
    <w:rsid w:val="00DC3E9A"/>
    <w:rsid w:val="00DC4043"/>
    <w:rsid w:val="00DC428A"/>
    <w:rsid w:val="00DC4883"/>
    <w:rsid w:val="00DC4C42"/>
    <w:rsid w:val="00DC505E"/>
    <w:rsid w:val="00DC593E"/>
    <w:rsid w:val="00DC621E"/>
    <w:rsid w:val="00DC67A9"/>
    <w:rsid w:val="00DC723B"/>
    <w:rsid w:val="00DC77F0"/>
    <w:rsid w:val="00DC7A02"/>
    <w:rsid w:val="00DD10FC"/>
    <w:rsid w:val="00DD1B12"/>
    <w:rsid w:val="00DD24C8"/>
    <w:rsid w:val="00DD2F0A"/>
    <w:rsid w:val="00DD30FF"/>
    <w:rsid w:val="00DD3E73"/>
    <w:rsid w:val="00DD485A"/>
    <w:rsid w:val="00DD5163"/>
    <w:rsid w:val="00DD5B3C"/>
    <w:rsid w:val="00DD5F09"/>
    <w:rsid w:val="00DD7C78"/>
    <w:rsid w:val="00DE0792"/>
    <w:rsid w:val="00DE1147"/>
    <w:rsid w:val="00DE24E3"/>
    <w:rsid w:val="00DE2879"/>
    <w:rsid w:val="00DE2CFA"/>
    <w:rsid w:val="00DE2FE6"/>
    <w:rsid w:val="00DE4B0A"/>
    <w:rsid w:val="00DE63D4"/>
    <w:rsid w:val="00DE6664"/>
    <w:rsid w:val="00DE6667"/>
    <w:rsid w:val="00DE681A"/>
    <w:rsid w:val="00DE7734"/>
    <w:rsid w:val="00DF030A"/>
    <w:rsid w:val="00DF0663"/>
    <w:rsid w:val="00DF1484"/>
    <w:rsid w:val="00DF1578"/>
    <w:rsid w:val="00DF19A2"/>
    <w:rsid w:val="00DF1ACE"/>
    <w:rsid w:val="00DF21A8"/>
    <w:rsid w:val="00DF2284"/>
    <w:rsid w:val="00DF3564"/>
    <w:rsid w:val="00DF35F3"/>
    <w:rsid w:val="00DF3AF7"/>
    <w:rsid w:val="00DF3F9D"/>
    <w:rsid w:val="00DF4AC0"/>
    <w:rsid w:val="00DF5054"/>
    <w:rsid w:val="00DF554F"/>
    <w:rsid w:val="00DF5688"/>
    <w:rsid w:val="00DF57F3"/>
    <w:rsid w:val="00DF5C89"/>
    <w:rsid w:val="00DF65FB"/>
    <w:rsid w:val="00DF7F0F"/>
    <w:rsid w:val="00E0007F"/>
    <w:rsid w:val="00E008CF"/>
    <w:rsid w:val="00E0123E"/>
    <w:rsid w:val="00E013AD"/>
    <w:rsid w:val="00E018EF"/>
    <w:rsid w:val="00E034D8"/>
    <w:rsid w:val="00E043A2"/>
    <w:rsid w:val="00E04CB0"/>
    <w:rsid w:val="00E0532F"/>
    <w:rsid w:val="00E057C5"/>
    <w:rsid w:val="00E05AC7"/>
    <w:rsid w:val="00E05F3B"/>
    <w:rsid w:val="00E0686E"/>
    <w:rsid w:val="00E068A9"/>
    <w:rsid w:val="00E072AE"/>
    <w:rsid w:val="00E0737A"/>
    <w:rsid w:val="00E0753D"/>
    <w:rsid w:val="00E07F1A"/>
    <w:rsid w:val="00E11228"/>
    <w:rsid w:val="00E118B5"/>
    <w:rsid w:val="00E130D2"/>
    <w:rsid w:val="00E133CC"/>
    <w:rsid w:val="00E13706"/>
    <w:rsid w:val="00E13B4F"/>
    <w:rsid w:val="00E13B5F"/>
    <w:rsid w:val="00E13BD6"/>
    <w:rsid w:val="00E14C8A"/>
    <w:rsid w:val="00E15FB3"/>
    <w:rsid w:val="00E16E79"/>
    <w:rsid w:val="00E20646"/>
    <w:rsid w:val="00E20B26"/>
    <w:rsid w:val="00E22806"/>
    <w:rsid w:val="00E230B6"/>
    <w:rsid w:val="00E23BE4"/>
    <w:rsid w:val="00E2458E"/>
    <w:rsid w:val="00E249E0"/>
    <w:rsid w:val="00E25BF2"/>
    <w:rsid w:val="00E27367"/>
    <w:rsid w:val="00E27BE7"/>
    <w:rsid w:val="00E27D01"/>
    <w:rsid w:val="00E3038C"/>
    <w:rsid w:val="00E323BD"/>
    <w:rsid w:val="00E326FA"/>
    <w:rsid w:val="00E33CD5"/>
    <w:rsid w:val="00E353C7"/>
    <w:rsid w:val="00E359E1"/>
    <w:rsid w:val="00E363F2"/>
    <w:rsid w:val="00E4017C"/>
    <w:rsid w:val="00E40259"/>
    <w:rsid w:val="00E40C1C"/>
    <w:rsid w:val="00E412B2"/>
    <w:rsid w:val="00E42B57"/>
    <w:rsid w:val="00E43383"/>
    <w:rsid w:val="00E44940"/>
    <w:rsid w:val="00E45356"/>
    <w:rsid w:val="00E45DD7"/>
    <w:rsid w:val="00E46621"/>
    <w:rsid w:val="00E46D84"/>
    <w:rsid w:val="00E4732A"/>
    <w:rsid w:val="00E47A9F"/>
    <w:rsid w:val="00E50A7E"/>
    <w:rsid w:val="00E50C81"/>
    <w:rsid w:val="00E51576"/>
    <w:rsid w:val="00E51703"/>
    <w:rsid w:val="00E517D6"/>
    <w:rsid w:val="00E51A84"/>
    <w:rsid w:val="00E51CEA"/>
    <w:rsid w:val="00E51EF3"/>
    <w:rsid w:val="00E51F59"/>
    <w:rsid w:val="00E524CD"/>
    <w:rsid w:val="00E52A55"/>
    <w:rsid w:val="00E52A6A"/>
    <w:rsid w:val="00E52E81"/>
    <w:rsid w:val="00E53A6E"/>
    <w:rsid w:val="00E551B8"/>
    <w:rsid w:val="00E5537D"/>
    <w:rsid w:val="00E55626"/>
    <w:rsid w:val="00E55D45"/>
    <w:rsid w:val="00E5612C"/>
    <w:rsid w:val="00E561C0"/>
    <w:rsid w:val="00E562BA"/>
    <w:rsid w:val="00E5701E"/>
    <w:rsid w:val="00E57045"/>
    <w:rsid w:val="00E57CFE"/>
    <w:rsid w:val="00E603EA"/>
    <w:rsid w:val="00E60822"/>
    <w:rsid w:val="00E61190"/>
    <w:rsid w:val="00E61442"/>
    <w:rsid w:val="00E626CC"/>
    <w:rsid w:val="00E62D48"/>
    <w:rsid w:val="00E63FE6"/>
    <w:rsid w:val="00E64157"/>
    <w:rsid w:val="00E642B7"/>
    <w:rsid w:val="00E64BA6"/>
    <w:rsid w:val="00E64FB0"/>
    <w:rsid w:val="00E654E9"/>
    <w:rsid w:val="00E65602"/>
    <w:rsid w:val="00E6663C"/>
    <w:rsid w:val="00E70E5E"/>
    <w:rsid w:val="00E71308"/>
    <w:rsid w:val="00E71574"/>
    <w:rsid w:val="00E71666"/>
    <w:rsid w:val="00E7176D"/>
    <w:rsid w:val="00E71AF7"/>
    <w:rsid w:val="00E72253"/>
    <w:rsid w:val="00E72FAC"/>
    <w:rsid w:val="00E7321D"/>
    <w:rsid w:val="00E734E3"/>
    <w:rsid w:val="00E73F8B"/>
    <w:rsid w:val="00E74736"/>
    <w:rsid w:val="00E74E3F"/>
    <w:rsid w:val="00E760A2"/>
    <w:rsid w:val="00E76C96"/>
    <w:rsid w:val="00E76D72"/>
    <w:rsid w:val="00E76F3E"/>
    <w:rsid w:val="00E80AD4"/>
    <w:rsid w:val="00E8180D"/>
    <w:rsid w:val="00E81833"/>
    <w:rsid w:val="00E81ECD"/>
    <w:rsid w:val="00E82104"/>
    <w:rsid w:val="00E82307"/>
    <w:rsid w:val="00E83506"/>
    <w:rsid w:val="00E83F77"/>
    <w:rsid w:val="00E84062"/>
    <w:rsid w:val="00E8430F"/>
    <w:rsid w:val="00E84459"/>
    <w:rsid w:val="00E844AB"/>
    <w:rsid w:val="00E84F77"/>
    <w:rsid w:val="00E859CD"/>
    <w:rsid w:val="00E87108"/>
    <w:rsid w:val="00E8786D"/>
    <w:rsid w:val="00E87AAE"/>
    <w:rsid w:val="00E87D97"/>
    <w:rsid w:val="00E90537"/>
    <w:rsid w:val="00E90DE7"/>
    <w:rsid w:val="00E915F0"/>
    <w:rsid w:val="00E925D6"/>
    <w:rsid w:val="00E9278C"/>
    <w:rsid w:val="00E930F2"/>
    <w:rsid w:val="00E9331D"/>
    <w:rsid w:val="00E9337D"/>
    <w:rsid w:val="00E9383C"/>
    <w:rsid w:val="00E9388E"/>
    <w:rsid w:val="00E94B65"/>
    <w:rsid w:val="00E952E8"/>
    <w:rsid w:val="00E95B5F"/>
    <w:rsid w:val="00E975C7"/>
    <w:rsid w:val="00E97669"/>
    <w:rsid w:val="00EA1682"/>
    <w:rsid w:val="00EA1D29"/>
    <w:rsid w:val="00EA1F7D"/>
    <w:rsid w:val="00EA2631"/>
    <w:rsid w:val="00EA2792"/>
    <w:rsid w:val="00EA2AF4"/>
    <w:rsid w:val="00EA2D1C"/>
    <w:rsid w:val="00EA3B71"/>
    <w:rsid w:val="00EA45DE"/>
    <w:rsid w:val="00EA45F1"/>
    <w:rsid w:val="00EA70F9"/>
    <w:rsid w:val="00EA75A8"/>
    <w:rsid w:val="00EB0823"/>
    <w:rsid w:val="00EB0C74"/>
    <w:rsid w:val="00EB0F7A"/>
    <w:rsid w:val="00EB11E5"/>
    <w:rsid w:val="00EB2318"/>
    <w:rsid w:val="00EB34B1"/>
    <w:rsid w:val="00EB34BA"/>
    <w:rsid w:val="00EB3B06"/>
    <w:rsid w:val="00EB5069"/>
    <w:rsid w:val="00EB5CCF"/>
    <w:rsid w:val="00EB5FDE"/>
    <w:rsid w:val="00EB7004"/>
    <w:rsid w:val="00EB73A9"/>
    <w:rsid w:val="00EB75A1"/>
    <w:rsid w:val="00EB7794"/>
    <w:rsid w:val="00EC03D6"/>
    <w:rsid w:val="00EC0EE4"/>
    <w:rsid w:val="00EC0F31"/>
    <w:rsid w:val="00EC0F7F"/>
    <w:rsid w:val="00EC12EA"/>
    <w:rsid w:val="00EC1BFA"/>
    <w:rsid w:val="00EC21E2"/>
    <w:rsid w:val="00EC2E10"/>
    <w:rsid w:val="00EC3E21"/>
    <w:rsid w:val="00EC3E61"/>
    <w:rsid w:val="00EC4424"/>
    <w:rsid w:val="00EC486A"/>
    <w:rsid w:val="00EC4B09"/>
    <w:rsid w:val="00EC4B15"/>
    <w:rsid w:val="00EC4FDB"/>
    <w:rsid w:val="00EC51F2"/>
    <w:rsid w:val="00EC5430"/>
    <w:rsid w:val="00EC618B"/>
    <w:rsid w:val="00EC6DFF"/>
    <w:rsid w:val="00EC7732"/>
    <w:rsid w:val="00ED0C54"/>
    <w:rsid w:val="00ED10A6"/>
    <w:rsid w:val="00ED15BC"/>
    <w:rsid w:val="00ED170C"/>
    <w:rsid w:val="00ED212F"/>
    <w:rsid w:val="00ED236A"/>
    <w:rsid w:val="00ED2517"/>
    <w:rsid w:val="00ED25D2"/>
    <w:rsid w:val="00ED316E"/>
    <w:rsid w:val="00ED3314"/>
    <w:rsid w:val="00ED33FE"/>
    <w:rsid w:val="00ED3B94"/>
    <w:rsid w:val="00ED429C"/>
    <w:rsid w:val="00ED457F"/>
    <w:rsid w:val="00ED5994"/>
    <w:rsid w:val="00ED5DF0"/>
    <w:rsid w:val="00ED6389"/>
    <w:rsid w:val="00ED7028"/>
    <w:rsid w:val="00ED79B6"/>
    <w:rsid w:val="00EE2012"/>
    <w:rsid w:val="00EE27F6"/>
    <w:rsid w:val="00EE3CED"/>
    <w:rsid w:val="00EE4313"/>
    <w:rsid w:val="00EE4963"/>
    <w:rsid w:val="00EE5B04"/>
    <w:rsid w:val="00EE5B0F"/>
    <w:rsid w:val="00EE5C84"/>
    <w:rsid w:val="00EE6567"/>
    <w:rsid w:val="00EE656F"/>
    <w:rsid w:val="00EE6804"/>
    <w:rsid w:val="00EE6918"/>
    <w:rsid w:val="00EE7031"/>
    <w:rsid w:val="00EE7249"/>
    <w:rsid w:val="00EE7368"/>
    <w:rsid w:val="00EE7689"/>
    <w:rsid w:val="00EE7FD7"/>
    <w:rsid w:val="00EF0921"/>
    <w:rsid w:val="00EF09F5"/>
    <w:rsid w:val="00EF470E"/>
    <w:rsid w:val="00EF4989"/>
    <w:rsid w:val="00EF4CD7"/>
    <w:rsid w:val="00EF614B"/>
    <w:rsid w:val="00EF6864"/>
    <w:rsid w:val="00EF74AB"/>
    <w:rsid w:val="00EF764B"/>
    <w:rsid w:val="00F00BDB"/>
    <w:rsid w:val="00F01595"/>
    <w:rsid w:val="00F02282"/>
    <w:rsid w:val="00F030D8"/>
    <w:rsid w:val="00F036DE"/>
    <w:rsid w:val="00F04331"/>
    <w:rsid w:val="00F04953"/>
    <w:rsid w:val="00F04BC0"/>
    <w:rsid w:val="00F056ED"/>
    <w:rsid w:val="00F05825"/>
    <w:rsid w:val="00F05CD5"/>
    <w:rsid w:val="00F05DF0"/>
    <w:rsid w:val="00F074F0"/>
    <w:rsid w:val="00F10795"/>
    <w:rsid w:val="00F10B29"/>
    <w:rsid w:val="00F10BF0"/>
    <w:rsid w:val="00F11167"/>
    <w:rsid w:val="00F1228A"/>
    <w:rsid w:val="00F12730"/>
    <w:rsid w:val="00F12784"/>
    <w:rsid w:val="00F128FA"/>
    <w:rsid w:val="00F12B99"/>
    <w:rsid w:val="00F12E4A"/>
    <w:rsid w:val="00F1340B"/>
    <w:rsid w:val="00F140B3"/>
    <w:rsid w:val="00F140F0"/>
    <w:rsid w:val="00F14224"/>
    <w:rsid w:val="00F14535"/>
    <w:rsid w:val="00F14A3D"/>
    <w:rsid w:val="00F14D67"/>
    <w:rsid w:val="00F15780"/>
    <w:rsid w:val="00F159BA"/>
    <w:rsid w:val="00F15BB3"/>
    <w:rsid w:val="00F15DF3"/>
    <w:rsid w:val="00F17E3D"/>
    <w:rsid w:val="00F20B9D"/>
    <w:rsid w:val="00F21AA1"/>
    <w:rsid w:val="00F21B1C"/>
    <w:rsid w:val="00F225A5"/>
    <w:rsid w:val="00F22B18"/>
    <w:rsid w:val="00F22BBB"/>
    <w:rsid w:val="00F22FB4"/>
    <w:rsid w:val="00F233D6"/>
    <w:rsid w:val="00F23717"/>
    <w:rsid w:val="00F242D0"/>
    <w:rsid w:val="00F24B94"/>
    <w:rsid w:val="00F24BF8"/>
    <w:rsid w:val="00F25DFA"/>
    <w:rsid w:val="00F2643B"/>
    <w:rsid w:val="00F26BD4"/>
    <w:rsid w:val="00F27AD4"/>
    <w:rsid w:val="00F27FA2"/>
    <w:rsid w:val="00F30438"/>
    <w:rsid w:val="00F305D8"/>
    <w:rsid w:val="00F30E99"/>
    <w:rsid w:val="00F30EC1"/>
    <w:rsid w:val="00F31A0E"/>
    <w:rsid w:val="00F31B6F"/>
    <w:rsid w:val="00F32469"/>
    <w:rsid w:val="00F32F92"/>
    <w:rsid w:val="00F33152"/>
    <w:rsid w:val="00F33293"/>
    <w:rsid w:val="00F33315"/>
    <w:rsid w:val="00F34C88"/>
    <w:rsid w:val="00F34D71"/>
    <w:rsid w:val="00F36279"/>
    <w:rsid w:val="00F37C6C"/>
    <w:rsid w:val="00F40062"/>
    <w:rsid w:val="00F41650"/>
    <w:rsid w:val="00F418E9"/>
    <w:rsid w:val="00F41A23"/>
    <w:rsid w:val="00F41D77"/>
    <w:rsid w:val="00F42048"/>
    <w:rsid w:val="00F43080"/>
    <w:rsid w:val="00F43345"/>
    <w:rsid w:val="00F43B47"/>
    <w:rsid w:val="00F43CCA"/>
    <w:rsid w:val="00F43F24"/>
    <w:rsid w:val="00F43FD3"/>
    <w:rsid w:val="00F44435"/>
    <w:rsid w:val="00F448F5"/>
    <w:rsid w:val="00F451D0"/>
    <w:rsid w:val="00F45808"/>
    <w:rsid w:val="00F45D61"/>
    <w:rsid w:val="00F46006"/>
    <w:rsid w:val="00F4668E"/>
    <w:rsid w:val="00F46A91"/>
    <w:rsid w:val="00F47AEA"/>
    <w:rsid w:val="00F51920"/>
    <w:rsid w:val="00F52199"/>
    <w:rsid w:val="00F52496"/>
    <w:rsid w:val="00F52ACD"/>
    <w:rsid w:val="00F531C0"/>
    <w:rsid w:val="00F5331D"/>
    <w:rsid w:val="00F53AB1"/>
    <w:rsid w:val="00F53C2E"/>
    <w:rsid w:val="00F545F2"/>
    <w:rsid w:val="00F5522D"/>
    <w:rsid w:val="00F55D93"/>
    <w:rsid w:val="00F5706C"/>
    <w:rsid w:val="00F57247"/>
    <w:rsid w:val="00F5782B"/>
    <w:rsid w:val="00F57AFC"/>
    <w:rsid w:val="00F57F7F"/>
    <w:rsid w:val="00F609C9"/>
    <w:rsid w:val="00F61993"/>
    <w:rsid w:val="00F61DE1"/>
    <w:rsid w:val="00F62666"/>
    <w:rsid w:val="00F62EEA"/>
    <w:rsid w:val="00F6338F"/>
    <w:rsid w:val="00F647F9"/>
    <w:rsid w:val="00F655EC"/>
    <w:rsid w:val="00F65857"/>
    <w:rsid w:val="00F65E62"/>
    <w:rsid w:val="00F67476"/>
    <w:rsid w:val="00F707D3"/>
    <w:rsid w:val="00F72070"/>
    <w:rsid w:val="00F72400"/>
    <w:rsid w:val="00F72609"/>
    <w:rsid w:val="00F72775"/>
    <w:rsid w:val="00F7299F"/>
    <w:rsid w:val="00F73408"/>
    <w:rsid w:val="00F745E5"/>
    <w:rsid w:val="00F74623"/>
    <w:rsid w:val="00F7467F"/>
    <w:rsid w:val="00F758C6"/>
    <w:rsid w:val="00F75A34"/>
    <w:rsid w:val="00F75B4C"/>
    <w:rsid w:val="00F75C24"/>
    <w:rsid w:val="00F763A8"/>
    <w:rsid w:val="00F773DC"/>
    <w:rsid w:val="00F77C94"/>
    <w:rsid w:val="00F80014"/>
    <w:rsid w:val="00F81516"/>
    <w:rsid w:val="00F81523"/>
    <w:rsid w:val="00F81724"/>
    <w:rsid w:val="00F82CE4"/>
    <w:rsid w:val="00F82CE6"/>
    <w:rsid w:val="00F83130"/>
    <w:rsid w:val="00F831EF"/>
    <w:rsid w:val="00F83C9E"/>
    <w:rsid w:val="00F83D1C"/>
    <w:rsid w:val="00F846A7"/>
    <w:rsid w:val="00F84C73"/>
    <w:rsid w:val="00F84FAE"/>
    <w:rsid w:val="00F85488"/>
    <w:rsid w:val="00F855DD"/>
    <w:rsid w:val="00F85AD0"/>
    <w:rsid w:val="00F86398"/>
    <w:rsid w:val="00F8657A"/>
    <w:rsid w:val="00F908AB"/>
    <w:rsid w:val="00F91C33"/>
    <w:rsid w:val="00F91C42"/>
    <w:rsid w:val="00F9257E"/>
    <w:rsid w:val="00F92948"/>
    <w:rsid w:val="00F93867"/>
    <w:rsid w:val="00F9447E"/>
    <w:rsid w:val="00F945A7"/>
    <w:rsid w:val="00F951A7"/>
    <w:rsid w:val="00F9551E"/>
    <w:rsid w:val="00F978E9"/>
    <w:rsid w:val="00FA0F9F"/>
    <w:rsid w:val="00FA2233"/>
    <w:rsid w:val="00FA227F"/>
    <w:rsid w:val="00FA2ACB"/>
    <w:rsid w:val="00FA2EC7"/>
    <w:rsid w:val="00FA2FDC"/>
    <w:rsid w:val="00FA331F"/>
    <w:rsid w:val="00FA3706"/>
    <w:rsid w:val="00FA3BA0"/>
    <w:rsid w:val="00FA43A7"/>
    <w:rsid w:val="00FA561D"/>
    <w:rsid w:val="00FA6512"/>
    <w:rsid w:val="00FA702D"/>
    <w:rsid w:val="00FA719E"/>
    <w:rsid w:val="00FA7E20"/>
    <w:rsid w:val="00FB027D"/>
    <w:rsid w:val="00FB0C11"/>
    <w:rsid w:val="00FB131D"/>
    <w:rsid w:val="00FB21AD"/>
    <w:rsid w:val="00FB2F41"/>
    <w:rsid w:val="00FB34E1"/>
    <w:rsid w:val="00FB3836"/>
    <w:rsid w:val="00FB53B3"/>
    <w:rsid w:val="00FB5606"/>
    <w:rsid w:val="00FB579C"/>
    <w:rsid w:val="00FB57B5"/>
    <w:rsid w:val="00FB6596"/>
    <w:rsid w:val="00FB6F0A"/>
    <w:rsid w:val="00FC2184"/>
    <w:rsid w:val="00FC22D1"/>
    <w:rsid w:val="00FC2AC3"/>
    <w:rsid w:val="00FC2F56"/>
    <w:rsid w:val="00FC307D"/>
    <w:rsid w:val="00FC4647"/>
    <w:rsid w:val="00FC4C13"/>
    <w:rsid w:val="00FC5E74"/>
    <w:rsid w:val="00FC6046"/>
    <w:rsid w:val="00FC625E"/>
    <w:rsid w:val="00FC7E1F"/>
    <w:rsid w:val="00FD05FB"/>
    <w:rsid w:val="00FD0927"/>
    <w:rsid w:val="00FD0A1D"/>
    <w:rsid w:val="00FD1072"/>
    <w:rsid w:val="00FD12BC"/>
    <w:rsid w:val="00FD14CA"/>
    <w:rsid w:val="00FD25AB"/>
    <w:rsid w:val="00FD2682"/>
    <w:rsid w:val="00FD3526"/>
    <w:rsid w:val="00FD37F2"/>
    <w:rsid w:val="00FD3A08"/>
    <w:rsid w:val="00FD42A4"/>
    <w:rsid w:val="00FD4AF5"/>
    <w:rsid w:val="00FD5D09"/>
    <w:rsid w:val="00FD6F70"/>
    <w:rsid w:val="00FD7519"/>
    <w:rsid w:val="00FE090B"/>
    <w:rsid w:val="00FE2937"/>
    <w:rsid w:val="00FE29FE"/>
    <w:rsid w:val="00FE2C3E"/>
    <w:rsid w:val="00FE34A0"/>
    <w:rsid w:val="00FE4E7B"/>
    <w:rsid w:val="00FE51C3"/>
    <w:rsid w:val="00FE6E82"/>
    <w:rsid w:val="00FE7CF5"/>
    <w:rsid w:val="00FE7D0C"/>
    <w:rsid w:val="00FF03E2"/>
    <w:rsid w:val="00FF063B"/>
    <w:rsid w:val="00FF0920"/>
    <w:rsid w:val="00FF1989"/>
    <w:rsid w:val="00FF2033"/>
    <w:rsid w:val="00FF25C2"/>
    <w:rsid w:val="00FF313A"/>
    <w:rsid w:val="00FF323A"/>
    <w:rsid w:val="00FF378D"/>
    <w:rsid w:val="00FF3A22"/>
    <w:rsid w:val="00FF3D9C"/>
    <w:rsid w:val="00FF40EB"/>
    <w:rsid w:val="00FF419F"/>
    <w:rsid w:val="00FF5211"/>
    <w:rsid w:val="00FF544D"/>
    <w:rsid w:val="00FF5639"/>
    <w:rsid w:val="00FF5DF5"/>
    <w:rsid w:val="00FF6120"/>
    <w:rsid w:val="00FF6655"/>
    <w:rsid w:val="00FF6962"/>
    <w:rsid w:val="00FF6A62"/>
    <w:rsid w:val="00FF6DD8"/>
    <w:rsid w:val="00FF75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white"/>
    </o:shapedefaults>
    <o:shapelayout v:ext="edit">
      <o:idmap v:ext="edit" data="1"/>
    </o:shapelayout>
  </w:shapeDefaults>
  <w:decimalSymbol w:val=","/>
  <w:listSeparator w:val=";"/>
  <w14:docId w14:val="62F4B2DD"/>
  <w15:docId w15:val="{4C3B84C8-E02E-47B6-80C0-78FACDB4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5C"/>
    <w:pPr>
      <w:spacing w:after="200" w:line="276" w:lineRule="auto"/>
    </w:pPr>
    <w:rPr>
      <w:sz w:val="22"/>
      <w:szCs w:val="22"/>
      <w:lang w:eastAsia="en-US"/>
    </w:rPr>
  </w:style>
  <w:style w:type="paragraph" w:styleId="Heading1">
    <w:name w:val="heading 1"/>
    <w:basedOn w:val="Normal"/>
    <w:next w:val="Normal"/>
    <w:link w:val="Heading1Char"/>
    <w:uiPriority w:val="9"/>
    <w:qFormat/>
    <w:rsid w:val="008C3E3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semiHidden/>
    <w:rsid w:val="00A869B3"/>
    <w:rPr>
      <w:sz w:val="22"/>
      <w:szCs w:val="22"/>
      <w:lang w:eastAsia="en-US"/>
    </w:rPr>
  </w:style>
  <w:style w:type="paragraph" w:customStyle="1" w:styleId="Title1">
    <w:name w:val="Title 1"/>
    <w:basedOn w:val="Normal"/>
    <w:autoRedefine/>
    <w:rsid w:val="00A869B3"/>
    <w:pPr>
      <w:keepNext/>
      <w:tabs>
        <w:tab w:val="left" w:pos="0"/>
        <w:tab w:val="left" w:pos="293"/>
        <w:tab w:val="left" w:pos="720"/>
      </w:tabs>
      <w:autoSpaceDE w:val="0"/>
      <w:autoSpaceDN w:val="0"/>
      <w:adjustRightInd w:val="0"/>
      <w:spacing w:after="0" w:line="240" w:lineRule="auto"/>
      <w:jc w:val="both"/>
    </w:pPr>
    <w:rPr>
      <w:rFonts w:ascii="Times New Roman" w:eastAsia="Times New Roman" w:hAnsi="Times New Roman"/>
      <w:b/>
      <w:color w:val="000000"/>
      <w:sz w:val="24"/>
      <w:szCs w:val="24"/>
      <w:lang w:eastAsia="en-GB"/>
    </w:rPr>
  </w:style>
  <w:style w:type="paragraph" w:customStyle="1" w:styleId="Default">
    <w:name w:val="Default"/>
    <w:basedOn w:val="Normal"/>
    <w:rsid w:val="0014116F"/>
    <w:pPr>
      <w:spacing w:after="0" w:line="240" w:lineRule="auto"/>
    </w:pPr>
    <w:rPr>
      <w:rFonts w:ascii="Times New Roman" w:eastAsia="Times New Roman" w:hAnsi="Times New Roman"/>
      <w:color w:val="000000"/>
      <w:sz w:val="24"/>
      <w:szCs w:val="24"/>
      <w:lang w:val="en-GB" w:eastAsia="en-GB"/>
    </w:rPr>
  </w:style>
  <w:style w:type="character" w:styleId="CommentReference">
    <w:name w:val="annotation reference"/>
    <w:unhideWhenUsed/>
    <w:rsid w:val="0066294B"/>
    <w:rPr>
      <w:sz w:val="16"/>
      <w:szCs w:val="16"/>
    </w:rPr>
  </w:style>
  <w:style w:type="paragraph" w:styleId="CommentText">
    <w:name w:val="annotation text"/>
    <w:basedOn w:val="Normal"/>
    <w:link w:val="CommentTextChar"/>
    <w:unhideWhenUsed/>
    <w:rsid w:val="0066294B"/>
    <w:pPr>
      <w:spacing w:after="0" w:line="240" w:lineRule="auto"/>
    </w:pPr>
    <w:rPr>
      <w:sz w:val="20"/>
      <w:szCs w:val="20"/>
      <w:lang w:eastAsia="lt-LT"/>
    </w:rPr>
  </w:style>
  <w:style w:type="character" w:customStyle="1" w:styleId="CommentTextChar">
    <w:name w:val="Comment Text Char"/>
    <w:basedOn w:val="DefaultParagraphFont"/>
    <w:link w:val="CommentText"/>
    <w:uiPriority w:val="99"/>
    <w:rsid w:val="0066294B"/>
  </w:style>
  <w:style w:type="paragraph" w:styleId="HTMLPreformatted">
    <w:name w:val="HTML Preformatted"/>
    <w:basedOn w:val="Normal"/>
    <w:link w:val="HTMLPreformattedChar"/>
    <w:unhideWhenUsed/>
    <w:rsid w:val="0066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66294B"/>
    <w:rPr>
      <w:rFonts w:ascii="Courier New" w:eastAsia="Times New Roman" w:hAnsi="Courier New" w:cs="Courier New"/>
    </w:rPr>
  </w:style>
  <w:style w:type="paragraph" w:styleId="BalloonText">
    <w:name w:val="Balloon Text"/>
    <w:basedOn w:val="Normal"/>
    <w:link w:val="BalloonTextChar"/>
    <w:uiPriority w:val="99"/>
    <w:semiHidden/>
    <w:unhideWhenUsed/>
    <w:rsid w:val="0066294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66294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A2F8A"/>
    <w:pPr>
      <w:spacing w:after="200" w:line="276" w:lineRule="auto"/>
    </w:pPr>
    <w:rPr>
      <w:b/>
      <w:bCs/>
      <w:lang w:val="x-none" w:eastAsia="en-US"/>
    </w:rPr>
  </w:style>
  <w:style w:type="character" w:customStyle="1" w:styleId="CommentSubjectChar">
    <w:name w:val="Comment Subject Char"/>
    <w:link w:val="CommentSubject"/>
    <w:uiPriority w:val="99"/>
    <w:semiHidden/>
    <w:rsid w:val="000A2F8A"/>
    <w:rPr>
      <w:b/>
      <w:bCs/>
      <w:lang w:eastAsia="en-US"/>
    </w:rPr>
  </w:style>
  <w:style w:type="character" w:customStyle="1" w:styleId="Title10">
    <w:name w:val="Title1"/>
    <w:basedOn w:val="DefaultParagraphFont"/>
    <w:rsid w:val="00670288"/>
  </w:style>
  <w:style w:type="character" w:styleId="Hyperlink">
    <w:name w:val="Hyperlink"/>
    <w:uiPriority w:val="99"/>
    <w:unhideWhenUsed/>
    <w:rsid w:val="00704F71"/>
    <w:rPr>
      <w:color w:val="000000"/>
      <w:u w:val="single"/>
    </w:rPr>
  </w:style>
  <w:style w:type="character" w:styleId="PageNumber">
    <w:name w:val="page number"/>
    <w:basedOn w:val="DefaultParagraphFont"/>
    <w:uiPriority w:val="99"/>
    <w:semiHidden/>
    <w:unhideWhenUsed/>
    <w:rsid w:val="00704F71"/>
  </w:style>
  <w:style w:type="paragraph" w:styleId="Header">
    <w:name w:val="header"/>
    <w:basedOn w:val="Normal"/>
    <w:link w:val="HeaderChar"/>
    <w:uiPriority w:val="99"/>
    <w:unhideWhenUsed/>
    <w:rsid w:val="004F3A32"/>
    <w:pPr>
      <w:tabs>
        <w:tab w:val="center" w:pos="4819"/>
        <w:tab w:val="right" w:pos="9638"/>
      </w:tabs>
    </w:pPr>
    <w:rPr>
      <w:lang w:val="x-none"/>
    </w:rPr>
  </w:style>
  <w:style w:type="character" w:customStyle="1" w:styleId="HeaderChar">
    <w:name w:val="Header Char"/>
    <w:link w:val="Header"/>
    <w:uiPriority w:val="99"/>
    <w:rsid w:val="004F3A32"/>
    <w:rPr>
      <w:sz w:val="22"/>
      <w:szCs w:val="22"/>
      <w:lang w:eastAsia="en-US"/>
    </w:rPr>
  </w:style>
  <w:style w:type="paragraph" w:styleId="Footer">
    <w:name w:val="footer"/>
    <w:basedOn w:val="Normal"/>
    <w:link w:val="FooterChar"/>
    <w:uiPriority w:val="99"/>
    <w:unhideWhenUsed/>
    <w:rsid w:val="004F3A32"/>
    <w:pPr>
      <w:tabs>
        <w:tab w:val="center" w:pos="4819"/>
        <w:tab w:val="right" w:pos="9638"/>
      </w:tabs>
    </w:pPr>
    <w:rPr>
      <w:lang w:val="x-none"/>
    </w:rPr>
  </w:style>
  <w:style w:type="character" w:customStyle="1" w:styleId="FooterChar">
    <w:name w:val="Footer Char"/>
    <w:link w:val="Footer"/>
    <w:uiPriority w:val="99"/>
    <w:rsid w:val="004F3A32"/>
    <w:rPr>
      <w:sz w:val="22"/>
      <w:szCs w:val="22"/>
      <w:lang w:eastAsia="en-US"/>
    </w:rPr>
  </w:style>
  <w:style w:type="character" w:customStyle="1" w:styleId="st1">
    <w:name w:val="st1"/>
    <w:basedOn w:val="DefaultParagraphFont"/>
    <w:rsid w:val="0035511D"/>
  </w:style>
  <w:style w:type="character" w:customStyle="1" w:styleId="hps">
    <w:name w:val="hps"/>
    <w:basedOn w:val="DefaultParagraphFont"/>
    <w:rsid w:val="00D32B82"/>
  </w:style>
  <w:style w:type="character" w:customStyle="1" w:styleId="hpsatn">
    <w:name w:val="hps atn"/>
    <w:basedOn w:val="DefaultParagraphFont"/>
    <w:rsid w:val="00223455"/>
  </w:style>
  <w:style w:type="character" w:customStyle="1" w:styleId="shorttext">
    <w:name w:val="short_text"/>
    <w:basedOn w:val="DefaultParagraphFont"/>
    <w:rsid w:val="0012498F"/>
  </w:style>
  <w:style w:type="paragraph" w:styleId="BodyText">
    <w:name w:val="Body Text"/>
    <w:basedOn w:val="Normal"/>
    <w:rsid w:val="008552C6"/>
    <w:pPr>
      <w:spacing w:before="100" w:beforeAutospacing="1" w:after="100" w:afterAutospacing="1" w:line="240" w:lineRule="auto"/>
    </w:pPr>
    <w:rPr>
      <w:rFonts w:ascii="Times New Roman" w:eastAsia="MS Mincho" w:hAnsi="Times New Roman"/>
      <w:sz w:val="24"/>
      <w:szCs w:val="24"/>
      <w:lang w:eastAsia="ja-JP"/>
    </w:rPr>
  </w:style>
  <w:style w:type="character" w:styleId="Strong">
    <w:name w:val="Strong"/>
    <w:qFormat/>
    <w:rsid w:val="004D3BB9"/>
    <w:rPr>
      <w:b/>
      <w:bCs/>
    </w:rPr>
  </w:style>
  <w:style w:type="paragraph" w:customStyle="1" w:styleId="Revision2">
    <w:name w:val="Revision2"/>
    <w:hidden/>
    <w:uiPriority w:val="71"/>
    <w:rsid w:val="00A2116F"/>
    <w:rPr>
      <w:sz w:val="22"/>
      <w:szCs w:val="22"/>
      <w:lang w:eastAsia="en-US"/>
    </w:rPr>
  </w:style>
  <w:style w:type="character" w:customStyle="1" w:styleId="statymonr">
    <w:name w:val="statymonr"/>
    <w:rsid w:val="00DC67A9"/>
  </w:style>
  <w:style w:type="paragraph" w:customStyle="1" w:styleId="ListParagraph1">
    <w:name w:val="List Paragraph1"/>
    <w:basedOn w:val="Normal"/>
    <w:uiPriority w:val="34"/>
    <w:qFormat/>
    <w:rsid w:val="008A781C"/>
    <w:pPr>
      <w:ind w:left="720"/>
      <w:contextualSpacing/>
    </w:pPr>
  </w:style>
  <w:style w:type="character" w:customStyle="1" w:styleId="Pavadinimas1">
    <w:name w:val="Pavadinimas1"/>
    <w:rsid w:val="00AC7E68"/>
  </w:style>
  <w:style w:type="paragraph" w:styleId="Revision">
    <w:name w:val="Revision"/>
    <w:hidden/>
    <w:uiPriority w:val="99"/>
    <w:semiHidden/>
    <w:rsid w:val="00E50A7E"/>
    <w:rPr>
      <w:sz w:val="22"/>
      <w:szCs w:val="22"/>
      <w:lang w:eastAsia="en-US"/>
    </w:rPr>
  </w:style>
  <w:style w:type="table" w:styleId="TableGrid">
    <w:name w:val="Table Grid"/>
    <w:basedOn w:val="TableNormal"/>
    <w:uiPriority w:val="59"/>
    <w:rsid w:val="00D7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5DC9"/>
    <w:rPr>
      <w:color w:val="800080"/>
      <w:u w:val="single"/>
    </w:rPr>
  </w:style>
  <w:style w:type="paragraph" w:styleId="NormalWeb">
    <w:name w:val="Normal (Web)"/>
    <w:basedOn w:val="Normal"/>
    <w:uiPriority w:val="99"/>
    <w:unhideWhenUsed/>
    <w:rsid w:val="002E6C8A"/>
    <w:pPr>
      <w:spacing w:before="100" w:beforeAutospacing="1" w:after="100" w:afterAutospacing="1" w:line="240" w:lineRule="auto"/>
    </w:pPr>
    <w:rPr>
      <w:rFonts w:ascii="Times New Roman" w:eastAsia="Times New Roman" w:hAnsi="Times New Roman"/>
      <w:sz w:val="24"/>
      <w:szCs w:val="24"/>
      <w:lang w:eastAsia="lt-LT"/>
    </w:rPr>
  </w:style>
  <w:style w:type="paragraph" w:styleId="ListParagraph">
    <w:name w:val="List Paragraph"/>
    <w:basedOn w:val="Normal"/>
    <w:link w:val="ListParagraphChar"/>
    <w:uiPriority w:val="34"/>
    <w:qFormat/>
    <w:rsid w:val="00BD56A9"/>
    <w:pPr>
      <w:ind w:left="720"/>
      <w:contextualSpacing/>
    </w:pPr>
  </w:style>
  <w:style w:type="paragraph" w:customStyle="1" w:styleId="tajtip">
    <w:name w:val="tajtip"/>
    <w:basedOn w:val="Normal"/>
    <w:rsid w:val="006F2AAE"/>
    <w:pPr>
      <w:spacing w:after="150" w:line="240" w:lineRule="auto"/>
    </w:pPr>
    <w:rPr>
      <w:rFonts w:ascii="Times New Roman" w:eastAsia="Times New Roman" w:hAnsi="Times New Roman"/>
      <w:sz w:val="24"/>
      <w:szCs w:val="24"/>
      <w:lang w:eastAsia="lt-LT"/>
    </w:rPr>
  </w:style>
  <w:style w:type="paragraph" w:customStyle="1" w:styleId="tartip">
    <w:name w:val="tartip"/>
    <w:basedOn w:val="Normal"/>
    <w:rsid w:val="006F2AAE"/>
    <w:pPr>
      <w:spacing w:after="150" w:line="240" w:lineRule="auto"/>
    </w:pPr>
    <w:rPr>
      <w:rFonts w:ascii="Times New Roman" w:eastAsia="Times New Roman" w:hAnsi="Times New Roman"/>
      <w:sz w:val="24"/>
      <w:szCs w:val="24"/>
      <w:lang w:eastAsia="lt-LT"/>
    </w:rPr>
  </w:style>
  <w:style w:type="character" w:customStyle="1" w:styleId="Heading1Char">
    <w:name w:val="Heading 1 Char"/>
    <w:link w:val="Heading1"/>
    <w:uiPriority w:val="9"/>
    <w:rsid w:val="008C3E3E"/>
    <w:rPr>
      <w:rFonts w:ascii="Calibri Light" w:eastAsia="Times New Roman" w:hAnsi="Calibri Light" w:cs="Times New Roman"/>
      <w:b/>
      <w:bCs/>
      <w:kern w:val="32"/>
      <w:sz w:val="32"/>
      <w:szCs w:val="32"/>
      <w:lang w:eastAsia="en-US"/>
    </w:rPr>
  </w:style>
  <w:style w:type="paragraph" w:styleId="FootnoteText">
    <w:name w:val="footnote text"/>
    <w:basedOn w:val="Normal"/>
    <w:link w:val="FootnoteTextChar"/>
    <w:uiPriority w:val="99"/>
    <w:semiHidden/>
    <w:unhideWhenUsed/>
    <w:rsid w:val="004308ED"/>
    <w:rPr>
      <w:sz w:val="20"/>
      <w:szCs w:val="20"/>
    </w:rPr>
  </w:style>
  <w:style w:type="character" w:customStyle="1" w:styleId="FootnoteTextChar">
    <w:name w:val="Footnote Text Char"/>
    <w:link w:val="FootnoteText"/>
    <w:uiPriority w:val="99"/>
    <w:semiHidden/>
    <w:rsid w:val="004308ED"/>
    <w:rPr>
      <w:lang w:eastAsia="en-US"/>
    </w:rPr>
  </w:style>
  <w:style w:type="character" w:styleId="FootnoteReference">
    <w:name w:val="footnote reference"/>
    <w:uiPriority w:val="99"/>
    <w:semiHidden/>
    <w:unhideWhenUsed/>
    <w:rsid w:val="004308ED"/>
    <w:rPr>
      <w:vertAlign w:val="superscript"/>
    </w:rPr>
  </w:style>
  <w:style w:type="numbering" w:customStyle="1" w:styleId="NoList1">
    <w:name w:val="No List1"/>
    <w:next w:val="NoList"/>
    <w:uiPriority w:val="99"/>
    <w:semiHidden/>
    <w:unhideWhenUsed/>
    <w:rsid w:val="00F9257E"/>
  </w:style>
  <w:style w:type="character" w:customStyle="1" w:styleId="Title11">
    <w:name w:val="Title1"/>
    <w:rsid w:val="00F9257E"/>
  </w:style>
  <w:style w:type="table" w:customStyle="1" w:styleId="TableGrid1">
    <w:name w:val="Table Grid1"/>
    <w:basedOn w:val="TableNormal"/>
    <w:next w:val="TableGrid"/>
    <w:uiPriority w:val="59"/>
    <w:rsid w:val="00F9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9257E"/>
    <w:rPr>
      <w:i/>
      <w:iCs/>
      <w:color w:val="808080"/>
    </w:rPr>
  </w:style>
  <w:style w:type="paragraph" w:styleId="List4">
    <w:name w:val="List 4"/>
    <w:basedOn w:val="Normal"/>
    <w:rsid w:val="00F9257E"/>
    <w:pPr>
      <w:overflowPunct w:val="0"/>
      <w:autoSpaceDE w:val="0"/>
      <w:autoSpaceDN w:val="0"/>
      <w:adjustRightInd w:val="0"/>
      <w:spacing w:after="0" w:line="240" w:lineRule="auto"/>
      <w:ind w:left="1132" w:hanging="283"/>
      <w:contextualSpacing/>
      <w:textAlignment w:val="baseline"/>
    </w:pPr>
    <w:rPr>
      <w:rFonts w:ascii="TimesLT" w:eastAsia="Times New Roman" w:hAnsi="TimesLT"/>
      <w:sz w:val="24"/>
      <w:szCs w:val="20"/>
    </w:rPr>
  </w:style>
  <w:style w:type="character" w:customStyle="1" w:styleId="UnresolvedMention1">
    <w:name w:val="Unresolved Mention1"/>
    <w:basedOn w:val="DefaultParagraphFont"/>
    <w:uiPriority w:val="99"/>
    <w:semiHidden/>
    <w:unhideWhenUsed/>
    <w:rsid w:val="00BC202C"/>
    <w:rPr>
      <w:color w:val="605E5C"/>
      <w:shd w:val="clear" w:color="auto" w:fill="E1DFDD"/>
    </w:rPr>
  </w:style>
  <w:style w:type="table" w:customStyle="1" w:styleId="TableGrid2">
    <w:name w:val="Table Grid2"/>
    <w:basedOn w:val="TableNormal"/>
    <w:next w:val="TableGrid"/>
    <w:uiPriority w:val="39"/>
    <w:rsid w:val="00A549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0C73B3"/>
    <w:pPr>
      <w:snapToGrid w:val="0"/>
      <w:ind w:firstLine="312"/>
      <w:jc w:val="both"/>
    </w:pPr>
    <w:rPr>
      <w:rFonts w:ascii="TimesLT" w:eastAsia="Times New Roman" w:hAnsi="TimesLT"/>
      <w:lang w:val="en-US" w:eastAsia="en-US"/>
    </w:rPr>
  </w:style>
  <w:style w:type="numbering" w:customStyle="1" w:styleId="Style1">
    <w:name w:val="Style1"/>
    <w:uiPriority w:val="99"/>
    <w:rsid w:val="000C696D"/>
    <w:pPr>
      <w:numPr>
        <w:numId w:val="6"/>
      </w:numPr>
    </w:pPr>
  </w:style>
  <w:style w:type="numbering" w:customStyle="1" w:styleId="Style2">
    <w:name w:val="Style2"/>
    <w:uiPriority w:val="99"/>
    <w:rsid w:val="000C696D"/>
    <w:pPr>
      <w:numPr>
        <w:numId w:val="7"/>
      </w:numPr>
    </w:pPr>
  </w:style>
  <w:style w:type="numbering" w:customStyle="1" w:styleId="Style3">
    <w:name w:val="Style3"/>
    <w:uiPriority w:val="99"/>
    <w:rsid w:val="000C696D"/>
    <w:pPr>
      <w:numPr>
        <w:numId w:val="9"/>
      </w:numPr>
    </w:pPr>
  </w:style>
  <w:style w:type="numbering" w:customStyle="1" w:styleId="Style4">
    <w:name w:val="Style4"/>
    <w:uiPriority w:val="99"/>
    <w:rsid w:val="000C696D"/>
    <w:pPr>
      <w:numPr>
        <w:numId w:val="10"/>
      </w:numPr>
    </w:pPr>
  </w:style>
  <w:style w:type="numbering" w:customStyle="1" w:styleId="Style5">
    <w:name w:val="Style5"/>
    <w:uiPriority w:val="99"/>
    <w:rsid w:val="000C696D"/>
    <w:pPr>
      <w:numPr>
        <w:numId w:val="12"/>
      </w:numPr>
    </w:pPr>
  </w:style>
  <w:style w:type="numbering" w:customStyle="1" w:styleId="Style6">
    <w:name w:val="Style6"/>
    <w:uiPriority w:val="99"/>
    <w:rsid w:val="000C696D"/>
    <w:pPr>
      <w:numPr>
        <w:numId w:val="13"/>
      </w:numPr>
    </w:pPr>
  </w:style>
  <w:style w:type="character" w:customStyle="1" w:styleId="UnresolvedMention2">
    <w:name w:val="Unresolved Mention2"/>
    <w:basedOn w:val="DefaultParagraphFont"/>
    <w:uiPriority w:val="99"/>
    <w:semiHidden/>
    <w:unhideWhenUsed/>
    <w:rsid w:val="006D294F"/>
    <w:rPr>
      <w:color w:val="605E5C"/>
      <w:shd w:val="clear" w:color="auto" w:fill="E1DFDD"/>
    </w:rPr>
  </w:style>
  <w:style w:type="character" w:customStyle="1" w:styleId="ListParagraphChar">
    <w:name w:val="List Paragraph Char"/>
    <w:link w:val="ListParagraph"/>
    <w:uiPriority w:val="34"/>
    <w:locked/>
    <w:rsid w:val="001A12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9293">
      <w:bodyDiv w:val="1"/>
      <w:marLeft w:val="0"/>
      <w:marRight w:val="0"/>
      <w:marTop w:val="0"/>
      <w:marBottom w:val="0"/>
      <w:divBdr>
        <w:top w:val="none" w:sz="0" w:space="0" w:color="auto"/>
        <w:left w:val="none" w:sz="0" w:space="0" w:color="auto"/>
        <w:bottom w:val="none" w:sz="0" w:space="0" w:color="auto"/>
        <w:right w:val="none" w:sz="0" w:space="0" w:color="auto"/>
      </w:divBdr>
      <w:divsChild>
        <w:div w:id="1681080691">
          <w:marLeft w:val="0"/>
          <w:marRight w:val="0"/>
          <w:marTop w:val="0"/>
          <w:marBottom w:val="0"/>
          <w:divBdr>
            <w:top w:val="none" w:sz="0" w:space="0" w:color="auto"/>
            <w:left w:val="none" w:sz="0" w:space="0" w:color="auto"/>
            <w:bottom w:val="none" w:sz="0" w:space="0" w:color="auto"/>
            <w:right w:val="none" w:sz="0" w:space="0" w:color="auto"/>
          </w:divBdr>
        </w:div>
      </w:divsChild>
    </w:div>
    <w:div w:id="75521325">
      <w:bodyDiv w:val="1"/>
      <w:marLeft w:val="0"/>
      <w:marRight w:val="0"/>
      <w:marTop w:val="0"/>
      <w:marBottom w:val="0"/>
      <w:divBdr>
        <w:top w:val="none" w:sz="0" w:space="0" w:color="auto"/>
        <w:left w:val="none" w:sz="0" w:space="0" w:color="auto"/>
        <w:bottom w:val="none" w:sz="0" w:space="0" w:color="auto"/>
        <w:right w:val="none" w:sz="0" w:space="0" w:color="auto"/>
      </w:divBdr>
      <w:divsChild>
        <w:div w:id="767239317">
          <w:marLeft w:val="0"/>
          <w:marRight w:val="0"/>
          <w:marTop w:val="0"/>
          <w:marBottom w:val="0"/>
          <w:divBdr>
            <w:top w:val="none" w:sz="0" w:space="0" w:color="auto"/>
            <w:left w:val="none" w:sz="0" w:space="0" w:color="auto"/>
            <w:bottom w:val="none" w:sz="0" w:space="0" w:color="auto"/>
            <w:right w:val="none" w:sz="0" w:space="0" w:color="auto"/>
          </w:divBdr>
          <w:divsChild>
            <w:div w:id="1601598113">
              <w:marLeft w:val="0"/>
              <w:marRight w:val="0"/>
              <w:marTop w:val="0"/>
              <w:marBottom w:val="0"/>
              <w:divBdr>
                <w:top w:val="none" w:sz="0" w:space="0" w:color="auto"/>
                <w:left w:val="none" w:sz="0" w:space="0" w:color="auto"/>
                <w:bottom w:val="none" w:sz="0" w:space="0" w:color="auto"/>
                <w:right w:val="none" w:sz="0" w:space="0" w:color="auto"/>
              </w:divBdr>
              <w:divsChild>
                <w:div w:id="1422069790">
                  <w:marLeft w:val="0"/>
                  <w:marRight w:val="0"/>
                  <w:marTop w:val="0"/>
                  <w:marBottom w:val="0"/>
                  <w:divBdr>
                    <w:top w:val="none" w:sz="0" w:space="0" w:color="auto"/>
                    <w:left w:val="none" w:sz="0" w:space="0" w:color="auto"/>
                    <w:bottom w:val="none" w:sz="0" w:space="0" w:color="auto"/>
                    <w:right w:val="none" w:sz="0" w:space="0" w:color="auto"/>
                  </w:divBdr>
                  <w:divsChild>
                    <w:div w:id="480122563">
                      <w:marLeft w:val="0"/>
                      <w:marRight w:val="0"/>
                      <w:marTop w:val="0"/>
                      <w:marBottom w:val="0"/>
                      <w:divBdr>
                        <w:top w:val="none" w:sz="0" w:space="0" w:color="auto"/>
                        <w:left w:val="none" w:sz="0" w:space="0" w:color="auto"/>
                        <w:bottom w:val="none" w:sz="0" w:space="0" w:color="auto"/>
                        <w:right w:val="none" w:sz="0" w:space="0" w:color="auto"/>
                      </w:divBdr>
                      <w:divsChild>
                        <w:div w:id="959065812">
                          <w:marLeft w:val="0"/>
                          <w:marRight w:val="0"/>
                          <w:marTop w:val="0"/>
                          <w:marBottom w:val="0"/>
                          <w:divBdr>
                            <w:top w:val="none" w:sz="0" w:space="0" w:color="auto"/>
                            <w:left w:val="none" w:sz="0" w:space="0" w:color="auto"/>
                            <w:bottom w:val="none" w:sz="0" w:space="0" w:color="auto"/>
                            <w:right w:val="none" w:sz="0" w:space="0" w:color="auto"/>
                          </w:divBdr>
                          <w:divsChild>
                            <w:div w:id="361712950">
                              <w:marLeft w:val="0"/>
                              <w:marRight w:val="0"/>
                              <w:marTop w:val="0"/>
                              <w:marBottom w:val="0"/>
                              <w:divBdr>
                                <w:top w:val="none" w:sz="0" w:space="0" w:color="auto"/>
                                <w:left w:val="none" w:sz="0" w:space="0" w:color="auto"/>
                                <w:bottom w:val="none" w:sz="0" w:space="0" w:color="auto"/>
                                <w:right w:val="none" w:sz="0" w:space="0" w:color="auto"/>
                              </w:divBdr>
                              <w:divsChild>
                                <w:div w:id="1371103249">
                                  <w:marLeft w:val="0"/>
                                  <w:marRight w:val="0"/>
                                  <w:marTop w:val="0"/>
                                  <w:marBottom w:val="0"/>
                                  <w:divBdr>
                                    <w:top w:val="single" w:sz="6" w:space="0" w:color="F5F5F5"/>
                                    <w:left w:val="single" w:sz="6" w:space="0" w:color="F5F5F5"/>
                                    <w:bottom w:val="single" w:sz="6" w:space="0" w:color="F5F5F5"/>
                                    <w:right w:val="single" w:sz="6" w:space="0" w:color="F5F5F5"/>
                                  </w:divBdr>
                                  <w:divsChild>
                                    <w:div w:id="1195312547">
                                      <w:marLeft w:val="0"/>
                                      <w:marRight w:val="0"/>
                                      <w:marTop w:val="0"/>
                                      <w:marBottom w:val="0"/>
                                      <w:divBdr>
                                        <w:top w:val="none" w:sz="0" w:space="0" w:color="auto"/>
                                        <w:left w:val="none" w:sz="0" w:space="0" w:color="auto"/>
                                        <w:bottom w:val="none" w:sz="0" w:space="0" w:color="auto"/>
                                        <w:right w:val="none" w:sz="0" w:space="0" w:color="auto"/>
                                      </w:divBdr>
                                      <w:divsChild>
                                        <w:div w:id="20014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90400">
      <w:bodyDiv w:val="1"/>
      <w:marLeft w:val="0"/>
      <w:marRight w:val="0"/>
      <w:marTop w:val="0"/>
      <w:marBottom w:val="0"/>
      <w:divBdr>
        <w:top w:val="none" w:sz="0" w:space="0" w:color="auto"/>
        <w:left w:val="none" w:sz="0" w:space="0" w:color="auto"/>
        <w:bottom w:val="none" w:sz="0" w:space="0" w:color="auto"/>
        <w:right w:val="none" w:sz="0" w:space="0" w:color="auto"/>
      </w:divBdr>
      <w:divsChild>
        <w:div w:id="1368024261">
          <w:marLeft w:val="0"/>
          <w:marRight w:val="0"/>
          <w:marTop w:val="0"/>
          <w:marBottom w:val="0"/>
          <w:divBdr>
            <w:top w:val="none" w:sz="0" w:space="0" w:color="auto"/>
            <w:left w:val="none" w:sz="0" w:space="0" w:color="auto"/>
            <w:bottom w:val="none" w:sz="0" w:space="0" w:color="auto"/>
            <w:right w:val="none" w:sz="0" w:space="0" w:color="auto"/>
          </w:divBdr>
          <w:divsChild>
            <w:div w:id="278341283">
              <w:marLeft w:val="0"/>
              <w:marRight w:val="0"/>
              <w:marTop w:val="0"/>
              <w:marBottom w:val="0"/>
              <w:divBdr>
                <w:top w:val="none" w:sz="0" w:space="0" w:color="auto"/>
                <w:left w:val="none" w:sz="0" w:space="0" w:color="auto"/>
                <w:bottom w:val="none" w:sz="0" w:space="0" w:color="auto"/>
                <w:right w:val="none" w:sz="0" w:space="0" w:color="auto"/>
              </w:divBdr>
              <w:divsChild>
                <w:div w:id="1473063035">
                  <w:marLeft w:val="0"/>
                  <w:marRight w:val="0"/>
                  <w:marTop w:val="0"/>
                  <w:marBottom w:val="0"/>
                  <w:divBdr>
                    <w:top w:val="none" w:sz="0" w:space="0" w:color="auto"/>
                    <w:left w:val="none" w:sz="0" w:space="0" w:color="auto"/>
                    <w:bottom w:val="none" w:sz="0" w:space="0" w:color="auto"/>
                    <w:right w:val="none" w:sz="0" w:space="0" w:color="auto"/>
                  </w:divBdr>
                  <w:divsChild>
                    <w:div w:id="1655259426">
                      <w:marLeft w:val="0"/>
                      <w:marRight w:val="0"/>
                      <w:marTop w:val="0"/>
                      <w:marBottom w:val="0"/>
                      <w:divBdr>
                        <w:top w:val="none" w:sz="0" w:space="0" w:color="auto"/>
                        <w:left w:val="none" w:sz="0" w:space="0" w:color="auto"/>
                        <w:bottom w:val="none" w:sz="0" w:space="0" w:color="auto"/>
                        <w:right w:val="none" w:sz="0" w:space="0" w:color="auto"/>
                      </w:divBdr>
                      <w:divsChild>
                        <w:div w:id="221260148">
                          <w:marLeft w:val="0"/>
                          <w:marRight w:val="0"/>
                          <w:marTop w:val="0"/>
                          <w:marBottom w:val="0"/>
                          <w:divBdr>
                            <w:top w:val="none" w:sz="0" w:space="0" w:color="auto"/>
                            <w:left w:val="none" w:sz="0" w:space="0" w:color="auto"/>
                            <w:bottom w:val="none" w:sz="0" w:space="0" w:color="auto"/>
                            <w:right w:val="none" w:sz="0" w:space="0" w:color="auto"/>
                          </w:divBdr>
                          <w:divsChild>
                            <w:div w:id="1842112506">
                              <w:marLeft w:val="0"/>
                              <w:marRight w:val="0"/>
                              <w:marTop w:val="0"/>
                              <w:marBottom w:val="0"/>
                              <w:divBdr>
                                <w:top w:val="none" w:sz="0" w:space="0" w:color="auto"/>
                                <w:left w:val="none" w:sz="0" w:space="0" w:color="auto"/>
                                <w:bottom w:val="none" w:sz="0" w:space="0" w:color="auto"/>
                                <w:right w:val="none" w:sz="0" w:space="0" w:color="auto"/>
                              </w:divBdr>
                              <w:divsChild>
                                <w:div w:id="141391022">
                                  <w:marLeft w:val="0"/>
                                  <w:marRight w:val="0"/>
                                  <w:marTop w:val="0"/>
                                  <w:marBottom w:val="0"/>
                                  <w:divBdr>
                                    <w:top w:val="single" w:sz="6" w:space="0" w:color="F5F5F5"/>
                                    <w:left w:val="single" w:sz="6" w:space="0" w:color="F5F5F5"/>
                                    <w:bottom w:val="single" w:sz="6" w:space="0" w:color="F5F5F5"/>
                                    <w:right w:val="single" w:sz="6" w:space="0" w:color="F5F5F5"/>
                                  </w:divBdr>
                                  <w:divsChild>
                                    <w:div w:id="1036391659">
                                      <w:marLeft w:val="0"/>
                                      <w:marRight w:val="0"/>
                                      <w:marTop w:val="0"/>
                                      <w:marBottom w:val="0"/>
                                      <w:divBdr>
                                        <w:top w:val="none" w:sz="0" w:space="0" w:color="auto"/>
                                        <w:left w:val="none" w:sz="0" w:space="0" w:color="auto"/>
                                        <w:bottom w:val="none" w:sz="0" w:space="0" w:color="auto"/>
                                        <w:right w:val="none" w:sz="0" w:space="0" w:color="auto"/>
                                      </w:divBdr>
                                      <w:divsChild>
                                        <w:div w:id="156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36820">
      <w:bodyDiv w:val="1"/>
      <w:marLeft w:val="0"/>
      <w:marRight w:val="0"/>
      <w:marTop w:val="0"/>
      <w:marBottom w:val="0"/>
      <w:divBdr>
        <w:top w:val="none" w:sz="0" w:space="0" w:color="auto"/>
        <w:left w:val="none" w:sz="0" w:space="0" w:color="auto"/>
        <w:bottom w:val="none" w:sz="0" w:space="0" w:color="auto"/>
        <w:right w:val="none" w:sz="0" w:space="0" w:color="auto"/>
      </w:divBdr>
      <w:divsChild>
        <w:div w:id="619141240">
          <w:marLeft w:val="0"/>
          <w:marRight w:val="0"/>
          <w:marTop w:val="0"/>
          <w:marBottom w:val="0"/>
          <w:divBdr>
            <w:top w:val="none" w:sz="0" w:space="0" w:color="auto"/>
            <w:left w:val="none" w:sz="0" w:space="0" w:color="auto"/>
            <w:bottom w:val="none" w:sz="0" w:space="0" w:color="auto"/>
            <w:right w:val="none" w:sz="0" w:space="0" w:color="auto"/>
          </w:divBdr>
        </w:div>
      </w:divsChild>
    </w:div>
    <w:div w:id="227695604">
      <w:bodyDiv w:val="1"/>
      <w:marLeft w:val="0"/>
      <w:marRight w:val="0"/>
      <w:marTop w:val="0"/>
      <w:marBottom w:val="0"/>
      <w:divBdr>
        <w:top w:val="none" w:sz="0" w:space="0" w:color="auto"/>
        <w:left w:val="none" w:sz="0" w:space="0" w:color="auto"/>
        <w:bottom w:val="none" w:sz="0" w:space="0" w:color="auto"/>
        <w:right w:val="none" w:sz="0" w:space="0" w:color="auto"/>
      </w:divBdr>
    </w:div>
    <w:div w:id="270942003">
      <w:bodyDiv w:val="1"/>
      <w:marLeft w:val="0"/>
      <w:marRight w:val="0"/>
      <w:marTop w:val="0"/>
      <w:marBottom w:val="0"/>
      <w:divBdr>
        <w:top w:val="none" w:sz="0" w:space="0" w:color="auto"/>
        <w:left w:val="none" w:sz="0" w:space="0" w:color="auto"/>
        <w:bottom w:val="none" w:sz="0" w:space="0" w:color="auto"/>
        <w:right w:val="none" w:sz="0" w:space="0" w:color="auto"/>
      </w:divBdr>
      <w:divsChild>
        <w:div w:id="1273588570">
          <w:marLeft w:val="0"/>
          <w:marRight w:val="0"/>
          <w:marTop w:val="0"/>
          <w:marBottom w:val="0"/>
          <w:divBdr>
            <w:top w:val="none" w:sz="0" w:space="0" w:color="auto"/>
            <w:left w:val="none" w:sz="0" w:space="0" w:color="auto"/>
            <w:bottom w:val="none" w:sz="0" w:space="0" w:color="auto"/>
            <w:right w:val="none" w:sz="0" w:space="0" w:color="auto"/>
          </w:divBdr>
          <w:divsChild>
            <w:div w:id="966736361">
              <w:marLeft w:val="0"/>
              <w:marRight w:val="0"/>
              <w:marTop w:val="0"/>
              <w:marBottom w:val="0"/>
              <w:divBdr>
                <w:top w:val="none" w:sz="0" w:space="0" w:color="auto"/>
                <w:left w:val="none" w:sz="0" w:space="0" w:color="auto"/>
                <w:bottom w:val="none" w:sz="0" w:space="0" w:color="auto"/>
                <w:right w:val="none" w:sz="0" w:space="0" w:color="auto"/>
              </w:divBdr>
              <w:divsChild>
                <w:div w:id="796334884">
                  <w:marLeft w:val="0"/>
                  <w:marRight w:val="0"/>
                  <w:marTop w:val="0"/>
                  <w:marBottom w:val="0"/>
                  <w:divBdr>
                    <w:top w:val="none" w:sz="0" w:space="0" w:color="auto"/>
                    <w:left w:val="none" w:sz="0" w:space="0" w:color="auto"/>
                    <w:bottom w:val="none" w:sz="0" w:space="0" w:color="auto"/>
                    <w:right w:val="none" w:sz="0" w:space="0" w:color="auto"/>
                  </w:divBdr>
                  <w:divsChild>
                    <w:div w:id="1162239828">
                      <w:marLeft w:val="0"/>
                      <w:marRight w:val="0"/>
                      <w:marTop w:val="0"/>
                      <w:marBottom w:val="0"/>
                      <w:divBdr>
                        <w:top w:val="none" w:sz="0" w:space="0" w:color="auto"/>
                        <w:left w:val="none" w:sz="0" w:space="0" w:color="auto"/>
                        <w:bottom w:val="none" w:sz="0" w:space="0" w:color="auto"/>
                        <w:right w:val="none" w:sz="0" w:space="0" w:color="auto"/>
                      </w:divBdr>
                      <w:divsChild>
                        <w:div w:id="72818595">
                          <w:marLeft w:val="0"/>
                          <w:marRight w:val="0"/>
                          <w:marTop w:val="0"/>
                          <w:marBottom w:val="0"/>
                          <w:divBdr>
                            <w:top w:val="none" w:sz="0" w:space="0" w:color="auto"/>
                            <w:left w:val="none" w:sz="0" w:space="0" w:color="auto"/>
                            <w:bottom w:val="none" w:sz="0" w:space="0" w:color="auto"/>
                            <w:right w:val="none" w:sz="0" w:space="0" w:color="auto"/>
                          </w:divBdr>
                          <w:divsChild>
                            <w:div w:id="648291864">
                              <w:marLeft w:val="0"/>
                              <w:marRight w:val="0"/>
                              <w:marTop w:val="0"/>
                              <w:marBottom w:val="0"/>
                              <w:divBdr>
                                <w:top w:val="none" w:sz="0" w:space="0" w:color="auto"/>
                                <w:left w:val="none" w:sz="0" w:space="0" w:color="auto"/>
                                <w:bottom w:val="none" w:sz="0" w:space="0" w:color="auto"/>
                                <w:right w:val="none" w:sz="0" w:space="0" w:color="auto"/>
                              </w:divBdr>
                              <w:divsChild>
                                <w:div w:id="337002324">
                                  <w:marLeft w:val="0"/>
                                  <w:marRight w:val="0"/>
                                  <w:marTop w:val="0"/>
                                  <w:marBottom w:val="0"/>
                                  <w:divBdr>
                                    <w:top w:val="single" w:sz="6" w:space="0" w:color="F5F5F5"/>
                                    <w:left w:val="single" w:sz="6" w:space="0" w:color="F5F5F5"/>
                                    <w:bottom w:val="single" w:sz="6" w:space="0" w:color="F5F5F5"/>
                                    <w:right w:val="single" w:sz="6" w:space="0" w:color="F5F5F5"/>
                                  </w:divBdr>
                                  <w:divsChild>
                                    <w:div w:id="726879314">
                                      <w:marLeft w:val="0"/>
                                      <w:marRight w:val="0"/>
                                      <w:marTop w:val="0"/>
                                      <w:marBottom w:val="0"/>
                                      <w:divBdr>
                                        <w:top w:val="none" w:sz="0" w:space="0" w:color="auto"/>
                                        <w:left w:val="none" w:sz="0" w:space="0" w:color="auto"/>
                                        <w:bottom w:val="none" w:sz="0" w:space="0" w:color="auto"/>
                                        <w:right w:val="none" w:sz="0" w:space="0" w:color="auto"/>
                                      </w:divBdr>
                                      <w:divsChild>
                                        <w:div w:id="5333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657896">
      <w:bodyDiv w:val="1"/>
      <w:marLeft w:val="0"/>
      <w:marRight w:val="0"/>
      <w:marTop w:val="0"/>
      <w:marBottom w:val="0"/>
      <w:divBdr>
        <w:top w:val="none" w:sz="0" w:space="0" w:color="auto"/>
        <w:left w:val="none" w:sz="0" w:space="0" w:color="auto"/>
        <w:bottom w:val="none" w:sz="0" w:space="0" w:color="auto"/>
        <w:right w:val="none" w:sz="0" w:space="0" w:color="auto"/>
      </w:divBdr>
      <w:divsChild>
        <w:div w:id="741175261">
          <w:marLeft w:val="0"/>
          <w:marRight w:val="0"/>
          <w:marTop w:val="0"/>
          <w:marBottom w:val="0"/>
          <w:divBdr>
            <w:top w:val="none" w:sz="0" w:space="0" w:color="auto"/>
            <w:left w:val="none" w:sz="0" w:space="0" w:color="auto"/>
            <w:bottom w:val="none" w:sz="0" w:space="0" w:color="auto"/>
            <w:right w:val="none" w:sz="0" w:space="0" w:color="auto"/>
          </w:divBdr>
          <w:divsChild>
            <w:div w:id="97599710">
              <w:marLeft w:val="0"/>
              <w:marRight w:val="0"/>
              <w:marTop w:val="0"/>
              <w:marBottom w:val="0"/>
              <w:divBdr>
                <w:top w:val="none" w:sz="0" w:space="0" w:color="auto"/>
                <w:left w:val="none" w:sz="0" w:space="0" w:color="auto"/>
                <w:bottom w:val="none" w:sz="0" w:space="0" w:color="auto"/>
                <w:right w:val="none" w:sz="0" w:space="0" w:color="auto"/>
              </w:divBdr>
              <w:divsChild>
                <w:div w:id="1687245947">
                  <w:marLeft w:val="0"/>
                  <w:marRight w:val="0"/>
                  <w:marTop w:val="0"/>
                  <w:marBottom w:val="0"/>
                  <w:divBdr>
                    <w:top w:val="none" w:sz="0" w:space="0" w:color="auto"/>
                    <w:left w:val="none" w:sz="0" w:space="0" w:color="auto"/>
                    <w:bottom w:val="none" w:sz="0" w:space="0" w:color="auto"/>
                    <w:right w:val="none" w:sz="0" w:space="0" w:color="auto"/>
                  </w:divBdr>
                  <w:divsChild>
                    <w:div w:id="2035302600">
                      <w:marLeft w:val="0"/>
                      <w:marRight w:val="0"/>
                      <w:marTop w:val="0"/>
                      <w:marBottom w:val="0"/>
                      <w:divBdr>
                        <w:top w:val="none" w:sz="0" w:space="0" w:color="auto"/>
                        <w:left w:val="none" w:sz="0" w:space="0" w:color="auto"/>
                        <w:bottom w:val="none" w:sz="0" w:space="0" w:color="auto"/>
                        <w:right w:val="none" w:sz="0" w:space="0" w:color="auto"/>
                      </w:divBdr>
                      <w:divsChild>
                        <w:div w:id="36322962">
                          <w:marLeft w:val="0"/>
                          <w:marRight w:val="0"/>
                          <w:marTop w:val="0"/>
                          <w:marBottom w:val="0"/>
                          <w:divBdr>
                            <w:top w:val="none" w:sz="0" w:space="0" w:color="auto"/>
                            <w:left w:val="none" w:sz="0" w:space="0" w:color="auto"/>
                            <w:bottom w:val="none" w:sz="0" w:space="0" w:color="auto"/>
                            <w:right w:val="none" w:sz="0" w:space="0" w:color="auto"/>
                          </w:divBdr>
                          <w:divsChild>
                            <w:div w:id="1325549196">
                              <w:marLeft w:val="0"/>
                              <w:marRight w:val="0"/>
                              <w:marTop w:val="0"/>
                              <w:marBottom w:val="0"/>
                              <w:divBdr>
                                <w:top w:val="none" w:sz="0" w:space="0" w:color="auto"/>
                                <w:left w:val="none" w:sz="0" w:space="0" w:color="auto"/>
                                <w:bottom w:val="none" w:sz="0" w:space="0" w:color="auto"/>
                                <w:right w:val="none" w:sz="0" w:space="0" w:color="auto"/>
                              </w:divBdr>
                              <w:divsChild>
                                <w:div w:id="61877033">
                                  <w:marLeft w:val="0"/>
                                  <w:marRight w:val="0"/>
                                  <w:marTop w:val="0"/>
                                  <w:marBottom w:val="0"/>
                                  <w:divBdr>
                                    <w:top w:val="single" w:sz="6" w:space="0" w:color="F5F5F5"/>
                                    <w:left w:val="single" w:sz="6" w:space="0" w:color="F5F5F5"/>
                                    <w:bottom w:val="single" w:sz="6" w:space="0" w:color="F5F5F5"/>
                                    <w:right w:val="single" w:sz="6" w:space="0" w:color="F5F5F5"/>
                                  </w:divBdr>
                                  <w:divsChild>
                                    <w:div w:id="665590365">
                                      <w:marLeft w:val="0"/>
                                      <w:marRight w:val="0"/>
                                      <w:marTop w:val="0"/>
                                      <w:marBottom w:val="0"/>
                                      <w:divBdr>
                                        <w:top w:val="none" w:sz="0" w:space="0" w:color="auto"/>
                                        <w:left w:val="none" w:sz="0" w:space="0" w:color="auto"/>
                                        <w:bottom w:val="none" w:sz="0" w:space="0" w:color="auto"/>
                                        <w:right w:val="none" w:sz="0" w:space="0" w:color="auto"/>
                                      </w:divBdr>
                                      <w:divsChild>
                                        <w:div w:id="2118324603">
                                          <w:marLeft w:val="0"/>
                                          <w:marRight w:val="0"/>
                                          <w:marTop w:val="0"/>
                                          <w:marBottom w:val="0"/>
                                          <w:divBdr>
                                            <w:top w:val="none" w:sz="0" w:space="0" w:color="auto"/>
                                            <w:left w:val="none" w:sz="0" w:space="0" w:color="auto"/>
                                            <w:bottom w:val="none" w:sz="0" w:space="0" w:color="auto"/>
                                            <w:right w:val="none" w:sz="0" w:space="0" w:color="auto"/>
                                          </w:divBdr>
                                          <w:divsChild>
                                            <w:div w:id="19555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9573">
                                  <w:marLeft w:val="0"/>
                                  <w:marRight w:val="0"/>
                                  <w:marTop w:val="0"/>
                                  <w:marBottom w:val="41"/>
                                  <w:divBdr>
                                    <w:top w:val="none" w:sz="0" w:space="0" w:color="auto"/>
                                    <w:left w:val="none" w:sz="0" w:space="0" w:color="auto"/>
                                    <w:bottom w:val="none" w:sz="0" w:space="0" w:color="auto"/>
                                    <w:right w:val="none" w:sz="0" w:space="0" w:color="auto"/>
                                  </w:divBdr>
                                  <w:divsChild>
                                    <w:div w:id="1921282020">
                                      <w:marLeft w:val="0"/>
                                      <w:marRight w:val="0"/>
                                      <w:marTop w:val="0"/>
                                      <w:marBottom w:val="0"/>
                                      <w:divBdr>
                                        <w:top w:val="none" w:sz="0" w:space="0" w:color="auto"/>
                                        <w:left w:val="none" w:sz="0" w:space="0" w:color="auto"/>
                                        <w:bottom w:val="none" w:sz="0" w:space="0" w:color="auto"/>
                                        <w:right w:val="none" w:sz="0" w:space="0" w:color="auto"/>
                                      </w:divBdr>
                                      <w:divsChild>
                                        <w:div w:id="263541021">
                                          <w:marLeft w:val="0"/>
                                          <w:marRight w:val="0"/>
                                          <w:marTop w:val="0"/>
                                          <w:marBottom w:val="0"/>
                                          <w:divBdr>
                                            <w:top w:val="none" w:sz="0" w:space="0" w:color="auto"/>
                                            <w:left w:val="none" w:sz="0" w:space="0" w:color="auto"/>
                                            <w:bottom w:val="none" w:sz="0" w:space="0" w:color="auto"/>
                                            <w:right w:val="none" w:sz="0" w:space="0" w:color="auto"/>
                                          </w:divBdr>
                                          <w:divsChild>
                                            <w:div w:id="2081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020949">
      <w:bodyDiv w:val="1"/>
      <w:marLeft w:val="0"/>
      <w:marRight w:val="0"/>
      <w:marTop w:val="0"/>
      <w:marBottom w:val="0"/>
      <w:divBdr>
        <w:top w:val="none" w:sz="0" w:space="0" w:color="auto"/>
        <w:left w:val="none" w:sz="0" w:space="0" w:color="auto"/>
        <w:bottom w:val="none" w:sz="0" w:space="0" w:color="auto"/>
        <w:right w:val="none" w:sz="0" w:space="0" w:color="auto"/>
      </w:divBdr>
    </w:div>
    <w:div w:id="647168802">
      <w:bodyDiv w:val="1"/>
      <w:marLeft w:val="0"/>
      <w:marRight w:val="0"/>
      <w:marTop w:val="0"/>
      <w:marBottom w:val="0"/>
      <w:divBdr>
        <w:top w:val="none" w:sz="0" w:space="0" w:color="auto"/>
        <w:left w:val="none" w:sz="0" w:space="0" w:color="auto"/>
        <w:bottom w:val="none" w:sz="0" w:space="0" w:color="auto"/>
        <w:right w:val="none" w:sz="0" w:space="0" w:color="auto"/>
      </w:divBdr>
      <w:divsChild>
        <w:div w:id="706175077">
          <w:marLeft w:val="0"/>
          <w:marRight w:val="0"/>
          <w:marTop w:val="0"/>
          <w:marBottom w:val="0"/>
          <w:divBdr>
            <w:top w:val="none" w:sz="0" w:space="0" w:color="auto"/>
            <w:left w:val="none" w:sz="0" w:space="0" w:color="auto"/>
            <w:bottom w:val="none" w:sz="0" w:space="0" w:color="auto"/>
            <w:right w:val="none" w:sz="0" w:space="0" w:color="auto"/>
          </w:divBdr>
          <w:divsChild>
            <w:div w:id="854461939">
              <w:marLeft w:val="0"/>
              <w:marRight w:val="0"/>
              <w:marTop w:val="0"/>
              <w:marBottom w:val="0"/>
              <w:divBdr>
                <w:top w:val="none" w:sz="0" w:space="0" w:color="auto"/>
                <w:left w:val="none" w:sz="0" w:space="0" w:color="auto"/>
                <w:bottom w:val="none" w:sz="0" w:space="0" w:color="auto"/>
                <w:right w:val="none" w:sz="0" w:space="0" w:color="auto"/>
              </w:divBdr>
              <w:divsChild>
                <w:div w:id="2015913375">
                  <w:marLeft w:val="0"/>
                  <w:marRight w:val="0"/>
                  <w:marTop w:val="0"/>
                  <w:marBottom w:val="0"/>
                  <w:divBdr>
                    <w:top w:val="none" w:sz="0" w:space="0" w:color="auto"/>
                    <w:left w:val="none" w:sz="0" w:space="0" w:color="auto"/>
                    <w:bottom w:val="none" w:sz="0" w:space="0" w:color="auto"/>
                    <w:right w:val="none" w:sz="0" w:space="0" w:color="auto"/>
                  </w:divBdr>
                  <w:divsChild>
                    <w:div w:id="544103887">
                      <w:marLeft w:val="0"/>
                      <w:marRight w:val="0"/>
                      <w:marTop w:val="0"/>
                      <w:marBottom w:val="0"/>
                      <w:divBdr>
                        <w:top w:val="none" w:sz="0" w:space="0" w:color="auto"/>
                        <w:left w:val="none" w:sz="0" w:space="0" w:color="auto"/>
                        <w:bottom w:val="none" w:sz="0" w:space="0" w:color="auto"/>
                        <w:right w:val="none" w:sz="0" w:space="0" w:color="auto"/>
                      </w:divBdr>
                      <w:divsChild>
                        <w:div w:id="469981464">
                          <w:marLeft w:val="0"/>
                          <w:marRight w:val="0"/>
                          <w:marTop w:val="0"/>
                          <w:marBottom w:val="0"/>
                          <w:divBdr>
                            <w:top w:val="none" w:sz="0" w:space="0" w:color="auto"/>
                            <w:left w:val="none" w:sz="0" w:space="0" w:color="auto"/>
                            <w:bottom w:val="none" w:sz="0" w:space="0" w:color="auto"/>
                            <w:right w:val="none" w:sz="0" w:space="0" w:color="auto"/>
                          </w:divBdr>
                          <w:divsChild>
                            <w:div w:id="518665814">
                              <w:marLeft w:val="0"/>
                              <w:marRight w:val="0"/>
                              <w:marTop w:val="0"/>
                              <w:marBottom w:val="0"/>
                              <w:divBdr>
                                <w:top w:val="none" w:sz="0" w:space="0" w:color="auto"/>
                                <w:left w:val="none" w:sz="0" w:space="0" w:color="auto"/>
                                <w:bottom w:val="none" w:sz="0" w:space="0" w:color="auto"/>
                                <w:right w:val="none" w:sz="0" w:space="0" w:color="auto"/>
                              </w:divBdr>
                              <w:divsChild>
                                <w:div w:id="987707660">
                                  <w:marLeft w:val="0"/>
                                  <w:marRight w:val="0"/>
                                  <w:marTop w:val="0"/>
                                  <w:marBottom w:val="0"/>
                                  <w:divBdr>
                                    <w:top w:val="single" w:sz="6" w:space="0" w:color="F5F5F5"/>
                                    <w:left w:val="single" w:sz="6" w:space="0" w:color="F5F5F5"/>
                                    <w:bottom w:val="single" w:sz="6" w:space="0" w:color="F5F5F5"/>
                                    <w:right w:val="single" w:sz="6" w:space="0" w:color="F5F5F5"/>
                                  </w:divBdr>
                                  <w:divsChild>
                                    <w:div w:id="337004664">
                                      <w:marLeft w:val="0"/>
                                      <w:marRight w:val="0"/>
                                      <w:marTop w:val="0"/>
                                      <w:marBottom w:val="0"/>
                                      <w:divBdr>
                                        <w:top w:val="none" w:sz="0" w:space="0" w:color="auto"/>
                                        <w:left w:val="none" w:sz="0" w:space="0" w:color="auto"/>
                                        <w:bottom w:val="none" w:sz="0" w:space="0" w:color="auto"/>
                                        <w:right w:val="none" w:sz="0" w:space="0" w:color="auto"/>
                                      </w:divBdr>
                                      <w:divsChild>
                                        <w:div w:id="338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307766">
      <w:bodyDiv w:val="1"/>
      <w:marLeft w:val="0"/>
      <w:marRight w:val="0"/>
      <w:marTop w:val="0"/>
      <w:marBottom w:val="0"/>
      <w:divBdr>
        <w:top w:val="none" w:sz="0" w:space="0" w:color="auto"/>
        <w:left w:val="none" w:sz="0" w:space="0" w:color="auto"/>
        <w:bottom w:val="none" w:sz="0" w:space="0" w:color="auto"/>
        <w:right w:val="none" w:sz="0" w:space="0" w:color="auto"/>
      </w:divBdr>
      <w:divsChild>
        <w:div w:id="1887792867">
          <w:marLeft w:val="0"/>
          <w:marRight w:val="0"/>
          <w:marTop w:val="0"/>
          <w:marBottom w:val="0"/>
          <w:divBdr>
            <w:top w:val="none" w:sz="0" w:space="0" w:color="auto"/>
            <w:left w:val="none" w:sz="0" w:space="0" w:color="auto"/>
            <w:bottom w:val="none" w:sz="0" w:space="0" w:color="auto"/>
            <w:right w:val="none" w:sz="0" w:space="0" w:color="auto"/>
          </w:divBdr>
        </w:div>
      </w:divsChild>
    </w:div>
    <w:div w:id="892615070">
      <w:bodyDiv w:val="1"/>
      <w:marLeft w:val="0"/>
      <w:marRight w:val="0"/>
      <w:marTop w:val="0"/>
      <w:marBottom w:val="0"/>
      <w:divBdr>
        <w:top w:val="none" w:sz="0" w:space="0" w:color="auto"/>
        <w:left w:val="none" w:sz="0" w:space="0" w:color="auto"/>
        <w:bottom w:val="none" w:sz="0" w:space="0" w:color="auto"/>
        <w:right w:val="none" w:sz="0" w:space="0" w:color="auto"/>
      </w:divBdr>
      <w:divsChild>
        <w:div w:id="1568301825">
          <w:marLeft w:val="0"/>
          <w:marRight w:val="0"/>
          <w:marTop w:val="0"/>
          <w:marBottom w:val="0"/>
          <w:divBdr>
            <w:top w:val="none" w:sz="0" w:space="0" w:color="auto"/>
            <w:left w:val="none" w:sz="0" w:space="0" w:color="auto"/>
            <w:bottom w:val="none" w:sz="0" w:space="0" w:color="auto"/>
            <w:right w:val="none" w:sz="0" w:space="0" w:color="auto"/>
          </w:divBdr>
        </w:div>
      </w:divsChild>
    </w:div>
    <w:div w:id="973174606">
      <w:bodyDiv w:val="1"/>
      <w:marLeft w:val="0"/>
      <w:marRight w:val="0"/>
      <w:marTop w:val="0"/>
      <w:marBottom w:val="0"/>
      <w:divBdr>
        <w:top w:val="none" w:sz="0" w:space="0" w:color="auto"/>
        <w:left w:val="none" w:sz="0" w:space="0" w:color="auto"/>
        <w:bottom w:val="none" w:sz="0" w:space="0" w:color="auto"/>
        <w:right w:val="none" w:sz="0" w:space="0" w:color="auto"/>
      </w:divBdr>
      <w:divsChild>
        <w:div w:id="2103992431">
          <w:marLeft w:val="0"/>
          <w:marRight w:val="0"/>
          <w:marTop w:val="0"/>
          <w:marBottom w:val="0"/>
          <w:divBdr>
            <w:top w:val="none" w:sz="0" w:space="0" w:color="auto"/>
            <w:left w:val="none" w:sz="0" w:space="0" w:color="auto"/>
            <w:bottom w:val="none" w:sz="0" w:space="0" w:color="auto"/>
            <w:right w:val="none" w:sz="0" w:space="0" w:color="auto"/>
          </w:divBdr>
          <w:divsChild>
            <w:div w:id="182938581">
              <w:marLeft w:val="0"/>
              <w:marRight w:val="0"/>
              <w:marTop w:val="0"/>
              <w:marBottom w:val="0"/>
              <w:divBdr>
                <w:top w:val="none" w:sz="0" w:space="0" w:color="auto"/>
                <w:left w:val="none" w:sz="0" w:space="0" w:color="auto"/>
                <w:bottom w:val="none" w:sz="0" w:space="0" w:color="auto"/>
                <w:right w:val="none" w:sz="0" w:space="0" w:color="auto"/>
              </w:divBdr>
              <w:divsChild>
                <w:div w:id="1568538634">
                  <w:marLeft w:val="0"/>
                  <w:marRight w:val="0"/>
                  <w:marTop w:val="0"/>
                  <w:marBottom w:val="0"/>
                  <w:divBdr>
                    <w:top w:val="none" w:sz="0" w:space="0" w:color="auto"/>
                    <w:left w:val="none" w:sz="0" w:space="0" w:color="auto"/>
                    <w:bottom w:val="none" w:sz="0" w:space="0" w:color="auto"/>
                    <w:right w:val="none" w:sz="0" w:space="0" w:color="auto"/>
                  </w:divBdr>
                  <w:divsChild>
                    <w:div w:id="1317026429">
                      <w:marLeft w:val="0"/>
                      <w:marRight w:val="0"/>
                      <w:marTop w:val="0"/>
                      <w:marBottom w:val="0"/>
                      <w:divBdr>
                        <w:top w:val="none" w:sz="0" w:space="0" w:color="auto"/>
                        <w:left w:val="none" w:sz="0" w:space="0" w:color="auto"/>
                        <w:bottom w:val="none" w:sz="0" w:space="0" w:color="auto"/>
                        <w:right w:val="none" w:sz="0" w:space="0" w:color="auto"/>
                      </w:divBdr>
                      <w:divsChild>
                        <w:div w:id="1084037424">
                          <w:marLeft w:val="0"/>
                          <w:marRight w:val="0"/>
                          <w:marTop w:val="0"/>
                          <w:marBottom w:val="0"/>
                          <w:divBdr>
                            <w:top w:val="none" w:sz="0" w:space="0" w:color="auto"/>
                            <w:left w:val="none" w:sz="0" w:space="0" w:color="auto"/>
                            <w:bottom w:val="none" w:sz="0" w:space="0" w:color="auto"/>
                            <w:right w:val="none" w:sz="0" w:space="0" w:color="auto"/>
                          </w:divBdr>
                          <w:divsChild>
                            <w:div w:id="1428039221">
                              <w:marLeft w:val="0"/>
                              <w:marRight w:val="0"/>
                              <w:marTop w:val="0"/>
                              <w:marBottom w:val="0"/>
                              <w:divBdr>
                                <w:top w:val="none" w:sz="0" w:space="0" w:color="auto"/>
                                <w:left w:val="none" w:sz="0" w:space="0" w:color="auto"/>
                                <w:bottom w:val="none" w:sz="0" w:space="0" w:color="auto"/>
                                <w:right w:val="none" w:sz="0" w:space="0" w:color="auto"/>
                              </w:divBdr>
                              <w:divsChild>
                                <w:div w:id="236323402">
                                  <w:marLeft w:val="0"/>
                                  <w:marRight w:val="0"/>
                                  <w:marTop w:val="0"/>
                                  <w:marBottom w:val="0"/>
                                  <w:divBdr>
                                    <w:top w:val="single" w:sz="6" w:space="0" w:color="F5F5F5"/>
                                    <w:left w:val="single" w:sz="6" w:space="0" w:color="F5F5F5"/>
                                    <w:bottom w:val="single" w:sz="6" w:space="0" w:color="F5F5F5"/>
                                    <w:right w:val="single" w:sz="6" w:space="0" w:color="F5F5F5"/>
                                  </w:divBdr>
                                  <w:divsChild>
                                    <w:div w:id="1003513640">
                                      <w:marLeft w:val="0"/>
                                      <w:marRight w:val="0"/>
                                      <w:marTop w:val="0"/>
                                      <w:marBottom w:val="0"/>
                                      <w:divBdr>
                                        <w:top w:val="none" w:sz="0" w:space="0" w:color="auto"/>
                                        <w:left w:val="none" w:sz="0" w:space="0" w:color="auto"/>
                                        <w:bottom w:val="none" w:sz="0" w:space="0" w:color="auto"/>
                                        <w:right w:val="none" w:sz="0" w:space="0" w:color="auto"/>
                                      </w:divBdr>
                                      <w:divsChild>
                                        <w:div w:id="1173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492825">
      <w:bodyDiv w:val="1"/>
      <w:marLeft w:val="0"/>
      <w:marRight w:val="0"/>
      <w:marTop w:val="0"/>
      <w:marBottom w:val="0"/>
      <w:divBdr>
        <w:top w:val="none" w:sz="0" w:space="0" w:color="auto"/>
        <w:left w:val="none" w:sz="0" w:space="0" w:color="auto"/>
        <w:bottom w:val="none" w:sz="0" w:space="0" w:color="auto"/>
        <w:right w:val="none" w:sz="0" w:space="0" w:color="auto"/>
      </w:divBdr>
    </w:div>
    <w:div w:id="1099329889">
      <w:bodyDiv w:val="1"/>
      <w:marLeft w:val="0"/>
      <w:marRight w:val="0"/>
      <w:marTop w:val="0"/>
      <w:marBottom w:val="0"/>
      <w:divBdr>
        <w:top w:val="none" w:sz="0" w:space="0" w:color="auto"/>
        <w:left w:val="none" w:sz="0" w:space="0" w:color="auto"/>
        <w:bottom w:val="none" w:sz="0" w:space="0" w:color="auto"/>
        <w:right w:val="none" w:sz="0" w:space="0" w:color="auto"/>
      </w:divBdr>
      <w:divsChild>
        <w:div w:id="1348478984">
          <w:marLeft w:val="0"/>
          <w:marRight w:val="0"/>
          <w:marTop w:val="0"/>
          <w:marBottom w:val="0"/>
          <w:divBdr>
            <w:top w:val="none" w:sz="0" w:space="0" w:color="auto"/>
            <w:left w:val="none" w:sz="0" w:space="0" w:color="auto"/>
            <w:bottom w:val="none" w:sz="0" w:space="0" w:color="auto"/>
            <w:right w:val="none" w:sz="0" w:space="0" w:color="auto"/>
          </w:divBdr>
          <w:divsChild>
            <w:div w:id="464197265">
              <w:marLeft w:val="0"/>
              <w:marRight w:val="0"/>
              <w:marTop w:val="0"/>
              <w:marBottom w:val="0"/>
              <w:divBdr>
                <w:top w:val="none" w:sz="0" w:space="0" w:color="auto"/>
                <w:left w:val="none" w:sz="0" w:space="0" w:color="auto"/>
                <w:bottom w:val="none" w:sz="0" w:space="0" w:color="auto"/>
                <w:right w:val="none" w:sz="0" w:space="0" w:color="auto"/>
              </w:divBdr>
              <w:divsChild>
                <w:div w:id="1431853877">
                  <w:marLeft w:val="0"/>
                  <w:marRight w:val="0"/>
                  <w:marTop w:val="0"/>
                  <w:marBottom w:val="0"/>
                  <w:divBdr>
                    <w:top w:val="none" w:sz="0" w:space="0" w:color="auto"/>
                    <w:left w:val="none" w:sz="0" w:space="0" w:color="auto"/>
                    <w:bottom w:val="none" w:sz="0" w:space="0" w:color="auto"/>
                    <w:right w:val="none" w:sz="0" w:space="0" w:color="auto"/>
                  </w:divBdr>
                  <w:divsChild>
                    <w:div w:id="1775247598">
                      <w:marLeft w:val="0"/>
                      <w:marRight w:val="0"/>
                      <w:marTop w:val="0"/>
                      <w:marBottom w:val="0"/>
                      <w:divBdr>
                        <w:top w:val="none" w:sz="0" w:space="0" w:color="auto"/>
                        <w:left w:val="none" w:sz="0" w:space="0" w:color="auto"/>
                        <w:bottom w:val="none" w:sz="0" w:space="0" w:color="auto"/>
                        <w:right w:val="none" w:sz="0" w:space="0" w:color="auto"/>
                      </w:divBdr>
                      <w:divsChild>
                        <w:div w:id="596908340">
                          <w:marLeft w:val="0"/>
                          <w:marRight w:val="0"/>
                          <w:marTop w:val="0"/>
                          <w:marBottom w:val="0"/>
                          <w:divBdr>
                            <w:top w:val="none" w:sz="0" w:space="0" w:color="auto"/>
                            <w:left w:val="none" w:sz="0" w:space="0" w:color="auto"/>
                            <w:bottom w:val="none" w:sz="0" w:space="0" w:color="auto"/>
                            <w:right w:val="none" w:sz="0" w:space="0" w:color="auto"/>
                          </w:divBdr>
                          <w:divsChild>
                            <w:div w:id="475029882">
                              <w:marLeft w:val="0"/>
                              <w:marRight w:val="0"/>
                              <w:marTop w:val="0"/>
                              <w:marBottom w:val="0"/>
                              <w:divBdr>
                                <w:top w:val="none" w:sz="0" w:space="0" w:color="auto"/>
                                <w:left w:val="none" w:sz="0" w:space="0" w:color="auto"/>
                                <w:bottom w:val="none" w:sz="0" w:space="0" w:color="auto"/>
                                <w:right w:val="none" w:sz="0" w:space="0" w:color="auto"/>
                              </w:divBdr>
                              <w:divsChild>
                                <w:div w:id="924923421">
                                  <w:marLeft w:val="0"/>
                                  <w:marRight w:val="0"/>
                                  <w:marTop w:val="0"/>
                                  <w:marBottom w:val="0"/>
                                  <w:divBdr>
                                    <w:top w:val="single" w:sz="6" w:space="0" w:color="F5F5F5"/>
                                    <w:left w:val="single" w:sz="6" w:space="0" w:color="F5F5F5"/>
                                    <w:bottom w:val="single" w:sz="6" w:space="0" w:color="F5F5F5"/>
                                    <w:right w:val="single" w:sz="6" w:space="0" w:color="F5F5F5"/>
                                  </w:divBdr>
                                  <w:divsChild>
                                    <w:div w:id="1451126389">
                                      <w:marLeft w:val="0"/>
                                      <w:marRight w:val="0"/>
                                      <w:marTop w:val="0"/>
                                      <w:marBottom w:val="0"/>
                                      <w:divBdr>
                                        <w:top w:val="none" w:sz="0" w:space="0" w:color="auto"/>
                                        <w:left w:val="none" w:sz="0" w:space="0" w:color="auto"/>
                                        <w:bottom w:val="none" w:sz="0" w:space="0" w:color="auto"/>
                                        <w:right w:val="none" w:sz="0" w:space="0" w:color="auto"/>
                                      </w:divBdr>
                                      <w:divsChild>
                                        <w:div w:id="5186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409665">
      <w:bodyDiv w:val="1"/>
      <w:marLeft w:val="0"/>
      <w:marRight w:val="0"/>
      <w:marTop w:val="0"/>
      <w:marBottom w:val="0"/>
      <w:divBdr>
        <w:top w:val="none" w:sz="0" w:space="0" w:color="auto"/>
        <w:left w:val="none" w:sz="0" w:space="0" w:color="auto"/>
        <w:bottom w:val="none" w:sz="0" w:space="0" w:color="auto"/>
        <w:right w:val="none" w:sz="0" w:space="0" w:color="auto"/>
      </w:divBdr>
      <w:divsChild>
        <w:div w:id="604772829">
          <w:marLeft w:val="0"/>
          <w:marRight w:val="0"/>
          <w:marTop w:val="0"/>
          <w:marBottom w:val="0"/>
          <w:divBdr>
            <w:top w:val="none" w:sz="0" w:space="0" w:color="auto"/>
            <w:left w:val="none" w:sz="0" w:space="0" w:color="auto"/>
            <w:bottom w:val="none" w:sz="0" w:space="0" w:color="auto"/>
            <w:right w:val="none" w:sz="0" w:space="0" w:color="auto"/>
          </w:divBdr>
          <w:divsChild>
            <w:div w:id="2095275986">
              <w:marLeft w:val="0"/>
              <w:marRight w:val="0"/>
              <w:marTop w:val="0"/>
              <w:marBottom w:val="0"/>
              <w:divBdr>
                <w:top w:val="none" w:sz="0" w:space="0" w:color="auto"/>
                <w:left w:val="none" w:sz="0" w:space="0" w:color="auto"/>
                <w:bottom w:val="none" w:sz="0" w:space="0" w:color="auto"/>
                <w:right w:val="none" w:sz="0" w:space="0" w:color="auto"/>
              </w:divBdr>
              <w:divsChild>
                <w:div w:id="416942304">
                  <w:marLeft w:val="0"/>
                  <w:marRight w:val="0"/>
                  <w:marTop w:val="0"/>
                  <w:marBottom w:val="0"/>
                  <w:divBdr>
                    <w:top w:val="none" w:sz="0" w:space="0" w:color="auto"/>
                    <w:left w:val="none" w:sz="0" w:space="0" w:color="auto"/>
                    <w:bottom w:val="none" w:sz="0" w:space="0" w:color="auto"/>
                    <w:right w:val="none" w:sz="0" w:space="0" w:color="auto"/>
                  </w:divBdr>
                  <w:divsChild>
                    <w:div w:id="2058045295">
                      <w:marLeft w:val="0"/>
                      <w:marRight w:val="0"/>
                      <w:marTop w:val="0"/>
                      <w:marBottom w:val="0"/>
                      <w:divBdr>
                        <w:top w:val="none" w:sz="0" w:space="0" w:color="auto"/>
                        <w:left w:val="none" w:sz="0" w:space="0" w:color="auto"/>
                        <w:bottom w:val="none" w:sz="0" w:space="0" w:color="auto"/>
                        <w:right w:val="none" w:sz="0" w:space="0" w:color="auto"/>
                      </w:divBdr>
                      <w:divsChild>
                        <w:div w:id="966275896">
                          <w:marLeft w:val="0"/>
                          <w:marRight w:val="0"/>
                          <w:marTop w:val="0"/>
                          <w:marBottom w:val="0"/>
                          <w:divBdr>
                            <w:top w:val="none" w:sz="0" w:space="0" w:color="auto"/>
                            <w:left w:val="none" w:sz="0" w:space="0" w:color="auto"/>
                            <w:bottom w:val="none" w:sz="0" w:space="0" w:color="auto"/>
                            <w:right w:val="none" w:sz="0" w:space="0" w:color="auto"/>
                          </w:divBdr>
                          <w:divsChild>
                            <w:div w:id="1994142588">
                              <w:marLeft w:val="0"/>
                              <w:marRight w:val="0"/>
                              <w:marTop w:val="0"/>
                              <w:marBottom w:val="0"/>
                              <w:divBdr>
                                <w:top w:val="none" w:sz="0" w:space="0" w:color="auto"/>
                                <w:left w:val="none" w:sz="0" w:space="0" w:color="auto"/>
                                <w:bottom w:val="none" w:sz="0" w:space="0" w:color="auto"/>
                                <w:right w:val="none" w:sz="0" w:space="0" w:color="auto"/>
                              </w:divBdr>
                              <w:divsChild>
                                <w:div w:id="547956038">
                                  <w:marLeft w:val="0"/>
                                  <w:marRight w:val="0"/>
                                  <w:marTop w:val="0"/>
                                  <w:marBottom w:val="0"/>
                                  <w:divBdr>
                                    <w:top w:val="single" w:sz="6" w:space="0" w:color="F5F5F5"/>
                                    <w:left w:val="single" w:sz="6" w:space="0" w:color="F5F5F5"/>
                                    <w:bottom w:val="single" w:sz="6" w:space="0" w:color="F5F5F5"/>
                                    <w:right w:val="single" w:sz="6" w:space="0" w:color="F5F5F5"/>
                                  </w:divBdr>
                                  <w:divsChild>
                                    <w:div w:id="1636373306">
                                      <w:marLeft w:val="0"/>
                                      <w:marRight w:val="0"/>
                                      <w:marTop w:val="0"/>
                                      <w:marBottom w:val="0"/>
                                      <w:divBdr>
                                        <w:top w:val="none" w:sz="0" w:space="0" w:color="auto"/>
                                        <w:left w:val="none" w:sz="0" w:space="0" w:color="auto"/>
                                        <w:bottom w:val="none" w:sz="0" w:space="0" w:color="auto"/>
                                        <w:right w:val="none" w:sz="0" w:space="0" w:color="auto"/>
                                      </w:divBdr>
                                      <w:divsChild>
                                        <w:div w:id="510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82939">
      <w:bodyDiv w:val="1"/>
      <w:marLeft w:val="0"/>
      <w:marRight w:val="0"/>
      <w:marTop w:val="0"/>
      <w:marBottom w:val="0"/>
      <w:divBdr>
        <w:top w:val="none" w:sz="0" w:space="0" w:color="auto"/>
        <w:left w:val="none" w:sz="0" w:space="0" w:color="auto"/>
        <w:bottom w:val="none" w:sz="0" w:space="0" w:color="auto"/>
        <w:right w:val="none" w:sz="0" w:space="0" w:color="auto"/>
      </w:divBdr>
      <w:divsChild>
        <w:div w:id="773280165">
          <w:marLeft w:val="0"/>
          <w:marRight w:val="0"/>
          <w:marTop w:val="0"/>
          <w:marBottom w:val="0"/>
          <w:divBdr>
            <w:top w:val="none" w:sz="0" w:space="0" w:color="auto"/>
            <w:left w:val="none" w:sz="0" w:space="0" w:color="auto"/>
            <w:bottom w:val="none" w:sz="0" w:space="0" w:color="auto"/>
            <w:right w:val="none" w:sz="0" w:space="0" w:color="auto"/>
          </w:divBdr>
          <w:divsChild>
            <w:div w:id="887494795">
              <w:marLeft w:val="0"/>
              <w:marRight w:val="0"/>
              <w:marTop w:val="0"/>
              <w:marBottom w:val="0"/>
              <w:divBdr>
                <w:top w:val="none" w:sz="0" w:space="0" w:color="auto"/>
                <w:left w:val="none" w:sz="0" w:space="0" w:color="auto"/>
                <w:bottom w:val="none" w:sz="0" w:space="0" w:color="auto"/>
                <w:right w:val="none" w:sz="0" w:space="0" w:color="auto"/>
              </w:divBdr>
              <w:divsChild>
                <w:div w:id="217131059">
                  <w:marLeft w:val="0"/>
                  <w:marRight w:val="0"/>
                  <w:marTop w:val="0"/>
                  <w:marBottom w:val="0"/>
                  <w:divBdr>
                    <w:top w:val="none" w:sz="0" w:space="0" w:color="auto"/>
                    <w:left w:val="none" w:sz="0" w:space="0" w:color="auto"/>
                    <w:bottom w:val="none" w:sz="0" w:space="0" w:color="auto"/>
                    <w:right w:val="none" w:sz="0" w:space="0" w:color="auto"/>
                  </w:divBdr>
                  <w:divsChild>
                    <w:div w:id="1697610848">
                      <w:marLeft w:val="0"/>
                      <w:marRight w:val="0"/>
                      <w:marTop w:val="0"/>
                      <w:marBottom w:val="0"/>
                      <w:divBdr>
                        <w:top w:val="none" w:sz="0" w:space="0" w:color="auto"/>
                        <w:left w:val="none" w:sz="0" w:space="0" w:color="auto"/>
                        <w:bottom w:val="none" w:sz="0" w:space="0" w:color="auto"/>
                        <w:right w:val="none" w:sz="0" w:space="0" w:color="auto"/>
                      </w:divBdr>
                      <w:divsChild>
                        <w:div w:id="378406158">
                          <w:marLeft w:val="0"/>
                          <w:marRight w:val="0"/>
                          <w:marTop w:val="0"/>
                          <w:marBottom w:val="0"/>
                          <w:divBdr>
                            <w:top w:val="none" w:sz="0" w:space="0" w:color="auto"/>
                            <w:left w:val="none" w:sz="0" w:space="0" w:color="auto"/>
                            <w:bottom w:val="none" w:sz="0" w:space="0" w:color="auto"/>
                            <w:right w:val="none" w:sz="0" w:space="0" w:color="auto"/>
                          </w:divBdr>
                          <w:divsChild>
                            <w:div w:id="2052335849">
                              <w:marLeft w:val="0"/>
                              <w:marRight w:val="0"/>
                              <w:marTop w:val="0"/>
                              <w:marBottom w:val="0"/>
                              <w:divBdr>
                                <w:top w:val="none" w:sz="0" w:space="0" w:color="auto"/>
                                <w:left w:val="none" w:sz="0" w:space="0" w:color="auto"/>
                                <w:bottom w:val="none" w:sz="0" w:space="0" w:color="auto"/>
                                <w:right w:val="none" w:sz="0" w:space="0" w:color="auto"/>
                              </w:divBdr>
                              <w:divsChild>
                                <w:div w:id="852453059">
                                  <w:marLeft w:val="0"/>
                                  <w:marRight w:val="0"/>
                                  <w:marTop w:val="0"/>
                                  <w:marBottom w:val="0"/>
                                  <w:divBdr>
                                    <w:top w:val="single" w:sz="6" w:space="0" w:color="F5F5F5"/>
                                    <w:left w:val="single" w:sz="6" w:space="0" w:color="F5F5F5"/>
                                    <w:bottom w:val="single" w:sz="6" w:space="0" w:color="F5F5F5"/>
                                    <w:right w:val="single" w:sz="6" w:space="0" w:color="F5F5F5"/>
                                  </w:divBdr>
                                  <w:divsChild>
                                    <w:div w:id="814642816">
                                      <w:marLeft w:val="0"/>
                                      <w:marRight w:val="0"/>
                                      <w:marTop w:val="0"/>
                                      <w:marBottom w:val="0"/>
                                      <w:divBdr>
                                        <w:top w:val="none" w:sz="0" w:space="0" w:color="auto"/>
                                        <w:left w:val="none" w:sz="0" w:space="0" w:color="auto"/>
                                        <w:bottom w:val="none" w:sz="0" w:space="0" w:color="auto"/>
                                        <w:right w:val="none" w:sz="0" w:space="0" w:color="auto"/>
                                      </w:divBdr>
                                      <w:divsChild>
                                        <w:div w:id="2240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493207">
      <w:bodyDiv w:val="1"/>
      <w:marLeft w:val="0"/>
      <w:marRight w:val="0"/>
      <w:marTop w:val="0"/>
      <w:marBottom w:val="0"/>
      <w:divBdr>
        <w:top w:val="none" w:sz="0" w:space="0" w:color="auto"/>
        <w:left w:val="none" w:sz="0" w:space="0" w:color="auto"/>
        <w:bottom w:val="none" w:sz="0" w:space="0" w:color="auto"/>
        <w:right w:val="none" w:sz="0" w:space="0" w:color="auto"/>
      </w:divBdr>
      <w:divsChild>
        <w:div w:id="1792553846">
          <w:marLeft w:val="0"/>
          <w:marRight w:val="0"/>
          <w:marTop w:val="0"/>
          <w:marBottom w:val="0"/>
          <w:divBdr>
            <w:top w:val="none" w:sz="0" w:space="0" w:color="auto"/>
            <w:left w:val="none" w:sz="0" w:space="0" w:color="auto"/>
            <w:bottom w:val="none" w:sz="0" w:space="0" w:color="auto"/>
            <w:right w:val="none" w:sz="0" w:space="0" w:color="auto"/>
          </w:divBdr>
          <w:divsChild>
            <w:div w:id="1745449454">
              <w:marLeft w:val="0"/>
              <w:marRight w:val="0"/>
              <w:marTop w:val="0"/>
              <w:marBottom w:val="0"/>
              <w:divBdr>
                <w:top w:val="none" w:sz="0" w:space="0" w:color="auto"/>
                <w:left w:val="none" w:sz="0" w:space="0" w:color="auto"/>
                <w:bottom w:val="none" w:sz="0" w:space="0" w:color="auto"/>
                <w:right w:val="none" w:sz="0" w:space="0" w:color="auto"/>
              </w:divBdr>
              <w:divsChild>
                <w:div w:id="856623868">
                  <w:marLeft w:val="0"/>
                  <w:marRight w:val="0"/>
                  <w:marTop w:val="0"/>
                  <w:marBottom w:val="0"/>
                  <w:divBdr>
                    <w:top w:val="none" w:sz="0" w:space="0" w:color="auto"/>
                    <w:left w:val="none" w:sz="0" w:space="0" w:color="auto"/>
                    <w:bottom w:val="none" w:sz="0" w:space="0" w:color="auto"/>
                    <w:right w:val="none" w:sz="0" w:space="0" w:color="auto"/>
                  </w:divBdr>
                  <w:divsChild>
                    <w:div w:id="1716659370">
                      <w:marLeft w:val="0"/>
                      <w:marRight w:val="0"/>
                      <w:marTop w:val="0"/>
                      <w:marBottom w:val="0"/>
                      <w:divBdr>
                        <w:top w:val="none" w:sz="0" w:space="0" w:color="auto"/>
                        <w:left w:val="none" w:sz="0" w:space="0" w:color="auto"/>
                        <w:bottom w:val="none" w:sz="0" w:space="0" w:color="auto"/>
                        <w:right w:val="none" w:sz="0" w:space="0" w:color="auto"/>
                      </w:divBdr>
                      <w:divsChild>
                        <w:div w:id="1297224728">
                          <w:marLeft w:val="0"/>
                          <w:marRight w:val="0"/>
                          <w:marTop w:val="0"/>
                          <w:marBottom w:val="0"/>
                          <w:divBdr>
                            <w:top w:val="none" w:sz="0" w:space="0" w:color="auto"/>
                            <w:left w:val="none" w:sz="0" w:space="0" w:color="auto"/>
                            <w:bottom w:val="none" w:sz="0" w:space="0" w:color="auto"/>
                            <w:right w:val="none" w:sz="0" w:space="0" w:color="auto"/>
                          </w:divBdr>
                          <w:divsChild>
                            <w:div w:id="1087920653">
                              <w:marLeft w:val="0"/>
                              <w:marRight w:val="0"/>
                              <w:marTop w:val="0"/>
                              <w:marBottom w:val="0"/>
                              <w:divBdr>
                                <w:top w:val="none" w:sz="0" w:space="0" w:color="auto"/>
                                <w:left w:val="none" w:sz="0" w:space="0" w:color="auto"/>
                                <w:bottom w:val="none" w:sz="0" w:space="0" w:color="auto"/>
                                <w:right w:val="none" w:sz="0" w:space="0" w:color="auto"/>
                              </w:divBdr>
                              <w:divsChild>
                                <w:div w:id="390154460">
                                  <w:marLeft w:val="0"/>
                                  <w:marRight w:val="0"/>
                                  <w:marTop w:val="0"/>
                                  <w:marBottom w:val="0"/>
                                  <w:divBdr>
                                    <w:top w:val="single" w:sz="6" w:space="0" w:color="F5F5F5"/>
                                    <w:left w:val="single" w:sz="6" w:space="0" w:color="F5F5F5"/>
                                    <w:bottom w:val="single" w:sz="6" w:space="0" w:color="F5F5F5"/>
                                    <w:right w:val="single" w:sz="6" w:space="0" w:color="F5F5F5"/>
                                  </w:divBdr>
                                  <w:divsChild>
                                    <w:div w:id="1689454153">
                                      <w:marLeft w:val="0"/>
                                      <w:marRight w:val="0"/>
                                      <w:marTop w:val="0"/>
                                      <w:marBottom w:val="0"/>
                                      <w:divBdr>
                                        <w:top w:val="none" w:sz="0" w:space="0" w:color="auto"/>
                                        <w:left w:val="none" w:sz="0" w:space="0" w:color="auto"/>
                                        <w:bottom w:val="none" w:sz="0" w:space="0" w:color="auto"/>
                                        <w:right w:val="none" w:sz="0" w:space="0" w:color="auto"/>
                                      </w:divBdr>
                                      <w:divsChild>
                                        <w:div w:id="12303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853150">
      <w:bodyDiv w:val="1"/>
      <w:marLeft w:val="0"/>
      <w:marRight w:val="0"/>
      <w:marTop w:val="0"/>
      <w:marBottom w:val="0"/>
      <w:divBdr>
        <w:top w:val="none" w:sz="0" w:space="0" w:color="auto"/>
        <w:left w:val="none" w:sz="0" w:space="0" w:color="auto"/>
        <w:bottom w:val="none" w:sz="0" w:space="0" w:color="auto"/>
        <w:right w:val="none" w:sz="0" w:space="0" w:color="auto"/>
      </w:divBdr>
      <w:divsChild>
        <w:div w:id="86535298">
          <w:marLeft w:val="0"/>
          <w:marRight w:val="0"/>
          <w:marTop w:val="0"/>
          <w:marBottom w:val="0"/>
          <w:divBdr>
            <w:top w:val="none" w:sz="0" w:space="0" w:color="auto"/>
            <w:left w:val="none" w:sz="0" w:space="0" w:color="auto"/>
            <w:bottom w:val="none" w:sz="0" w:space="0" w:color="auto"/>
            <w:right w:val="none" w:sz="0" w:space="0" w:color="auto"/>
          </w:divBdr>
          <w:divsChild>
            <w:div w:id="1177038594">
              <w:marLeft w:val="0"/>
              <w:marRight w:val="0"/>
              <w:marTop w:val="0"/>
              <w:marBottom w:val="0"/>
              <w:divBdr>
                <w:top w:val="none" w:sz="0" w:space="0" w:color="auto"/>
                <w:left w:val="none" w:sz="0" w:space="0" w:color="auto"/>
                <w:bottom w:val="none" w:sz="0" w:space="0" w:color="auto"/>
                <w:right w:val="none" w:sz="0" w:space="0" w:color="auto"/>
              </w:divBdr>
              <w:divsChild>
                <w:div w:id="1521965774">
                  <w:marLeft w:val="0"/>
                  <w:marRight w:val="0"/>
                  <w:marTop w:val="0"/>
                  <w:marBottom w:val="0"/>
                  <w:divBdr>
                    <w:top w:val="none" w:sz="0" w:space="0" w:color="auto"/>
                    <w:left w:val="none" w:sz="0" w:space="0" w:color="auto"/>
                    <w:bottom w:val="none" w:sz="0" w:space="0" w:color="auto"/>
                    <w:right w:val="none" w:sz="0" w:space="0" w:color="auto"/>
                  </w:divBdr>
                  <w:divsChild>
                    <w:div w:id="2085954942">
                      <w:marLeft w:val="0"/>
                      <w:marRight w:val="0"/>
                      <w:marTop w:val="0"/>
                      <w:marBottom w:val="0"/>
                      <w:divBdr>
                        <w:top w:val="none" w:sz="0" w:space="0" w:color="auto"/>
                        <w:left w:val="none" w:sz="0" w:space="0" w:color="auto"/>
                        <w:bottom w:val="none" w:sz="0" w:space="0" w:color="auto"/>
                        <w:right w:val="none" w:sz="0" w:space="0" w:color="auto"/>
                      </w:divBdr>
                      <w:divsChild>
                        <w:div w:id="15351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50593">
      <w:bodyDiv w:val="1"/>
      <w:marLeft w:val="0"/>
      <w:marRight w:val="0"/>
      <w:marTop w:val="0"/>
      <w:marBottom w:val="0"/>
      <w:divBdr>
        <w:top w:val="none" w:sz="0" w:space="0" w:color="auto"/>
        <w:left w:val="none" w:sz="0" w:space="0" w:color="auto"/>
        <w:bottom w:val="none" w:sz="0" w:space="0" w:color="auto"/>
        <w:right w:val="none" w:sz="0" w:space="0" w:color="auto"/>
      </w:divBdr>
      <w:divsChild>
        <w:div w:id="2135632274">
          <w:marLeft w:val="0"/>
          <w:marRight w:val="0"/>
          <w:marTop w:val="0"/>
          <w:marBottom w:val="0"/>
          <w:divBdr>
            <w:top w:val="none" w:sz="0" w:space="0" w:color="auto"/>
            <w:left w:val="none" w:sz="0" w:space="0" w:color="auto"/>
            <w:bottom w:val="none" w:sz="0" w:space="0" w:color="auto"/>
            <w:right w:val="none" w:sz="0" w:space="0" w:color="auto"/>
          </w:divBdr>
          <w:divsChild>
            <w:div w:id="700277447">
              <w:marLeft w:val="0"/>
              <w:marRight w:val="0"/>
              <w:marTop w:val="0"/>
              <w:marBottom w:val="0"/>
              <w:divBdr>
                <w:top w:val="none" w:sz="0" w:space="0" w:color="auto"/>
                <w:left w:val="none" w:sz="0" w:space="0" w:color="auto"/>
                <w:bottom w:val="none" w:sz="0" w:space="0" w:color="auto"/>
                <w:right w:val="none" w:sz="0" w:space="0" w:color="auto"/>
              </w:divBdr>
            </w:div>
            <w:div w:id="9588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5526">
      <w:bodyDiv w:val="1"/>
      <w:marLeft w:val="204"/>
      <w:marRight w:val="204"/>
      <w:marTop w:val="0"/>
      <w:marBottom w:val="0"/>
      <w:divBdr>
        <w:top w:val="none" w:sz="0" w:space="0" w:color="auto"/>
        <w:left w:val="none" w:sz="0" w:space="0" w:color="auto"/>
        <w:bottom w:val="none" w:sz="0" w:space="0" w:color="auto"/>
        <w:right w:val="none" w:sz="0" w:space="0" w:color="auto"/>
      </w:divBdr>
      <w:divsChild>
        <w:div w:id="858930176">
          <w:marLeft w:val="0"/>
          <w:marRight w:val="0"/>
          <w:marTop w:val="0"/>
          <w:marBottom w:val="0"/>
          <w:divBdr>
            <w:top w:val="none" w:sz="0" w:space="0" w:color="auto"/>
            <w:left w:val="none" w:sz="0" w:space="0" w:color="auto"/>
            <w:bottom w:val="none" w:sz="0" w:space="0" w:color="auto"/>
            <w:right w:val="none" w:sz="0" w:space="0" w:color="auto"/>
          </w:divBdr>
        </w:div>
      </w:divsChild>
    </w:div>
    <w:div w:id="1660646332">
      <w:bodyDiv w:val="1"/>
      <w:marLeft w:val="0"/>
      <w:marRight w:val="0"/>
      <w:marTop w:val="0"/>
      <w:marBottom w:val="0"/>
      <w:divBdr>
        <w:top w:val="none" w:sz="0" w:space="0" w:color="auto"/>
        <w:left w:val="none" w:sz="0" w:space="0" w:color="auto"/>
        <w:bottom w:val="none" w:sz="0" w:space="0" w:color="auto"/>
        <w:right w:val="none" w:sz="0" w:space="0" w:color="auto"/>
      </w:divBdr>
    </w:div>
    <w:div w:id="1686860373">
      <w:bodyDiv w:val="1"/>
      <w:marLeft w:val="0"/>
      <w:marRight w:val="0"/>
      <w:marTop w:val="0"/>
      <w:marBottom w:val="0"/>
      <w:divBdr>
        <w:top w:val="none" w:sz="0" w:space="0" w:color="auto"/>
        <w:left w:val="none" w:sz="0" w:space="0" w:color="auto"/>
        <w:bottom w:val="none" w:sz="0" w:space="0" w:color="auto"/>
        <w:right w:val="none" w:sz="0" w:space="0" w:color="auto"/>
      </w:divBdr>
      <w:divsChild>
        <w:div w:id="101266471">
          <w:marLeft w:val="0"/>
          <w:marRight w:val="0"/>
          <w:marTop w:val="0"/>
          <w:marBottom w:val="0"/>
          <w:divBdr>
            <w:top w:val="none" w:sz="0" w:space="0" w:color="auto"/>
            <w:left w:val="none" w:sz="0" w:space="0" w:color="auto"/>
            <w:bottom w:val="none" w:sz="0" w:space="0" w:color="auto"/>
            <w:right w:val="none" w:sz="0" w:space="0" w:color="auto"/>
          </w:divBdr>
          <w:divsChild>
            <w:div w:id="1924216896">
              <w:marLeft w:val="0"/>
              <w:marRight w:val="0"/>
              <w:marTop w:val="0"/>
              <w:marBottom w:val="0"/>
              <w:divBdr>
                <w:top w:val="none" w:sz="0" w:space="0" w:color="auto"/>
                <w:left w:val="none" w:sz="0" w:space="0" w:color="auto"/>
                <w:bottom w:val="none" w:sz="0" w:space="0" w:color="auto"/>
                <w:right w:val="none" w:sz="0" w:space="0" w:color="auto"/>
              </w:divBdr>
              <w:divsChild>
                <w:div w:id="1049573059">
                  <w:marLeft w:val="0"/>
                  <w:marRight w:val="0"/>
                  <w:marTop w:val="0"/>
                  <w:marBottom w:val="0"/>
                  <w:divBdr>
                    <w:top w:val="none" w:sz="0" w:space="0" w:color="auto"/>
                    <w:left w:val="none" w:sz="0" w:space="0" w:color="auto"/>
                    <w:bottom w:val="none" w:sz="0" w:space="0" w:color="auto"/>
                    <w:right w:val="none" w:sz="0" w:space="0" w:color="auto"/>
                  </w:divBdr>
                  <w:divsChild>
                    <w:div w:id="716778557">
                      <w:marLeft w:val="0"/>
                      <w:marRight w:val="0"/>
                      <w:marTop w:val="0"/>
                      <w:marBottom w:val="0"/>
                      <w:divBdr>
                        <w:top w:val="none" w:sz="0" w:space="0" w:color="auto"/>
                        <w:left w:val="none" w:sz="0" w:space="0" w:color="auto"/>
                        <w:bottom w:val="none" w:sz="0" w:space="0" w:color="auto"/>
                        <w:right w:val="none" w:sz="0" w:space="0" w:color="auto"/>
                      </w:divBdr>
                      <w:divsChild>
                        <w:div w:id="291055917">
                          <w:marLeft w:val="0"/>
                          <w:marRight w:val="0"/>
                          <w:marTop w:val="0"/>
                          <w:marBottom w:val="0"/>
                          <w:divBdr>
                            <w:top w:val="none" w:sz="0" w:space="0" w:color="auto"/>
                            <w:left w:val="none" w:sz="0" w:space="0" w:color="auto"/>
                            <w:bottom w:val="none" w:sz="0" w:space="0" w:color="auto"/>
                            <w:right w:val="none" w:sz="0" w:space="0" w:color="auto"/>
                          </w:divBdr>
                          <w:divsChild>
                            <w:div w:id="1636175059">
                              <w:marLeft w:val="0"/>
                              <w:marRight w:val="0"/>
                              <w:marTop w:val="0"/>
                              <w:marBottom w:val="0"/>
                              <w:divBdr>
                                <w:top w:val="none" w:sz="0" w:space="0" w:color="auto"/>
                                <w:left w:val="none" w:sz="0" w:space="0" w:color="auto"/>
                                <w:bottom w:val="none" w:sz="0" w:space="0" w:color="auto"/>
                                <w:right w:val="none" w:sz="0" w:space="0" w:color="auto"/>
                              </w:divBdr>
                              <w:divsChild>
                                <w:div w:id="1433698018">
                                  <w:marLeft w:val="0"/>
                                  <w:marRight w:val="0"/>
                                  <w:marTop w:val="0"/>
                                  <w:marBottom w:val="0"/>
                                  <w:divBdr>
                                    <w:top w:val="single" w:sz="6" w:space="0" w:color="F5F5F5"/>
                                    <w:left w:val="single" w:sz="6" w:space="0" w:color="F5F5F5"/>
                                    <w:bottom w:val="single" w:sz="6" w:space="0" w:color="F5F5F5"/>
                                    <w:right w:val="single" w:sz="6" w:space="0" w:color="F5F5F5"/>
                                  </w:divBdr>
                                  <w:divsChild>
                                    <w:div w:id="675885245">
                                      <w:marLeft w:val="0"/>
                                      <w:marRight w:val="0"/>
                                      <w:marTop w:val="0"/>
                                      <w:marBottom w:val="0"/>
                                      <w:divBdr>
                                        <w:top w:val="none" w:sz="0" w:space="0" w:color="auto"/>
                                        <w:left w:val="none" w:sz="0" w:space="0" w:color="auto"/>
                                        <w:bottom w:val="none" w:sz="0" w:space="0" w:color="auto"/>
                                        <w:right w:val="none" w:sz="0" w:space="0" w:color="auto"/>
                                      </w:divBdr>
                                      <w:divsChild>
                                        <w:div w:id="145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93886">
      <w:bodyDiv w:val="1"/>
      <w:marLeft w:val="0"/>
      <w:marRight w:val="0"/>
      <w:marTop w:val="0"/>
      <w:marBottom w:val="0"/>
      <w:divBdr>
        <w:top w:val="none" w:sz="0" w:space="0" w:color="auto"/>
        <w:left w:val="none" w:sz="0" w:space="0" w:color="auto"/>
        <w:bottom w:val="none" w:sz="0" w:space="0" w:color="auto"/>
        <w:right w:val="none" w:sz="0" w:space="0" w:color="auto"/>
      </w:divBdr>
    </w:div>
    <w:div w:id="1816986620">
      <w:bodyDiv w:val="1"/>
      <w:marLeft w:val="0"/>
      <w:marRight w:val="0"/>
      <w:marTop w:val="0"/>
      <w:marBottom w:val="0"/>
      <w:divBdr>
        <w:top w:val="none" w:sz="0" w:space="0" w:color="auto"/>
        <w:left w:val="none" w:sz="0" w:space="0" w:color="auto"/>
        <w:bottom w:val="none" w:sz="0" w:space="0" w:color="auto"/>
        <w:right w:val="none" w:sz="0" w:space="0" w:color="auto"/>
      </w:divBdr>
      <w:divsChild>
        <w:div w:id="1199976471">
          <w:marLeft w:val="0"/>
          <w:marRight w:val="0"/>
          <w:marTop w:val="0"/>
          <w:marBottom w:val="0"/>
          <w:divBdr>
            <w:top w:val="none" w:sz="0" w:space="0" w:color="auto"/>
            <w:left w:val="none" w:sz="0" w:space="0" w:color="auto"/>
            <w:bottom w:val="none" w:sz="0" w:space="0" w:color="auto"/>
            <w:right w:val="none" w:sz="0" w:space="0" w:color="auto"/>
          </w:divBdr>
          <w:divsChild>
            <w:div w:id="1858615025">
              <w:marLeft w:val="0"/>
              <w:marRight w:val="0"/>
              <w:marTop w:val="0"/>
              <w:marBottom w:val="0"/>
              <w:divBdr>
                <w:top w:val="none" w:sz="0" w:space="0" w:color="auto"/>
                <w:left w:val="none" w:sz="0" w:space="0" w:color="auto"/>
                <w:bottom w:val="none" w:sz="0" w:space="0" w:color="auto"/>
                <w:right w:val="none" w:sz="0" w:space="0" w:color="auto"/>
              </w:divBdr>
              <w:divsChild>
                <w:div w:id="301622172">
                  <w:marLeft w:val="0"/>
                  <w:marRight w:val="0"/>
                  <w:marTop w:val="0"/>
                  <w:marBottom w:val="0"/>
                  <w:divBdr>
                    <w:top w:val="none" w:sz="0" w:space="0" w:color="auto"/>
                    <w:left w:val="none" w:sz="0" w:space="0" w:color="auto"/>
                    <w:bottom w:val="none" w:sz="0" w:space="0" w:color="auto"/>
                    <w:right w:val="none" w:sz="0" w:space="0" w:color="auto"/>
                  </w:divBdr>
                  <w:divsChild>
                    <w:div w:id="1644775306">
                      <w:marLeft w:val="0"/>
                      <w:marRight w:val="0"/>
                      <w:marTop w:val="0"/>
                      <w:marBottom w:val="0"/>
                      <w:divBdr>
                        <w:top w:val="none" w:sz="0" w:space="0" w:color="auto"/>
                        <w:left w:val="none" w:sz="0" w:space="0" w:color="auto"/>
                        <w:bottom w:val="none" w:sz="0" w:space="0" w:color="auto"/>
                        <w:right w:val="none" w:sz="0" w:space="0" w:color="auto"/>
                      </w:divBdr>
                      <w:divsChild>
                        <w:div w:id="1967927352">
                          <w:marLeft w:val="0"/>
                          <w:marRight w:val="0"/>
                          <w:marTop w:val="0"/>
                          <w:marBottom w:val="0"/>
                          <w:divBdr>
                            <w:top w:val="none" w:sz="0" w:space="0" w:color="auto"/>
                            <w:left w:val="none" w:sz="0" w:space="0" w:color="auto"/>
                            <w:bottom w:val="none" w:sz="0" w:space="0" w:color="auto"/>
                            <w:right w:val="none" w:sz="0" w:space="0" w:color="auto"/>
                          </w:divBdr>
                          <w:divsChild>
                            <w:div w:id="2059356345">
                              <w:marLeft w:val="0"/>
                              <w:marRight w:val="0"/>
                              <w:marTop w:val="0"/>
                              <w:marBottom w:val="0"/>
                              <w:divBdr>
                                <w:top w:val="none" w:sz="0" w:space="0" w:color="auto"/>
                                <w:left w:val="none" w:sz="0" w:space="0" w:color="auto"/>
                                <w:bottom w:val="none" w:sz="0" w:space="0" w:color="auto"/>
                                <w:right w:val="none" w:sz="0" w:space="0" w:color="auto"/>
                              </w:divBdr>
                              <w:divsChild>
                                <w:div w:id="1602488364">
                                  <w:marLeft w:val="0"/>
                                  <w:marRight w:val="0"/>
                                  <w:marTop w:val="0"/>
                                  <w:marBottom w:val="41"/>
                                  <w:divBdr>
                                    <w:top w:val="none" w:sz="0" w:space="0" w:color="auto"/>
                                    <w:left w:val="none" w:sz="0" w:space="0" w:color="auto"/>
                                    <w:bottom w:val="none" w:sz="0" w:space="0" w:color="auto"/>
                                    <w:right w:val="none" w:sz="0" w:space="0" w:color="auto"/>
                                  </w:divBdr>
                                  <w:divsChild>
                                    <w:div w:id="1215921130">
                                      <w:marLeft w:val="0"/>
                                      <w:marRight w:val="0"/>
                                      <w:marTop w:val="0"/>
                                      <w:marBottom w:val="0"/>
                                      <w:divBdr>
                                        <w:top w:val="none" w:sz="0" w:space="0" w:color="auto"/>
                                        <w:left w:val="none" w:sz="0" w:space="0" w:color="auto"/>
                                        <w:bottom w:val="none" w:sz="0" w:space="0" w:color="auto"/>
                                        <w:right w:val="none" w:sz="0" w:space="0" w:color="auto"/>
                                      </w:divBdr>
                                      <w:divsChild>
                                        <w:div w:id="650183161">
                                          <w:marLeft w:val="0"/>
                                          <w:marRight w:val="0"/>
                                          <w:marTop w:val="0"/>
                                          <w:marBottom w:val="0"/>
                                          <w:divBdr>
                                            <w:top w:val="none" w:sz="0" w:space="0" w:color="auto"/>
                                            <w:left w:val="none" w:sz="0" w:space="0" w:color="auto"/>
                                            <w:bottom w:val="none" w:sz="0" w:space="0" w:color="auto"/>
                                            <w:right w:val="none" w:sz="0" w:space="0" w:color="auto"/>
                                          </w:divBdr>
                                          <w:divsChild>
                                            <w:div w:id="1926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3064">
                                  <w:marLeft w:val="0"/>
                                  <w:marRight w:val="0"/>
                                  <w:marTop w:val="0"/>
                                  <w:marBottom w:val="0"/>
                                  <w:divBdr>
                                    <w:top w:val="single" w:sz="6" w:space="0" w:color="F5F5F5"/>
                                    <w:left w:val="single" w:sz="6" w:space="0" w:color="F5F5F5"/>
                                    <w:bottom w:val="single" w:sz="6" w:space="0" w:color="F5F5F5"/>
                                    <w:right w:val="single" w:sz="6" w:space="0" w:color="F5F5F5"/>
                                  </w:divBdr>
                                  <w:divsChild>
                                    <w:div w:id="724059711">
                                      <w:marLeft w:val="0"/>
                                      <w:marRight w:val="0"/>
                                      <w:marTop w:val="0"/>
                                      <w:marBottom w:val="0"/>
                                      <w:divBdr>
                                        <w:top w:val="none" w:sz="0" w:space="0" w:color="auto"/>
                                        <w:left w:val="none" w:sz="0" w:space="0" w:color="auto"/>
                                        <w:bottom w:val="none" w:sz="0" w:space="0" w:color="auto"/>
                                        <w:right w:val="none" w:sz="0" w:space="0" w:color="auto"/>
                                      </w:divBdr>
                                      <w:divsChild>
                                        <w:div w:id="256251189">
                                          <w:marLeft w:val="0"/>
                                          <w:marRight w:val="0"/>
                                          <w:marTop w:val="0"/>
                                          <w:marBottom w:val="0"/>
                                          <w:divBdr>
                                            <w:top w:val="none" w:sz="0" w:space="0" w:color="auto"/>
                                            <w:left w:val="none" w:sz="0" w:space="0" w:color="auto"/>
                                            <w:bottom w:val="none" w:sz="0" w:space="0" w:color="auto"/>
                                            <w:right w:val="none" w:sz="0" w:space="0" w:color="auto"/>
                                          </w:divBdr>
                                          <w:divsChild>
                                            <w:div w:id="20153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158936">
      <w:bodyDiv w:val="1"/>
      <w:marLeft w:val="0"/>
      <w:marRight w:val="0"/>
      <w:marTop w:val="0"/>
      <w:marBottom w:val="0"/>
      <w:divBdr>
        <w:top w:val="none" w:sz="0" w:space="0" w:color="auto"/>
        <w:left w:val="none" w:sz="0" w:space="0" w:color="auto"/>
        <w:bottom w:val="none" w:sz="0" w:space="0" w:color="auto"/>
        <w:right w:val="none" w:sz="0" w:space="0" w:color="auto"/>
      </w:divBdr>
      <w:divsChild>
        <w:div w:id="2047484773">
          <w:marLeft w:val="0"/>
          <w:marRight w:val="0"/>
          <w:marTop w:val="0"/>
          <w:marBottom w:val="0"/>
          <w:divBdr>
            <w:top w:val="none" w:sz="0" w:space="0" w:color="auto"/>
            <w:left w:val="none" w:sz="0" w:space="0" w:color="auto"/>
            <w:bottom w:val="none" w:sz="0" w:space="0" w:color="auto"/>
            <w:right w:val="none" w:sz="0" w:space="0" w:color="auto"/>
          </w:divBdr>
          <w:divsChild>
            <w:div w:id="682056376">
              <w:marLeft w:val="0"/>
              <w:marRight w:val="0"/>
              <w:marTop w:val="0"/>
              <w:marBottom w:val="0"/>
              <w:divBdr>
                <w:top w:val="none" w:sz="0" w:space="0" w:color="auto"/>
                <w:left w:val="none" w:sz="0" w:space="0" w:color="auto"/>
                <w:bottom w:val="none" w:sz="0" w:space="0" w:color="auto"/>
                <w:right w:val="none" w:sz="0" w:space="0" w:color="auto"/>
              </w:divBdr>
              <w:divsChild>
                <w:div w:id="727261187">
                  <w:marLeft w:val="0"/>
                  <w:marRight w:val="0"/>
                  <w:marTop w:val="0"/>
                  <w:marBottom w:val="0"/>
                  <w:divBdr>
                    <w:top w:val="none" w:sz="0" w:space="0" w:color="auto"/>
                    <w:left w:val="none" w:sz="0" w:space="0" w:color="auto"/>
                    <w:bottom w:val="none" w:sz="0" w:space="0" w:color="auto"/>
                    <w:right w:val="none" w:sz="0" w:space="0" w:color="auto"/>
                  </w:divBdr>
                  <w:divsChild>
                    <w:div w:id="1965571591">
                      <w:marLeft w:val="0"/>
                      <w:marRight w:val="0"/>
                      <w:marTop w:val="0"/>
                      <w:marBottom w:val="0"/>
                      <w:divBdr>
                        <w:top w:val="none" w:sz="0" w:space="0" w:color="auto"/>
                        <w:left w:val="none" w:sz="0" w:space="0" w:color="auto"/>
                        <w:bottom w:val="none" w:sz="0" w:space="0" w:color="auto"/>
                        <w:right w:val="none" w:sz="0" w:space="0" w:color="auto"/>
                      </w:divBdr>
                      <w:divsChild>
                        <w:div w:id="45953160">
                          <w:marLeft w:val="0"/>
                          <w:marRight w:val="0"/>
                          <w:marTop w:val="0"/>
                          <w:marBottom w:val="0"/>
                          <w:divBdr>
                            <w:top w:val="none" w:sz="0" w:space="0" w:color="auto"/>
                            <w:left w:val="none" w:sz="0" w:space="0" w:color="auto"/>
                            <w:bottom w:val="none" w:sz="0" w:space="0" w:color="auto"/>
                            <w:right w:val="none" w:sz="0" w:space="0" w:color="auto"/>
                          </w:divBdr>
                          <w:divsChild>
                            <w:div w:id="1312364939">
                              <w:marLeft w:val="0"/>
                              <w:marRight w:val="0"/>
                              <w:marTop w:val="0"/>
                              <w:marBottom w:val="0"/>
                              <w:divBdr>
                                <w:top w:val="none" w:sz="0" w:space="0" w:color="auto"/>
                                <w:left w:val="none" w:sz="0" w:space="0" w:color="auto"/>
                                <w:bottom w:val="none" w:sz="0" w:space="0" w:color="auto"/>
                                <w:right w:val="none" w:sz="0" w:space="0" w:color="auto"/>
                              </w:divBdr>
                              <w:divsChild>
                                <w:div w:id="151682506">
                                  <w:marLeft w:val="0"/>
                                  <w:marRight w:val="0"/>
                                  <w:marTop w:val="0"/>
                                  <w:marBottom w:val="0"/>
                                  <w:divBdr>
                                    <w:top w:val="single" w:sz="6" w:space="0" w:color="F5F5F5"/>
                                    <w:left w:val="single" w:sz="6" w:space="0" w:color="F5F5F5"/>
                                    <w:bottom w:val="single" w:sz="6" w:space="0" w:color="F5F5F5"/>
                                    <w:right w:val="single" w:sz="6" w:space="0" w:color="F5F5F5"/>
                                  </w:divBdr>
                                  <w:divsChild>
                                    <w:div w:id="1260333776">
                                      <w:marLeft w:val="0"/>
                                      <w:marRight w:val="0"/>
                                      <w:marTop w:val="0"/>
                                      <w:marBottom w:val="0"/>
                                      <w:divBdr>
                                        <w:top w:val="none" w:sz="0" w:space="0" w:color="auto"/>
                                        <w:left w:val="none" w:sz="0" w:space="0" w:color="auto"/>
                                        <w:bottom w:val="none" w:sz="0" w:space="0" w:color="auto"/>
                                        <w:right w:val="none" w:sz="0" w:space="0" w:color="auto"/>
                                      </w:divBdr>
                                      <w:divsChild>
                                        <w:div w:id="1969773776">
                                          <w:marLeft w:val="0"/>
                                          <w:marRight w:val="0"/>
                                          <w:marTop w:val="0"/>
                                          <w:marBottom w:val="0"/>
                                          <w:divBdr>
                                            <w:top w:val="none" w:sz="0" w:space="0" w:color="auto"/>
                                            <w:left w:val="none" w:sz="0" w:space="0" w:color="auto"/>
                                            <w:bottom w:val="none" w:sz="0" w:space="0" w:color="auto"/>
                                            <w:right w:val="none" w:sz="0" w:space="0" w:color="auto"/>
                                          </w:divBdr>
                                          <w:divsChild>
                                            <w:div w:id="5013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4794">
                                  <w:marLeft w:val="0"/>
                                  <w:marRight w:val="0"/>
                                  <w:marTop w:val="0"/>
                                  <w:marBottom w:val="41"/>
                                  <w:divBdr>
                                    <w:top w:val="none" w:sz="0" w:space="0" w:color="auto"/>
                                    <w:left w:val="none" w:sz="0" w:space="0" w:color="auto"/>
                                    <w:bottom w:val="none" w:sz="0" w:space="0" w:color="auto"/>
                                    <w:right w:val="none" w:sz="0" w:space="0" w:color="auto"/>
                                  </w:divBdr>
                                  <w:divsChild>
                                    <w:div w:id="470095064">
                                      <w:marLeft w:val="0"/>
                                      <w:marRight w:val="0"/>
                                      <w:marTop w:val="0"/>
                                      <w:marBottom w:val="0"/>
                                      <w:divBdr>
                                        <w:top w:val="none" w:sz="0" w:space="0" w:color="auto"/>
                                        <w:left w:val="none" w:sz="0" w:space="0" w:color="auto"/>
                                        <w:bottom w:val="none" w:sz="0" w:space="0" w:color="auto"/>
                                        <w:right w:val="none" w:sz="0" w:space="0" w:color="auto"/>
                                      </w:divBdr>
                                      <w:divsChild>
                                        <w:div w:id="87704041">
                                          <w:marLeft w:val="0"/>
                                          <w:marRight w:val="0"/>
                                          <w:marTop w:val="0"/>
                                          <w:marBottom w:val="0"/>
                                          <w:divBdr>
                                            <w:top w:val="none" w:sz="0" w:space="0" w:color="auto"/>
                                            <w:left w:val="none" w:sz="0" w:space="0" w:color="auto"/>
                                            <w:bottom w:val="none" w:sz="0" w:space="0" w:color="auto"/>
                                            <w:right w:val="none" w:sz="0" w:space="0" w:color="auto"/>
                                          </w:divBdr>
                                          <w:divsChild>
                                            <w:div w:id="214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79758">
      <w:bodyDiv w:val="1"/>
      <w:marLeft w:val="0"/>
      <w:marRight w:val="0"/>
      <w:marTop w:val="0"/>
      <w:marBottom w:val="0"/>
      <w:divBdr>
        <w:top w:val="none" w:sz="0" w:space="0" w:color="auto"/>
        <w:left w:val="none" w:sz="0" w:space="0" w:color="auto"/>
        <w:bottom w:val="none" w:sz="0" w:space="0" w:color="auto"/>
        <w:right w:val="none" w:sz="0" w:space="0" w:color="auto"/>
      </w:divBdr>
    </w:div>
    <w:div w:id="2137022821">
      <w:bodyDiv w:val="1"/>
      <w:marLeft w:val="0"/>
      <w:marRight w:val="0"/>
      <w:marTop w:val="0"/>
      <w:marBottom w:val="0"/>
      <w:divBdr>
        <w:top w:val="none" w:sz="0" w:space="0" w:color="auto"/>
        <w:left w:val="none" w:sz="0" w:space="0" w:color="auto"/>
        <w:bottom w:val="none" w:sz="0" w:space="0" w:color="auto"/>
        <w:right w:val="none" w:sz="0" w:space="0" w:color="auto"/>
      </w:divBdr>
      <w:divsChild>
        <w:div w:id="202520787">
          <w:marLeft w:val="0"/>
          <w:marRight w:val="0"/>
          <w:marTop w:val="0"/>
          <w:marBottom w:val="0"/>
          <w:divBdr>
            <w:top w:val="none" w:sz="0" w:space="0" w:color="auto"/>
            <w:left w:val="none" w:sz="0" w:space="0" w:color="auto"/>
            <w:bottom w:val="none" w:sz="0" w:space="0" w:color="auto"/>
            <w:right w:val="none" w:sz="0" w:space="0" w:color="auto"/>
          </w:divBdr>
          <w:divsChild>
            <w:div w:id="729886196">
              <w:marLeft w:val="0"/>
              <w:marRight w:val="0"/>
              <w:marTop w:val="0"/>
              <w:marBottom w:val="0"/>
              <w:divBdr>
                <w:top w:val="none" w:sz="0" w:space="0" w:color="auto"/>
                <w:left w:val="none" w:sz="0" w:space="0" w:color="auto"/>
                <w:bottom w:val="none" w:sz="0" w:space="0" w:color="auto"/>
                <w:right w:val="none" w:sz="0" w:space="0" w:color="auto"/>
              </w:divBdr>
              <w:divsChild>
                <w:div w:id="1536112088">
                  <w:marLeft w:val="0"/>
                  <w:marRight w:val="0"/>
                  <w:marTop w:val="0"/>
                  <w:marBottom w:val="0"/>
                  <w:divBdr>
                    <w:top w:val="none" w:sz="0" w:space="0" w:color="auto"/>
                    <w:left w:val="none" w:sz="0" w:space="0" w:color="auto"/>
                    <w:bottom w:val="none" w:sz="0" w:space="0" w:color="auto"/>
                    <w:right w:val="none" w:sz="0" w:space="0" w:color="auto"/>
                  </w:divBdr>
                  <w:divsChild>
                    <w:div w:id="2083133657">
                      <w:marLeft w:val="0"/>
                      <w:marRight w:val="0"/>
                      <w:marTop w:val="0"/>
                      <w:marBottom w:val="0"/>
                      <w:divBdr>
                        <w:top w:val="none" w:sz="0" w:space="0" w:color="auto"/>
                        <w:left w:val="none" w:sz="0" w:space="0" w:color="auto"/>
                        <w:bottom w:val="none" w:sz="0" w:space="0" w:color="auto"/>
                        <w:right w:val="none" w:sz="0" w:space="0" w:color="auto"/>
                      </w:divBdr>
                      <w:divsChild>
                        <w:div w:id="951598231">
                          <w:marLeft w:val="0"/>
                          <w:marRight w:val="0"/>
                          <w:marTop w:val="0"/>
                          <w:marBottom w:val="0"/>
                          <w:divBdr>
                            <w:top w:val="none" w:sz="0" w:space="0" w:color="auto"/>
                            <w:left w:val="none" w:sz="0" w:space="0" w:color="auto"/>
                            <w:bottom w:val="none" w:sz="0" w:space="0" w:color="auto"/>
                            <w:right w:val="none" w:sz="0" w:space="0" w:color="auto"/>
                          </w:divBdr>
                          <w:divsChild>
                            <w:div w:id="164323259">
                              <w:marLeft w:val="0"/>
                              <w:marRight w:val="0"/>
                              <w:marTop w:val="0"/>
                              <w:marBottom w:val="0"/>
                              <w:divBdr>
                                <w:top w:val="none" w:sz="0" w:space="0" w:color="auto"/>
                                <w:left w:val="none" w:sz="0" w:space="0" w:color="auto"/>
                                <w:bottom w:val="none" w:sz="0" w:space="0" w:color="auto"/>
                                <w:right w:val="none" w:sz="0" w:space="0" w:color="auto"/>
                              </w:divBdr>
                              <w:divsChild>
                                <w:div w:id="1674870656">
                                  <w:marLeft w:val="0"/>
                                  <w:marRight w:val="0"/>
                                  <w:marTop w:val="0"/>
                                  <w:marBottom w:val="0"/>
                                  <w:divBdr>
                                    <w:top w:val="single" w:sz="6" w:space="0" w:color="F5F5F5"/>
                                    <w:left w:val="single" w:sz="6" w:space="0" w:color="F5F5F5"/>
                                    <w:bottom w:val="single" w:sz="6" w:space="0" w:color="F5F5F5"/>
                                    <w:right w:val="single" w:sz="6" w:space="0" w:color="F5F5F5"/>
                                  </w:divBdr>
                                  <w:divsChild>
                                    <w:div w:id="185294927">
                                      <w:marLeft w:val="0"/>
                                      <w:marRight w:val="0"/>
                                      <w:marTop w:val="0"/>
                                      <w:marBottom w:val="0"/>
                                      <w:divBdr>
                                        <w:top w:val="none" w:sz="0" w:space="0" w:color="auto"/>
                                        <w:left w:val="none" w:sz="0" w:space="0" w:color="auto"/>
                                        <w:bottom w:val="none" w:sz="0" w:space="0" w:color="auto"/>
                                        <w:right w:val="none" w:sz="0" w:space="0" w:color="auto"/>
                                      </w:divBdr>
                                      <w:divsChild>
                                        <w:div w:id="1580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ga.lt" TargetMode="External"/><Relationship Id="rId18" Type="http://schemas.openxmlformats.org/officeDocument/2006/relationships/hyperlink" Target="mailto:pgf@inveg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ega.lt" TargetMode="External"/><Relationship Id="rId17" Type="http://schemas.openxmlformats.org/officeDocument/2006/relationships/hyperlink" Target="http://www3.lrs.lt/pls/inter3/dokpaieska.showdoc_l?p_id=309099&amp;p_query=&amp;p_tr2="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gf2@inveg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10" ma:contentTypeDescription="Kurkite naują dokumentą." ma:contentTypeScope="" ma:versionID="78303729d3000b3d245c46ff3b923aa4">
  <xsd:schema xmlns:xsd="http://www.w3.org/2001/XMLSchema" xmlns:xs="http://www.w3.org/2001/XMLSchema" xmlns:p="http://schemas.microsoft.com/office/2006/metadata/properties" xmlns:ns3="d54348e1-8662-4887-9d6e-2f3aba196886" targetNamespace="http://schemas.microsoft.com/office/2006/metadata/properties" ma:root="true" ma:fieldsID="4a71b3fddf7c036d41ded1a50cc11aa7"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0278A-B36F-4540-A206-7FAC1EBFACF7}">
  <ds:schemaRefs>
    <ds:schemaRef ds:uri="http://schemas.microsoft.com/sharepoint/v3/contenttype/forms"/>
  </ds:schemaRefs>
</ds:datastoreItem>
</file>

<file path=customXml/itemProps2.xml><?xml version="1.0" encoding="utf-8"?>
<ds:datastoreItem xmlns:ds="http://schemas.openxmlformats.org/officeDocument/2006/customXml" ds:itemID="{13F00436-FB19-4246-8E24-7A313319F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3C6C7-F663-4A70-84F1-D21EAD862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BBC607-4201-4AC2-8F26-6EBEAFDF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34</Pages>
  <Words>49741</Words>
  <Characters>28353</Characters>
  <Application>Microsoft Office Word</Application>
  <DocSecurity>0</DocSecurity>
  <Lines>236</Lines>
  <Paragraphs>155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TECHNINĖ UŽDUOTIS</vt:lpstr>
      <vt:lpstr>TECHNINĖ UŽDUOTIS</vt:lpstr>
    </vt:vector>
  </TitlesOfParts>
  <Company>INVEGA, UAB</Company>
  <LinksUpToDate>false</LinksUpToDate>
  <CharactersWithSpaces>77939</CharactersWithSpaces>
  <SharedDoc>false</SharedDoc>
  <HLinks>
    <vt:vector size="6" baseType="variant">
      <vt:variant>
        <vt:i4>4915273</vt:i4>
      </vt:variant>
      <vt:variant>
        <vt:i4>0</vt:i4>
      </vt:variant>
      <vt:variant>
        <vt:i4>0</vt:i4>
      </vt:variant>
      <vt:variant>
        <vt:i4>5</vt:i4>
      </vt:variant>
      <vt:variant>
        <vt:lpwstr>http://www3.lrs.lt/pls/inter3/dokpaieska.showdoc_l?p_id=309099&amp;p_query=&amp;p_tr2=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UŽDUOTIS</dc:title>
  <dc:subject/>
  <dc:creator>vilija</dc:creator>
  <cp:keywords/>
  <cp:lastModifiedBy>Ieva Petkevičiūtė</cp:lastModifiedBy>
  <cp:revision>6</cp:revision>
  <cp:lastPrinted>2020-04-04T05:42:00Z</cp:lastPrinted>
  <dcterms:created xsi:type="dcterms:W3CDTF">2020-04-10T10:15:00Z</dcterms:created>
  <dcterms:modified xsi:type="dcterms:W3CDTF">2020-04-10T14:56:00Z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