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6EE846" w14:textId="2FBB34A7" w:rsidR="004339D9" w:rsidRPr="00B86BF8" w:rsidRDefault="00792698" w:rsidP="00D91D97">
      <w:pPr>
        <w:tabs>
          <w:tab w:val="left" w:pos="1560"/>
        </w:tabs>
        <w:spacing w:after="0" w:line="240" w:lineRule="auto"/>
        <w:ind w:firstLine="5103"/>
        <w:jc w:val="right"/>
        <w:rPr>
          <w:rFonts w:ascii="Times New Roman" w:eastAsia="Times New Roman" w:hAnsi="Times New Roman"/>
          <w:sz w:val="24"/>
          <w:szCs w:val="24"/>
        </w:rPr>
      </w:pPr>
      <w:r w:rsidRPr="00B86BF8">
        <w:rPr>
          <w:rFonts w:ascii="Times New Roman" w:eastAsia="Times New Roman" w:hAnsi="Times New Roman"/>
          <w:sz w:val="24"/>
          <w:szCs w:val="24"/>
        </w:rPr>
        <w:tab/>
      </w:r>
      <w:r w:rsidR="00D91D97">
        <w:rPr>
          <w:rFonts w:ascii="Times New Roman" w:eastAsia="Times New Roman" w:hAnsi="Times New Roman"/>
          <w:sz w:val="24"/>
          <w:szCs w:val="24"/>
        </w:rPr>
        <w:t>PROJEKTAS</w:t>
      </w:r>
    </w:p>
    <w:p w14:paraId="37D18951" w14:textId="77777777" w:rsidR="00CE78DE" w:rsidRPr="00B86BF8"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7C8DB1A1" w14:textId="77777777" w:rsidR="00CE78DE" w:rsidRPr="00B86BF8"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62E45915" w14:textId="77777777" w:rsidR="005C059C" w:rsidRPr="00B86BF8" w:rsidRDefault="000A7257" w:rsidP="00F86E5A">
      <w:pPr>
        <w:autoSpaceDE w:val="0"/>
        <w:autoSpaceDN w:val="0"/>
        <w:adjustRightInd w:val="0"/>
        <w:spacing w:after="0" w:line="240" w:lineRule="auto"/>
        <w:ind w:firstLine="851"/>
        <w:jc w:val="center"/>
        <w:rPr>
          <w:rFonts w:ascii="Times New Roman" w:hAnsi="Times New Roman"/>
          <w:b/>
          <w:iCs/>
          <w:sz w:val="24"/>
          <w:szCs w:val="24"/>
        </w:rPr>
      </w:pPr>
      <w:r w:rsidRPr="00B86BF8">
        <w:rPr>
          <w:rFonts w:ascii="Times New Roman" w:hAnsi="Times New Roman"/>
          <w:b/>
          <w:iCs/>
          <w:sz w:val="24"/>
          <w:szCs w:val="24"/>
        </w:rPr>
        <w:t xml:space="preserve">SKATINAMOSIOS FINANSINĖS </w:t>
      </w:r>
      <w:r w:rsidR="00FE2937" w:rsidRPr="00B86BF8">
        <w:rPr>
          <w:rFonts w:ascii="Times New Roman" w:hAnsi="Times New Roman"/>
          <w:b/>
          <w:iCs/>
          <w:sz w:val="24"/>
          <w:szCs w:val="24"/>
        </w:rPr>
        <w:t>PRIEMONĖS</w:t>
      </w:r>
      <w:r w:rsidR="00DC12B4" w:rsidRPr="00B86BF8">
        <w:rPr>
          <w:rFonts w:ascii="Times New Roman" w:hAnsi="Times New Roman"/>
          <w:b/>
          <w:iCs/>
          <w:sz w:val="24"/>
          <w:szCs w:val="24"/>
        </w:rPr>
        <w:t xml:space="preserve"> „</w:t>
      </w:r>
      <w:r w:rsidR="00F86E5A" w:rsidRPr="00B86BF8">
        <w:rPr>
          <w:rFonts w:ascii="Times New Roman" w:hAnsi="Times New Roman"/>
          <w:b/>
          <w:iCs/>
          <w:sz w:val="24"/>
          <w:szCs w:val="24"/>
        </w:rPr>
        <w:t>ALTERNATYVA</w:t>
      </w:r>
      <w:r w:rsidR="00DC12B4" w:rsidRPr="00B86BF8">
        <w:rPr>
          <w:rFonts w:ascii="Times New Roman" w:hAnsi="Times New Roman"/>
          <w:b/>
          <w:iCs/>
          <w:sz w:val="24"/>
          <w:szCs w:val="24"/>
        </w:rPr>
        <w:t>“</w:t>
      </w:r>
      <w:r w:rsidR="00F10B29" w:rsidRPr="00B86BF8">
        <w:rPr>
          <w:rFonts w:ascii="Times New Roman" w:hAnsi="Times New Roman"/>
          <w:b/>
          <w:iCs/>
          <w:sz w:val="24"/>
          <w:szCs w:val="24"/>
        </w:rPr>
        <w:t xml:space="preserve"> </w:t>
      </w:r>
      <w:r w:rsidR="004C393C" w:rsidRPr="00B86BF8">
        <w:rPr>
          <w:rFonts w:ascii="Times New Roman" w:hAnsi="Times New Roman"/>
          <w:b/>
          <w:iCs/>
          <w:sz w:val="24"/>
          <w:szCs w:val="24"/>
        </w:rPr>
        <w:t xml:space="preserve">ĮGYVENDINIMO </w:t>
      </w:r>
      <w:r w:rsidR="00F10B29" w:rsidRPr="00B86BF8">
        <w:rPr>
          <w:rFonts w:ascii="Times New Roman" w:hAnsi="Times New Roman"/>
          <w:b/>
          <w:iCs/>
          <w:sz w:val="24"/>
          <w:szCs w:val="24"/>
        </w:rPr>
        <w:t>SĄLYGŲ APRAŠAS</w:t>
      </w:r>
    </w:p>
    <w:p w14:paraId="6D3A7489" w14:textId="77777777" w:rsidR="006968FD" w:rsidRPr="00B86BF8"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769599E9" w14:textId="77777777" w:rsidR="006968FD" w:rsidRPr="00B86BF8"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643E8072" w14:textId="77777777" w:rsidR="00C366A5" w:rsidRPr="00B86BF8"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B86BF8">
        <w:rPr>
          <w:rFonts w:ascii="Times New Roman" w:hAnsi="Times New Roman"/>
          <w:b/>
          <w:bCs/>
          <w:sz w:val="24"/>
          <w:szCs w:val="24"/>
        </w:rPr>
        <w:t>BENDROSIOS NUOSTATOS</w:t>
      </w:r>
    </w:p>
    <w:p w14:paraId="4CD2788B" w14:textId="77777777" w:rsidR="00042CE8" w:rsidRPr="00B86BF8" w:rsidRDefault="00042CE8" w:rsidP="00042CE8">
      <w:pPr>
        <w:autoSpaceDE w:val="0"/>
        <w:autoSpaceDN w:val="0"/>
        <w:adjustRightInd w:val="0"/>
        <w:spacing w:after="0" w:line="240" w:lineRule="auto"/>
        <w:jc w:val="both"/>
        <w:rPr>
          <w:rFonts w:ascii="Times New Roman" w:hAnsi="Times New Roman"/>
          <w:sz w:val="24"/>
          <w:szCs w:val="24"/>
        </w:rPr>
      </w:pPr>
    </w:p>
    <w:p w14:paraId="41675240" w14:textId="1075AF3E" w:rsidR="00C54B79" w:rsidRPr="00B86BF8" w:rsidRDefault="000A725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B86BF8">
        <w:rPr>
          <w:rFonts w:ascii="Times New Roman" w:hAnsi="Times New Roman"/>
          <w:sz w:val="24"/>
          <w:szCs w:val="24"/>
        </w:rPr>
        <w:t>Skatinamosios finansinės</w:t>
      </w:r>
      <w:r w:rsidR="00FE2937" w:rsidRPr="00B86BF8">
        <w:rPr>
          <w:rFonts w:ascii="Times New Roman" w:hAnsi="Times New Roman"/>
          <w:sz w:val="24"/>
          <w:szCs w:val="24"/>
        </w:rPr>
        <w:t xml:space="preserve"> priemonės</w:t>
      </w:r>
      <w:r w:rsidR="00042CE8" w:rsidRPr="00B86BF8">
        <w:rPr>
          <w:rFonts w:ascii="Times New Roman" w:hAnsi="Times New Roman"/>
          <w:sz w:val="24"/>
          <w:szCs w:val="24"/>
        </w:rPr>
        <w:t xml:space="preserve"> „</w:t>
      </w:r>
      <w:r w:rsidR="00F86E5A" w:rsidRPr="00B86BF8">
        <w:rPr>
          <w:rFonts w:ascii="Times New Roman" w:hAnsi="Times New Roman"/>
          <w:sz w:val="24"/>
          <w:szCs w:val="24"/>
        </w:rPr>
        <w:t>Alternatyva</w:t>
      </w:r>
      <w:r w:rsidR="00042CE8" w:rsidRPr="00B86BF8">
        <w:rPr>
          <w:rFonts w:ascii="Times New Roman" w:hAnsi="Times New Roman"/>
          <w:sz w:val="24"/>
          <w:szCs w:val="24"/>
        </w:rPr>
        <w:t xml:space="preserve">“ </w:t>
      </w:r>
      <w:r w:rsidR="0081092F" w:rsidRPr="00B86BF8">
        <w:rPr>
          <w:rFonts w:ascii="Times New Roman" w:hAnsi="Times New Roman"/>
          <w:sz w:val="24"/>
          <w:szCs w:val="24"/>
        </w:rPr>
        <w:t xml:space="preserve">įgyvendinimo </w:t>
      </w:r>
      <w:r w:rsidR="00042CE8" w:rsidRPr="00B86BF8">
        <w:rPr>
          <w:rFonts w:ascii="Times New Roman" w:hAnsi="Times New Roman"/>
          <w:sz w:val="24"/>
          <w:szCs w:val="24"/>
        </w:rPr>
        <w:t xml:space="preserve">sąlygų aprašas </w:t>
      </w:r>
      <w:r w:rsidR="00B55818" w:rsidRPr="00B86BF8">
        <w:rPr>
          <w:rFonts w:ascii="Times New Roman" w:hAnsi="Times New Roman"/>
          <w:sz w:val="24"/>
          <w:szCs w:val="24"/>
        </w:rPr>
        <w:t xml:space="preserve">(toliau – </w:t>
      </w:r>
      <w:r w:rsidR="00BE0B29" w:rsidRPr="00B86BF8">
        <w:rPr>
          <w:rFonts w:ascii="Times New Roman" w:hAnsi="Times New Roman"/>
          <w:sz w:val="24"/>
          <w:szCs w:val="24"/>
        </w:rPr>
        <w:t>A</w:t>
      </w:r>
      <w:r w:rsidR="00B55818" w:rsidRPr="00B86BF8">
        <w:rPr>
          <w:rFonts w:ascii="Times New Roman" w:hAnsi="Times New Roman"/>
          <w:sz w:val="24"/>
          <w:szCs w:val="24"/>
        </w:rPr>
        <w:t xml:space="preserve">prašas) </w:t>
      </w:r>
      <w:r w:rsidR="00042CE8" w:rsidRPr="00B86BF8">
        <w:rPr>
          <w:rFonts w:ascii="Times New Roman" w:hAnsi="Times New Roman"/>
          <w:sz w:val="24"/>
          <w:szCs w:val="24"/>
        </w:rPr>
        <w:t xml:space="preserve">nustato </w:t>
      </w:r>
      <w:r w:rsidRPr="00B86BF8">
        <w:rPr>
          <w:rFonts w:ascii="Times New Roman" w:hAnsi="Times New Roman"/>
          <w:sz w:val="24"/>
          <w:szCs w:val="24"/>
        </w:rPr>
        <w:t xml:space="preserve">skatinamosios </w:t>
      </w:r>
      <w:r w:rsidR="00042CE8" w:rsidRPr="00B86BF8">
        <w:rPr>
          <w:rFonts w:ascii="Times New Roman" w:hAnsi="Times New Roman"/>
          <w:sz w:val="24"/>
          <w:szCs w:val="24"/>
        </w:rPr>
        <w:t>finans</w:t>
      </w:r>
      <w:r w:rsidRPr="00B86BF8">
        <w:rPr>
          <w:rFonts w:ascii="Times New Roman" w:hAnsi="Times New Roman"/>
          <w:sz w:val="24"/>
          <w:szCs w:val="24"/>
        </w:rPr>
        <w:t xml:space="preserve">inės </w:t>
      </w:r>
      <w:r w:rsidR="00042CE8" w:rsidRPr="00B86BF8">
        <w:rPr>
          <w:rFonts w:ascii="Times New Roman" w:hAnsi="Times New Roman"/>
          <w:sz w:val="24"/>
          <w:szCs w:val="24"/>
        </w:rPr>
        <w:t>priemonės „</w:t>
      </w:r>
      <w:r w:rsidR="00F86E5A" w:rsidRPr="00B86BF8">
        <w:rPr>
          <w:rFonts w:ascii="Times New Roman" w:hAnsi="Times New Roman"/>
          <w:sz w:val="24"/>
          <w:szCs w:val="24"/>
        </w:rPr>
        <w:t>Alternatyva</w:t>
      </w:r>
      <w:r w:rsidR="00042CE8" w:rsidRPr="00B86BF8">
        <w:rPr>
          <w:rFonts w:ascii="Times New Roman" w:hAnsi="Times New Roman"/>
          <w:sz w:val="24"/>
          <w:szCs w:val="24"/>
        </w:rPr>
        <w:t>“ (toliau –</w:t>
      </w:r>
      <w:r w:rsidRPr="00B86BF8">
        <w:rPr>
          <w:rFonts w:ascii="Times New Roman" w:hAnsi="Times New Roman"/>
          <w:sz w:val="24"/>
          <w:szCs w:val="24"/>
        </w:rPr>
        <w:t xml:space="preserve"> </w:t>
      </w:r>
      <w:r w:rsidR="00132D1E" w:rsidRPr="00B86BF8">
        <w:rPr>
          <w:rFonts w:ascii="Times New Roman" w:hAnsi="Times New Roman"/>
          <w:sz w:val="24"/>
          <w:szCs w:val="24"/>
        </w:rPr>
        <w:t xml:space="preserve">Priemonė </w:t>
      </w:r>
      <w:r w:rsidRPr="00B86BF8">
        <w:rPr>
          <w:rFonts w:ascii="Times New Roman" w:hAnsi="Times New Roman"/>
          <w:sz w:val="24"/>
          <w:szCs w:val="24"/>
        </w:rPr>
        <w:t>„Alternatyva“</w:t>
      </w:r>
      <w:r w:rsidR="00042CE8" w:rsidRPr="00B86BF8">
        <w:rPr>
          <w:rFonts w:ascii="Times New Roman" w:hAnsi="Times New Roman"/>
          <w:sz w:val="24"/>
          <w:szCs w:val="24"/>
        </w:rPr>
        <w:t xml:space="preserve">) </w:t>
      </w:r>
      <w:r w:rsidR="004C393C" w:rsidRPr="00B86BF8">
        <w:rPr>
          <w:rFonts w:ascii="Times New Roman" w:hAnsi="Times New Roman"/>
          <w:sz w:val="24"/>
          <w:szCs w:val="24"/>
        </w:rPr>
        <w:t xml:space="preserve">įgyvendinimo sąlygas, </w:t>
      </w:r>
      <w:r w:rsidR="005D1A2B" w:rsidRPr="00B86BF8">
        <w:rPr>
          <w:rFonts w:ascii="Times New Roman" w:hAnsi="Times New Roman"/>
          <w:sz w:val="24"/>
          <w:szCs w:val="24"/>
        </w:rPr>
        <w:t xml:space="preserve">reikalavimus </w:t>
      </w:r>
      <w:r w:rsidR="001336B0" w:rsidRPr="00B86BF8">
        <w:rPr>
          <w:rFonts w:ascii="Times New Roman" w:hAnsi="Times New Roman"/>
          <w:sz w:val="24"/>
          <w:szCs w:val="24"/>
        </w:rPr>
        <w:t>Priemon</w:t>
      </w:r>
      <w:r w:rsidR="001C1296" w:rsidRPr="00B86BF8">
        <w:rPr>
          <w:rFonts w:ascii="Times New Roman" w:hAnsi="Times New Roman"/>
          <w:sz w:val="24"/>
          <w:szCs w:val="24"/>
        </w:rPr>
        <w:t xml:space="preserve">ės </w:t>
      </w:r>
      <w:r w:rsidR="00F86E5A" w:rsidRPr="00B86BF8">
        <w:rPr>
          <w:rFonts w:ascii="Times New Roman" w:hAnsi="Times New Roman"/>
          <w:sz w:val="24"/>
          <w:szCs w:val="24"/>
        </w:rPr>
        <w:t xml:space="preserve">„Alternatyva“ </w:t>
      </w:r>
      <w:r w:rsidR="007A004C" w:rsidRPr="00B86BF8">
        <w:rPr>
          <w:rFonts w:ascii="Times New Roman" w:hAnsi="Times New Roman"/>
          <w:sz w:val="24"/>
          <w:szCs w:val="24"/>
        </w:rPr>
        <w:t>finansų tarpinink</w:t>
      </w:r>
      <w:r w:rsidR="001C1296" w:rsidRPr="00B86BF8">
        <w:rPr>
          <w:rFonts w:ascii="Times New Roman" w:hAnsi="Times New Roman"/>
          <w:sz w:val="24"/>
          <w:szCs w:val="24"/>
        </w:rPr>
        <w:t>ams</w:t>
      </w:r>
      <w:r w:rsidR="007A004C" w:rsidRPr="00B86BF8">
        <w:rPr>
          <w:rFonts w:ascii="Times New Roman" w:hAnsi="Times New Roman"/>
          <w:sz w:val="24"/>
          <w:szCs w:val="24"/>
        </w:rPr>
        <w:t xml:space="preserve"> (toliau </w:t>
      </w:r>
      <w:r w:rsidR="004D65EF" w:rsidRPr="00B86BF8">
        <w:rPr>
          <w:rFonts w:ascii="Times New Roman" w:hAnsi="Times New Roman"/>
          <w:sz w:val="24"/>
          <w:szCs w:val="24"/>
        </w:rPr>
        <w:t>–</w:t>
      </w:r>
      <w:r w:rsidR="007A004C" w:rsidRPr="00B86BF8">
        <w:rPr>
          <w:rFonts w:ascii="Times New Roman" w:hAnsi="Times New Roman"/>
          <w:sz w:val="24"/>
          <w:szCs w:val="24"/>
        </w:rPr>
        <w:t xml:space="preserve"> FT)</w:t>
      </w:r>
      <w:r w:rsidR="00333DD2" w:rsidRPr="00B86BF8">
        <w:rPr>
          <w:rFonts w:ascii="Times New Roman" w:hAnsi="Times New Roman"/>
          <w:sz w:val="24"/>
          <w:szCs w:val="24"/>
        </w:rPr>
        <w:t xml:space="preserve"> </w:t>
      </w:r>
      <w:r w:rsidR="004C393C" w:rsidRPr="00B86BF8">
        <w:rPr>
          <w:rFonts w:ascii="Times New Roman" w:hAnsi="Times New Roman"/>
          <w:sz w:val="24"/>
          <w:szCs w:val="24"/>
        </w:rPr>
        <w:t>ir</w:t>
      </w:r>
      <w:r w:rsidR="00B55818" w:rsidRPr="00B86BF8">
        <w:rPr>
          <w:rFonts w:ascii="Times New Roman" w:hAnsi="Times New Roman"/>
          <w:sz w:val="24"/>
          <w:szCs w:val="24"/>
        </w:rPr>
        <w:t xml:space="preserve"> </w:t>
      </w:r>
      <w:r w:rsidR="001336B0" w:rsidRPr="00B86BF8">
        <w:rPr>
          <w:rFonts w:ascii="Times New Roman" w:hAnsi="Times New Roman"/>
          <w:sz w:val="24"/>
          <w:szCs w:val="24"/>
        </w:rPr>
        <w:t>Priemon</w:t>
      </w:r>
      <w:r w:rsidR="004C6BBB" w:rsidRPr="00B86BF8">
        <w:rPr>
          <w:rFonts w:ascii="Times New Roman" w:hAnsi="Times New Roman"/>
          <w:sz w:val="24"/>
          <w:szCs w:val="24"/>
        </w:rPr>
        <w:t xml:space="preserve">ės </w:t>
      </w:r>
      <w:r w:rsidR="00F86E5A" w:rsidRPr="00B86BF8">
        <w:rPr>
          <w:rFonts w:ascii="Times New Roman" w:hAnsi="Times New Roman"/>
          <w:sz w:val="24"/>
          <w:szCs w:val="24"/>
        </w:rPr>
        <w:t xml:space="preserve">„Alternatyva“ </w:t>
      </w:r>
      <w:r w:rsidR="00042CE8" w:rsidRPr="00B86BF8">
        <w:rPr>
          <w:rFonts w:ascii="Times New Roman" w:hAnsi="Times New Roman"/>
          <w:sz w:val="24"/>
          <w:szCs w:val="24"/>
        </w:rPr>
        <w:t>lėšų</w:t>
      </w:r>
      <w:r w:rsidR="009726A6" w:rsidRPr="00B86BF8">
        <w:rPr>
          <w:rFonts w:ascii="Times New Roman" w:hAnsi="Times New Roman"/>
          <w:sz w:val="24"/>
          <w:szCs w:val="24"/>
        </w:rPr>
        <w:t xml:space="preserve"> skyrimo</w:t>
      </w:r>
      <w:r w:rsidR="00042CE8" w:rsidRPr="00B86BF8">
        <w:rPr>
          <w:rFonts w:ascii="Times New Roman" w:hAnsi="Times New Roman"/>
          <w:sz w:val="24"/>
          <w:szCs w:val="24"/>
        </w:rPr>
        <w:t xml:space="preserve"> </w:t>
      </w:r>
      <w:r w:rsidR="00333DD2" w:rsidRPr="00B86BF8">
        <w:rPr>
          <w:rFonts w:ascii="Times New Roman" w:hAnsi="Times New Roman"/>
          <w:sz w:val="24"/>
          <w:szCs w:val="24"/>
        </w:rPr>
        <w:t>tvarką</w:t>
      </w:r>
      <w:r w:rsidR="004C393C" w:rsidRPr="00B86BF8">
        <w:rPr>
          <w:rFonts w:ascii="Times New Roman" w:hAnsi="Times New Roman"/>
          <w:sz w:val="24"/>
          <w:szCs w:val="24"/>
        </w:rPr>
        <w:t>.</w:t>
      </w:r>
      <w:r w:rsidR="00F9175B" w:rsidRPr="00B86BF8">
        <w:rPr>
          <w:rFonts w:ascii="Times New Roman" w:hAnsi="Times New Roman"/>
          <w:sz w:val="24"/>
          <w:szCs w:val="24"/>
        </w:rPr>
        <w:t xml:space="preserve"> </w:t>
      </w:r>
      <w:r w:rsidR="00863922" w:rsidRPr="00B86BF8">
        <w:rPr>
          <w:rFonts w:ascii="Times New Roman" w:hAnsi="Times New Roman"/>
          <w:sz w:val="24"/>
          <w:szCs w:val="24"/>
        </w:rPr>
        <w:t xml:space="preserve">Priemonė „Alternatyva“ </w:t>
      </w:r>
      <w:r w:rsidR="00803FB0" w:rsidRPr="00B86BF8">
        <w:rPr>
          <w:rFonts w:ascii="Times New Roman" w:hAnsi="Times New Roman"/>
          <w:sz w:val="24"/>
          <w:szCs w:val="24"/>
        </w:rPr>
        <w:t>yra įgyvendinama ir sudaryta iš dviejų dalių: rinkos sąlygomis teikiamos paskolos</w:t>
      </w:r>
      <w:r w:rsidR="004D0D77">
        <w:rPr>
          <w:rFonts w:ascii="Times New Roman" w:hAnsi="Times New Roman"/>
          <w:sz w:val="24"/>
          <w:szCs w:val="24"/>
        </w:rPr>
        <w:t xml:space="preserve"> –</w:t>
      </w:r>
      <w:r w:rsidR="00803FB0" w:rsidRPr="00B86BF8">
        <w:rPr>
          <w:rFonts w:ascii="Times New Roman" w:hAnsi="Times New Roman"/>
          <w:sz w:val="24"/>
          <w:szCs w:val="24"/>
        </w:rPr>
        <w:t xml:space="preserve"> </w:t>
      </w:r>
      <w:r w:rsidR="00863922" w:rsidRPr="00B86BF8">
        <w:rPr>
          <w:rFonts w:ascii="Times New Roman" w:hAnsi="Times New Roman"/>
          <w:sz w:val="24"/>
          <w:szCs w:val="24"/>
        </w:rPr>
        <w:t xml:space="preserve">Priemonė „Alternatyva“ rinkos sąlygomis </w:t>
      </w:r>
      <w:r w:rsidR="00803FB0" w:rsidRPr="00B86BF8">
        <w:rPr>
          <w:rFonts w:ascii="Times New Roman" w:hAnsi="Times New Roman"/>
          <w:sz w:val="24"/>
          <w:szCs w:val="24"/>
        </w:rPr>
        <w:t xml:space="preserve">ir kaip pagal </w:t>
      </w:r>
      <w:r w:rsidR="00803FB0" w:rsidRPr="00B86BF8">
        <w:rPr>
          <w:rFonts w:ascii="Times New Roman" w:eastAsia="Times New Roman" w:hAnsi="Times New Roman"/>
          <w:sz w:val="24"/>
          <w:szCs w:val="24"/>
        </w:rPr>
        <w:t xml:space="preserve">2013 m. gruodžio 18 d. Komisijos Reglamentą (ES) Nr. 1407/2013 dėl Sutarties dėl Europos Sąjungos veikimo 107 ir 108 straipsnių taikymo </w:t>
      </w:r>
      <w:r w:rsidR="00803FB0" w:rsidRPr="00B86BF8">
        <w:rPr>
          <w:rFonts w:ascii="Times New Roman" w:eastAsia="Times New Roman" w:hAnsi="Times New Roman"/>
          <w:i/>
          <w:sz w:val="24"/>
          <w:szCs w:val="24"/>
        </w:rPr>
        <w:t>de minimis</w:t>
      </w:r>
      <w:r w:rsidR="00803FB0" w:rsidRPr="00B86BF8">
        <w:rPr>
          <w:rFonts w:ascii="Times New Roman" w:eastAsia="Times New Roman" w:hAnsi="Times New Roman"/>
          <w:sz w:val="24"/>
          <w:szCs w:val="24"/>
        </w:rPr>
        <w:t xml:space="preserve"> pagalbai </w:t>
      </w:r>
      <w:r w:rsidR="00803FB0" w:rsidRPr="00B86BF8">
        <w:rPr>
          <w:rFonts w:ascii="Times New Roman" w:hAnsi="Times New Roman"/>
          <w:sz w:val="24"/>
          <w:szCs w:val="24"/>
        </w:rPr>
        <w:t xml:space="preserve">teikiama valstybės pagalba – </w:t>
      </w:r>
      <w:r w:rsidR="00863922" w:rsidRPr="00B86BF8">
        <w:rPr>
          <w:rFonts w:ascii="Times New Roman" w:hAnsi="Times New Roman"/>
          <w:sz w:val="24"/>
          <w:szCs w:val="24"/>
        </w:rPr>
        <w:t xml:space="preserve">Priemonė „Alternatyva“ </w:t>
      </w:r>
      <w:r w:rsidR="00863922" w:rsidRPr="00B86BF8">
        <w:rPr>
          <w:rFonts w:ascii="Times New Roman" w:hAnsi="Times New Roman"/>
          <w:i/>
          <w:iCs/>
          <w:sz w:val="24"/>
          <w:szCs w:val="24"/>
        </w:rPr>
        <w:t>de minimis</w:t>
      </w:r>
      <w:r w:rsidR="00863922" w:rsidRPr="00B86BF8">
        <w:rPr>
          <w:rFonts w:ascii="Times New Roman" w:hAnsi="Times New Roman"/>
          <w:sz w:val="24"/>
          <w:szCs w:val="24"/>
        </w:rPr>
        <w:t xml:space="preserve"> pagalba.</w:t>
      </w:r>
    </w:p>
    <w:p w14:paraId="33CB2E5A" w14:textId="0DD098DF" w:rsidR="00E13B4F" w:rsidRPr="00B86BF8" w:rsidRDefault="00F86E5A"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B86BF8">
        <w:rPr>
          <w:rFonts w:ascii="Times New Roman" w:hAnsi="Times New Roman"/>
          <w:sz w:val="24"/>
          <w:szCs w:val="24"/>
        </w:rPr>
        <w:t>P</w:t>
      </w:r>
      <w:r w:rsidR="00B55818" w:rsidRPr="00B86BF8">
        <w:rPr>
          <w:rFonts w:ascii="Times New Roman" w:hAnsi="Times New Roman"/>
          <w:sz w:val="24"/>
          <w:szCs w:val="24"/>
        </w:rPr>
        <w:t xml:space="preserve">riemonė </w:t>
      </w:r>
      <w:r w:rsidRPr="00B86BF8">
        <w:rPr>
          <w:rFonts w:ascii="Times New Roman" w:hAnsi="Times New Roman"/>
          <w:sz w:val="24"/>
          <w:szCs w:val="24"/>
        </w:rPr>
        <w:t xml:space="preserve">„Alternatyva“ </w:t>
      </w:r>
      <w:r w:rsidR="00FE2937" w:rsidRPr="00B86BF8">
        <w:rPr>
          <w:rFonts w:ascii="Times New Roman" w:hAnsi="Times New Roman"/>
          <w:sz w:val="24"/>
          <w:szCs w:val="24"/>
        </w:rPr>
        <w:t>į</w:t>
      </w:r>
      <w:r w:rsidR="00B55818" w:rsidRPr="00B86BF8">
        <w:rPr>
          <w:rFonts w:ascii="Times New Roman" w:hAnsi="Times New Roman"/>
          <w:sz w:val="24"/>
          <w:szCs w:val="24"/>
        </w:rPr>
        <w:t>gyvendinama iš kontroliuojančio fondo „INVEGOS fondas“</w:t>
      </w:r>
      <w:r w:rsidR="00FE2937" w:rsidRPr="00B86BF8">
        <w:rPr>
          <w:rFonts w:ascii="Times New Roman" w:hAnsi="Times New Roman"/>
          <w:sz w:val="24"/>
          <w:szCs w:val="24"/>
        </w:rPr>
        <w:t xml:space="preserve"> (toliau – INVEGOS fondas)</w:t>
      </w:r>
      <w:r w:rsidR="00B55818" w:rsidRPr="00B86BF8">
        <w:rPr>
          <w:rFonts w:ascii="Times New Roman" w:hAnsi="Times New Roman"/>
          <w:sz w:val="24"/>
          <w:szCs w:val="24"/>
        </w:rPr>
        <w:t xml:space="preserve">, įsteigto pagal </w:t>
      </w:r>
      <w:r w:rsidR="00B55818" w:rsidRPr="00B86BF8">
        <w:rPr>
          <w:rFonts w:ascii="Times New Roman" w:hAnsi="Times New Roman"/>
          <w:bCs/>
          <w:sz w:val="24"/>
          <w:szCs w:val="24"/>
        </w:rPr>
        <w:t>2009 m. balandžio 7 d. sutartį, sudarytą tarp Lietuvos Respublikos finansų ministerijos,</w:t>
      </w:r>
      <w:r w:rsidR="00B55818" w:rsidRPr="00B86BF8">
        <w:rPr>
          <w:rFonts w:ascii="Times New Roman" w:hAnsi="Times New Roman"/>
          <w:b/>
          <w:bCs/>
          <w:sz w:val="24"/>
          <w:szCs w:val="24"/>
        </w:rPr>
        <w:t xml:space="preserve"> </w:t>
      </w:r>
      <w:r w:rsidR="00B55818" w:rsidRPr="00B86BF8">
        <w:rPr>
          <w:rFonts w:ascii="Times New Roman" w:hAnsi="Times New Roman"/>
          <w:bCs/>
          <w:sz w:val="24"/>
          <w:szCs w:val="24"/>
        </w:rPr>
        <w:t xml:space="preserve">Lietuvos Respublikos ūkio ministerijos ir </w:t>
      </w:r>
      <w:r w:rsidR="004D65EF" w:rsidRPr="00B86BF8">
        <w:rPr>
          <w:rFonts w:ascii="Times New Roman" w:hAnsi="Times New Roman"/>
          <w:sz w:val="24"/>
          <w:szCs w:val="24"/>
        </w:rPr>
        <w:t>u</w:t>
      </w:r>
      <w:r w:rsidR="00C60EF6" w:rsidRPr="00B86BF8">
        <w:rPr>
          <w:rFonts w:ascii="Times New Roman" w:hAnsi="Times New Roman"/>
          <w:sz w:val="24"/>
          <w:szCs w:val="24"/>
        </w:rPr>
        <w:t>ždarosios akcinės bendrovės „</w:t>
      </w:r>
      <w:r w:rsidR="0046055B" w:rsidRPr="00B86BF8">
        <w:rPr>
          <w:rFonts w:ascii="Times New Roman" w:hAnsi="Times New Roman"/>
          <w:sz w:val="24"/>
          <w:szCs w:val="24"/>
        </w:rPr>
        <w:t>INVESTICIJŲ IR VERSLO GARANTIJOS</w:t>
      </w:r>
      <w:r w:rsidR="00C60EF6" w:rsidRPr="00B86BF8">
        <w:rPr>
          <w:rFonts w:ascii="Times New Roman" w:hAnsi="Times New Roman"/>
          <w:sz w:val="24"/>
          <w:szCs w:val="24"/>
        </w:rPr>
        <w:t>“ (toliau –</w:t>
      </w:r>
      <w:r w:rsidR="00384AC7" w:rsidRPr="00B86BF8">
        <w:rPr>
          <w:rFonts w:ascii="Times New Roman" w:hAnsi="Times New Roman"/>
          <w:sz w:val="24"/>
          <w:szCs w:val="24"/>
        </w:rPr>
        <w:t xml:space="preserve"> „Invega“</w:t>
      </w:r>
      <w:r w:rsidR="00C60EF6" w:rsidRPr="00B86BF8">
        <w:rPr>
          <w:rFonts w:ascii="Times New Roman" w:hAnsi="Times New Roman"/>
          <w:sz w:val="24"/>
          <w:szCs w:val="24"/>
        </w:rPr>
        <w:t>)</w:t>
      </w:r>
      <w:r w:rsidR="00EC21E2" w:rsidRPr="00B86BF8">
        <w:rPr>
          <w:rFonts w:ascii="Times New Roman" w:hAnsi="Times New Roman"/>
          <w:sz w:val="24"/>
          <w:szCs w:val="24"/>
        </w:rPr>
        <w:t>,</w:t>
      </w:r>
      <w:r w:rsidR="00C60EF6" w:rsidRPr="00B86BF8">
        <w:rPr>
          <w:rFonts w:ascii="Times New Roman" w:hAnsi="Times New Roman"/>
          <w:sz w:val="24"/>
          <w:szCs w:val="24"/>
        </w:rPr>
        <w:t xml:space="preserve"> lėšų.</w:t>
      </w:r>
      <w:r w:rsidR="00B55818" w:rsidRPr="00B86BF8">
        <w:rPr>
          <w:rFonts w:ascii="Times New Roman" w:hAnsi="Times New Roman"/>
          <w:bCs/>
          <w:sz w:val="24"/>
          <w:szCs w:val="24"/>
        </w:rPr>
        <w:t xml:space="preserve"> Pagal šią sutartį INVEGOS fondo valdytoja </w:t>
      </w:r>
      <w:r w:rsidR="00C60EF6" w:rsidRPr="00B86BF8">
        <w:rPr>
          <w:rFonts w:ascii="Times New Roman" w:hAnsi="Times New Roman"/>
          <w:bCs/>
          <w:sz w:val="24"/>
          <w:szCs w:val="24"/>
        </w:rPr>
        <w:t xml:space="preserve">paskirta </w:t>
      </w:r>
      <w:r w:rsidR="00384AC7" w:rsidRPr="00B86BF8">
        <w:rPr>
          <w:rFonts w:ascii="Times New Roman" w:hAnsi="Times New Roman"/>
          <w:sz w:val="24"/>
          <w:szCs w:val="24"/>
        </w:rPr>
        <w:t>„Invega“</w:t>
      </w:r>
      <w:r w:rsidR="00E13B4F" w:rsidRPr="00B86BF8">
        <w:rPr>
          <w:rFonts w:ascii="Times New Roman" w:hAnsi="Times New Roman"/>
          <w:sz w:val="24"/>
          <w:szCs w:val="24"/>
        </w:rPr>
        <w:t>.</w:t>
      </w:r>
    </w:p>
    <w:p w14:paraId="14BE0904" w14:textId="69D4F5E3" w:rsidR="00D76734" w:rsidRPr="00B86BF8" w:rsidRDefault="00D76734" w:rsidP="00D76734">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Lietuvos Respublikos Vyriausybė 2018 m. spalio 17 d. </w:t>
      </w:r>
      <w:r w:rsidR="00F94684" w:rsidRPr="00B86BF8">
        <w:rPr>
          <w:rFonts w:ascii="Times New Roman" w:hAnsi="Times New Roman"/>
          <w:sz w:val="24"/>
          <w:szCs w:val="24"/>
        </w:rPr>
        <w:t>„Invega“</w:t>
      </w:r>
      <w:r w:rsidRPr="00B86BF8">
        <w:rPr>
          <w:rFonts w:ascii="Times New Roman" w:hAnsi="Times New Roman"/>
          <w:sz w:val="24"/>
          <w:szCs w:val="24"/>
        </w:rPr>
        <w:t xml:space="preserve"> suteikė nacionalinės plėtros įstaigos statusą, o nuo 2018 m. gruodžio 3 d. Lietuvos banko priežiūros tarnybos sprendimu </w:t>
      </w:r>
      <w:r w:rsidR="00F94684" w:rsidRPr="00B86BF8">
        <w:rPr>
          <w:rFonts w:ascii="Times New Roman" w:hAnsi="Times New Roman"/>
          <w:sz w:val="24"/>
          <w:szCs w:val="24"/>
        </w:rPr>
        <w:t>„Invega“</w:t>
      </w:r>
      <w:r w:rsidR="00F15861" w:rsidRPr="00B86BF8">
        <w:rPr>
          <w:rFonts w:ascii="Times New Roman" w:hAnsi="Times New Roman"/>
          <w:sz w:val="24"/>
          <w:szCs w:val="24"/>
        </w:rPr>
        <w:t xml:space="preserve"> </w:t>
      </w:r>
      <w:r w:rsidRPr="00B86BF8">
        <w:rPr>
          <w:rFonts w:ascii="Times New Roman" w:hAnsi="Times New Roman"/>
          <w:sz w:val="24"/>
          <w:szCs w:val="24"/>
        </w:rPr>
        <w:t>yra įtraukta į Nacionalinės plėtros įstaigų sąrašą. Invega įgyvendina skatinamąsias finansines priemones, finansuojamas Lietuvos Respublikos valstybės biudžeto lėšomis.</w:t>
      </w:r>
    </w:p>
    <w:p w14:paraId="596C9B85" w14:textId="77777777" w:rsidR="004C6BBB" w:rsidRPr="00B86BF8" w:rsidRDefault="004C6BB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B86BF8">
        <w:rPr>
          <w:rFonts w:ascii="Times New Roman" w:hAnsi="Times New Roman"/>
          <w:sz w:val="24"/>
          <w:szCs w:val="24"/>
        </w:rPr>
        <w:t>A</w:t>
      </w:r>
      <w:r w:rsidR="009F50BE" w:rsidRPr="00B86BF8">
        <w:rPr>
          <w:rFonts w:ascii="Times New Roman" w:hAnsi="Times New Roman"/>
          <w:sz w:val="24"/>
          <w:szCs w:val="24"/>
        </w:rPr>
        <w:t>praš</w:t>
      </w:r>
      <w:r w:rsidR="00B83324" w:rsidRPr="00B86BF8">
        <w:rPr>
          <w:rFonts w:ascii="Times New Roman" w:hAnsi="Times New Roman"/>
          <w:sz w:val="24"/>
          <w:szCs w:val="24"/>
        </w:rPr>
        <w:t xml:space="preserve">as </w:t>
      </w:r>
      <w:r w:rsidRPr="00B86BF8">
        <w:rPr>
          <w:rFonts w:ascii="Times New Roman" w:hAnsi="Times New Roman"/>
          <w:sz w:val="24"/>
          <w:szCs w:val="24"/>
        </w:rPr>
        <w:t>suderint</w:t>
      </w:r>
      <w:r w:rsidR="00B83324" w:rsidRPr="00B86BF8">
        <w:rPr>
          <w:rFonts w:ascii="Times New Roman" w:hAnsi="Times New Roman"/>
          <w:sz w:val="24"/>
          <w:szCs w:val="24"/>
        </w:rPr>
        <w:t>a</w:t>
      </w:r>
      <w:r w:rsidRPr="00B86BF8">
        <w:rPr>
          <w:rFonts w:ascii="Times New Roman" w:hAnsi="Times New Roman"/>
          <w:sz w:val="24"/>
          <w:szCs w:val="24"/>
        </w:rPr>
        <w:t>s</w:t>
      </w:r>
      <w:r w:rsidR="00B55818" w:rsidRPr="00B86BF8">
        <w:rPr>
          <w:rFonts w:ascii="Times New Roman" w:hAnsi="Times New Roman"/>
          <w:sz w:val="24"/>
          <w:szCs w:val="24"/>
        </w:rPr>
        <w:t xml:space="preserve"> INVEGOS fondo </w:t>
      </w:r>
      <w:r w:rsidRPr="00B86BF8">
        <w:rPr>
          <w:rFonts w:ascii="Times New Roman" w:hAnsi="Times New Roman"/>
          <w:bCs/>
          <w:sz w:val="24"/>
          <w:szCs w:val="24"/>
        </w:rPr>
        <w:t>sutartyje nu</w:t>
      </w:r>
      <w:r w:rsidR="00D76734" w:rsidRPr="00B86BF8">
        <w:rPr>
          <w:rFonts w:ascii="Times New Roman" w:hAnsi="Times New Roman"/>
          <w:bCs/>
          <w:sz w:val="24"/>
          <w:szCs w:val="24"/>
        </w:rPr>
        <w:t>st</w:t>
      </w:r>
      <w:r w:rsidRPr="00B86BF8">
        <w:rPr>
          <w:rFonts w:ascii="Times New Roman" w:hAnsi="Times New Roman"/>
          <w:bCs/>
          <w:sz w:val="24"/>
          <w:szCs w:val="24"/>
        </w:rPr>
        <w:t>atyta tvarka</w:t>
      </w:r>
      <w:r w:rsidR="00BE0B29" w:rsidRPr="00B86BF8">
        <w:rPr>
          <w:rFonts w:ascii="Times New Roman" w:hAnsi="Times New Roman"/>
          <w:bCs/>
          <w:sz w:val="24"/>
          <w:szCs w:val="24"/>
        </w:rPr>
        <w:t>.</w:t>
      </w:r>
    </w:p>
    <w:p w14:paraId="36971894" w14:textId="77777777" w:rsidR="00BC202C" w:rsidRPr="00B86BF8" w:rsidRDefault="009F50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0" w:name="_Hlk35618058"/>
      <w:r w:rsidRPr="00B86BF8">
        <w:rPr>
          <w:rFonts w:ascii="Times New Roman" w:hAnsi="Times New Roman"/>
          <w:bCs/>
          <w:sz w:val="24"/>
          <w:szCs w:val="24"/>
        </w:rPr>
        <w:t>Aprašas</w:t>
      </w:r>
      <w:r w:rsidR="00BC202C" w:rsidRPr="00B86BF8">
        <w:rPr>
          <w:rFonts w:ascii="Times New Roman" w:hAnsi="Times New Roman"/>
          <w:bCs/>
          <w:sz w:val="24"/>
          <w:szCs w:val="24"/>
        </w:rPr>
        <w:t xml:space="preserve"> </w:t>
      </w:r>
      <w:r w:rsidR="00A03457" w:rsidRPr="00B86BF8">
        <w:rPr>
          <w:rFonts w:ascii="Times New Roman" w:hAnsi="Times New Roman"/>
          <w:bCs/>
          <w:sz w:val="24"/>
          <w:szCs w:val="24"/>
        </w:rPr>
        <w:t xml:space="preserve">ir kvietimas teikti </w:t>
      </w:r>
      <w:r w:rsidR="00CF6019" w:rsidRPr="00B86BF8">
        <w:rPr>
          <w:rFonts w:ascii="Times New Roman" w:hAnsi="Times New Roman"/>
          <w:bCs/>
          <w:sz w:val="24"/>
          <w:szCs w:val="24"/>
        </w:rPr>
        <w:t xml:space="preserve">prašymus </w:t>
      </w:r>
      <w:r w:rsidR="00BC202C" w:rsidRPr="00B86BF8">
        <w:rPr>
          <w:rFonts w:ascii="Times New Roman" w:hAnsi="Times New Roman"/>
          <w:bCs/>
          <w:sz w:val="24"/>
          <w:szCs w:val="24"/>
        </w:rPr>
        <w:t>viešai skelbiam</w:t>
      </w:r>
      <w:r w:rsidRPr="00B86BF8">
        <w:rPr>
          <w:rFonts w:ascii="Times New Roman" w:hAnsi="Times New Roman"/>
          <w:bCs/>
          <w:sz w:val="24"/>
          <w:szCs w:val="24"/>
        </w:rPr>
        <w:t>a</w:t>
      </w:r>
      <w:r w:rsidR="00BC202C" w:rsidRPr="00B86BF8">
        <w:rPr>
          <w:rFonts w:ascii="Times New Roman" w:hAnsi="Times New Roman"/>
          <w:bCs/>
          <w:sz w:val="24"/>
          <w:szCs w:val="24"/>
        </w:rPr>
        <w:t>s</w:t>
      </w:r>
      <w:r w:rsidR="00EC21E2" w:rsidRPr="00B86BF8">
        <w:rPr>
          <w:rFonts w:ascii="Times New Roman" w:hAnsi="Times New Roman"/>
          <w:bCs/>
          <w:sz w:val="24"/>
          <w:szCs w:val="24"/>
        </w:rPr>
        <w:t xml:space="preserve"> </w:t>
      </w:r>
      <w:r w:rsidR="00307B9A" w:rsidRPr="00B86BF8">
        <w:rPr>
          <w:rFonts w:ascii="Times New Roman" w:hAnsi="Times New Roman"/>
          <w:bCs/>
          <w:sz w:val="24"/>
          <w:szCs w:val="24"/>
        </w:rPr>
        <w:t>„</w:t>
      </w:r>
      <w:r w:rsidR="00EC21E2" w:rsidRPr="00B86BF8">
        <w:rPr>
          <w:rFonts w:ascii="Times New Roman" w:hAnsi="Times New Roman"/>
          <w:bCs/>
          <w:sz w:val="24"/>
          <w:szCs w:val="24"/>
        </w:rPr>
        <w:t xml:space="preserve">Invegos“ interneto svetainėje </w:t>
      </w:r>
      <w:hyperlink r:id="rId11" w:history="1">
        <w:r w:rsidR="00BC202C" w:rsidRPr="00B86BF8">
          <w:rPr>
            <w:rStyle w:val="Hyperlink"/>
            <w:rFonts w:ascii="Times New Roman" w:hAnsi="Times New Roman"/>
            <w:bCs/>
            <w:sz w:val="24"/>
            <w:szCs w:val="24"/>
          </w:rPr>
          <w:t>www.invega.lt</w:t>
        </w:r>
      </w:hyperlink>
      <w:r w:rsidR="00BC202C" w:rsidRPr="00B86BF8">
        <w:rPr>
          <w:rFonts w:ascii="Times New Roman" w:hAnsi="Times New Roman"/>
          <w:bCs/>
          <w:sz w:val="24"/>
          <w:szCs w:val="24"/>
        </w:rPr>
        <w:t xml:space="preserve"> visą laikotarpį</w:t>
      </w:r>
      <w:r w:rsidR="00DB0115" w:rsidRPr="00B86BF8">
        <w:rPr>
          <w:rFonts w:ascii="Times New Roman" w:hAnsi="Times New Roman"/>
          <w:bCs/>
          <w:sz w:val="24"/>
          <w:szCs w:val="24"/>
        </w:rPr>
        <w:t>,</w:t>
      </w:r>
      <w:r w:rsidR="00B52574" w:rsidRPr="00B86BF8">
        <w:rPr>
          <w:rFonts w:ascii="Times New Roman" w:hAnsi="Times New Roman"/>
          <w:bCs/>
          <w:sz w:val="24"/>
          <w:szCs w:val="24"/>
        </w:rPr>
        <w:t xml:space="preserve"> </w:t>
      </w:r>
      <w:bookmarkStart w:id="1" w:name="_Hlk36718590"/>
      <w:r w:rsidR="0097068D" w:rsidRPr="00B86BF8">
        <w:rPr>
          <w:rFonts w:ascii="Times New Roman" w:hAnsi="Times New Roman"/>
          <w:bCs/>
          <w:sz w:val="24"/>
          <w:szCs w:val="24"/>
        </w:rPr>
        <w:t xml:space="preserve">kol </w:t>
      </w:r>
      <w:r w:rsidR="009726A6" w:rsidRPr="00B86BF8">
        <w:rPr>
          <w:rFonts w:ascii="Times New Roman" w:hAnsi="Times New Roman"/>
          <w:bCs/>
          <w:sz w:val="24"/>
          <w:szCs w:val="24"/>
        </w:rPr>
        <w:t xml:space="preserve">panaudojamos visos </w:t>
      </w:r>
      <w:r w:rsidR="001336B0" w:rsidRPr="00B86BF8">
        <w:rPr>
          <w:rFonts w:ascii="Times New Roman" w:hAnsi="Times New Roman"/>
          <w:bCs/>
          <w:sz w:val="24"/>
          <w:szCs w:val="24"/>
        </w:rPr>
        <w:t>Priemon</w:t>
      </w:r>
      <w:r w:rsidR="00020919" w:rsidRPr="00B86BF8">
        <w:rPr>
          <w:rFonts w:ascii="Times New Roman" w:hAnsi="Times New Roman"/>
          <w:bCs/>
          <w:sz w:val="24"/>
          <w:szCs w:val="24"/>
        </w:rPr>
        <w:t xml:space="preserve">ei </w:t>
      </w:r>
      <w:r w:rsidR="00F86E5A" w:rsidRPr="00B86BF8">
        <w:rPr>
          <w:rFonts w:ascii="Times New Roman" w:hAnsi="Times New Roman"/>
          <w:bCs/>
          <w:sz w:val="24"/>
          <w:szCs w:val="24"/>
        </w:rPr>
        <w:t xml:space="preserve">„Alternatyva“ </w:t>
      </w:r>
      <w:r w:rsidR="00020919" w:rsidRPr="00B86BF8">
        <w:rPr>
          <w:rFonts w:ascii="Times New Roman" w:hAnsi="Times New Roman"/>
          <w:bCs/>
          <w:sz w:val="24"/>
          <w:szCs w:val="24"/>
        </w:rPr>
        <w:t>skirtos lėšos</w:t>
      </w:r>
      <w:r w:rsidR="00BC202C" w:rsidRPr="00B86BF8">
        <w:rPr>
          <w:rFonts w:ascii="Times New Roman" w:hAnsi="Times New Roman"/>
          <w:bCs/>
          <w:sz w:val="24"/>
          <w:szCs w:val="24"/>
        </w:rPr>
        <w:t>.</w:t>
      </w:r>
      <w:r w:rsidR="00AE48DC" w:rsidRPr="00B86BF8">
        <w:rPr>
          <w:rFonts w:ascii="Times New Roman" w:hAnsi="Times New Roman"/>
          <w:bCs/>
          <w:sz w:val="24"/>
          <w:szCs w:val="24"/>
        </w:rPr>
        <w:t xml:space="preserve"> </w:t>
      </w:r>
      <w:bookmarkEnd w:id="1"/>
    </w:p>
    <w:p w14:paraId="5D96C8BF" w14:textId="29EA0572" w:rsidR="00BC202C" w:rsidRPr="00B86BF8" w:rsidRDefault="00B626C8" w:rsidP="0046055B">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B86BF8">
        <w:rPr>
          <w:rFonts w:ascii="Times New Roman" w:hAnsi="Times New Roman"/>
          <w:bCs/>
          <w:sz w:val="24"/>
          <w:szCs w:val="24"/>
        </w:rPr>
        <w:t>A</w:t>
      </w:r>
      <w:r w:rsidR="0039295F" w:rsidRPr="00B86BF8">
        <w:rPr>
          <w:rFonts w:ascii="Times New Roman" w:hAnsi="Times New Roman"/>
          <w:bCs/>
          <w:sz w:val="24"/>
          <w:szCs w:val="24"/>
        </w:rPr>
        <w:t>praš</w:t>
      </w:r>
      <w:r w:rsidR="00B83324" w:rsidRPr="00B86BF8">
        <w:rPr>
          <w:rFonts w:ascii="Times New Roman" w:hAnsi="Times New Roman"/>
          <w:bCs/>
          <w:sz w:val="24"/>
          <w:szCs w:val="24"/>
        </w:rPr>
        <w:t>a</w:t>
      </w:r>
      <w:r w:rsidR="00283CB0" w:rsidRPr="00B86BF8">
        <w:rPr>
          <w:rFonts w:ascii="Times New Roman" w:hAnsi="Times New Roman"/>
          <w:bCs/>
          <w:sz w:val="24"/>
          <w:szCs w:val="24"/>
        </w:rPr>
        <w:t>s</w:t>
      </w:r>
      <w:r w:rsidR="005B1796" w:rsidRPr="00B86BF8">
        <w:rPr>
          <w:rFonts w:ascii="Times New Roman" w:hAnsi="Times New Roman"/>
          <w:bCs/>
          <w:sz w:val="24"/>
          <w:szCs w:val="24"/>
        </w:rPr>
        <w:t xml:space="preserve"> ir jo </w:t>
      </w:r>
      <w:r w:rsidR="00EC21E2" w:rsidRPr="00B86BF8">
        <w:rPr>
          <w:rFonts w:ascii="Times New Roman" w:hAnsi="Times New Roman"/>
          <w:bCs/>
          <w:sz w:val="24"/>
          <w:szCs w:val="24"/>
        </w:rPr>
        <w:t>priedai</w:t>
      </w:r>
      <w:r w:rsidRPr="00B86BF8">
        <w:rPr>
          <w:rFonts w:ascii="Times New Roman" w:hAnsi="Times New Roman"/>
          <w:bCs/>
          <w:sz w:val="24"/>
          <w:szCs w:val="24"/>
        </w:rPr>
        <w:t xml:space="preserve"> gali būti paaiškinam</w:t>
      </w:r>
      <w:r w:rsidR="005B1796" w:rsidRPr="00B86BF8">
        <w:rPr>
          <w:rFonts w:ascii="Times New Roman" w:hAnsi="Times New Roman"/>
          <w:bCs/>
          <w:sz w:val="24"/>
          <w:szCs w:val="24"/>
        </w:rPr>
        <w:t>i</w:t>
      </w:r>
      <w:r w:rsidRPr="00B86BF8">
        <w:rPr>
          <w:rFonts w:ascii="Times New Roman" w:hAnsi="Times New Roman"/>
          <w:bCs/>
          <w:sz w:val="24"/>
          <w:szCs w:val="24"/>
        </w:rPr>
        <w:t xml:space="preserve"> </w:t>
      </w:r>
      <w:r w:rsidR="0046055B" w:rsidRPr="00B86BF8">
        <w:rPr>
          <w:rFonts w:ascii="Times New Roman" w:hAnsi="Times New Roman"/>
          <w:bCs/>
          <w:sz w:val="24"/>
          <w:szCs w:val="24"/>
        </w:rPr>
        <w:t xml:space="preserve">finansų tarpininko (toliau – </w:t>
      </w:r>
      <w:r w:rsidR="004B0B94" w:rsidRPr="00B86BF8">
        <w:rPr>
          <w:rFonts w:ascii="Times New Roman" w:hAnsi="Times New Roman"/>
          <w:bCs/>
          <w:sz w:val="24"/>
          <w:szCs w:val="24"/>
        </w:rPr>
        <w:t>FT</w:t>
      </w:r>
      <w:r w:rsidR="0046055B" w:rsidRPr="00B86BF8">
        <w:rPr>
          <w:rFonts w:ascii="Times New Roman" w:hAnsi="Times New Roman"/>
          <w:bCs/>
          <w:sz w:val="24"/>
          <w:szCs w:val="24"/>
        </w:rPr>
        <w:t>)</w:t>
      </w:r>
      <w:r w:rsidRPr="00B86BF8">
        <w:rPr>
          <w:rFonts w:ascii="Times New Roman" w:hAnsi="Times New Roman"/>
          <w:bCs/>
          <w:sz w:val="24"/>
          <w:szCs w:val="24"/>
        </w:rPr>
        <w:t xml:space="preserve"> ar </w:t>
      </w:r>
      <w:r w:rsidR="00384AC7" w:rsidRPr="00B86BF8">
        <w:rPr>
          <w:rFonts w:ascii="Times New Roman" w:hAnsi="Times New Roman"/>
          <w:bCs/>
          <w:sz w:val="24"/>
          <w:szCs w:val="24"/>
        </w:rPr>
        <w:t xml:space="preserve">„Invegos“ </w:t>
      </w:r>
      <w:r w:rsidRPr="00B86BF8">
        <w:rPr>
          <w:rFonts w:ascii="Times New Roman" w:hAnsi="Times New Roman"/>
          <w:bCs/>
          <w:sz w:val="24"/>
          <w:szCs w:val="24"/>
        </w:rPr>
        <w:t>iniciatyva</w:t>
      </w:r>
      <w:r w:rsidR="00B83324" w:rsidRPr="00B86BF8">
        <w:rPr>
          <w:rFonts w:ascii="Times New Roman" w:hAnsi="Times New Roman"/>
          <w:bCs/>
          <w:sz w:val="24"/>
          <w:szCs w:val="24"/>
        </w:rPr>
        <w:t xml:space="preserve">. </w:t>
      </w:r>
      <w:r w:rsidR="00BC202C" w:rsidRPr="00B86BF8">
        <w:rPr>
          <w:rFonts w:ascii="Times New Roman" w:hAnsi="Times New Roman"/>
          <w:bCs/>
          <w:sz w:val="24"/>
          <w:szCs w:val="24"/>
        </w:rPr>
        <w:t>A</w:t>
      </w:r>
      <w:r w:rsidR="00B83324" w:rsidRPr="00B86BF8">
        <w:rPr>
          <w:rFonts w:ascii="Times New Roman" w:hAnsi="Times New Roman"/>
          <w:bCs/>
          <w:sz w:val="24"/>
          <w:szCs w:val="24"/>
        </w:rPr>
        <w:t>prašo</w:t>
      </w:r>
      <w:r w:rsidR="00BC202C" w:rsidRPr="00B86BF8">
        <w:rPr>
          <w:rFonts w:ascii="Times New Roman" w:hAnsi="Times New Roman"/>
          <w:bCs/>
          <w:sz w:val="24"/>
          <w:szCs w:val="24"/>
        </w:rPr>
        <w:t xml:space="preserve"> </w:t>
      </w:r>
      <w:bookmarkEnd w:id="0"/>
      <w:r w:rsidR="00050030" w:rsidRPr="00B86BF8">
        <w:rPr>
          <w:rFonts w:ascii="Times New Roman" w:hAnsi="Times New Roman"/>
          <w:bCs/>
          <w:sz w:val="24"/>
          <w:szCs w:val="24"/>
        </w:rPr>
        <w:t xml:space="preserve">nuostatų </w:t>
      </w:r>
      <w:r w:rsidR="00BC202C" w:rsidRPr="00B86BF8">
        <w:rPr>
          <w:rFonts w:ascii="Times New Roman" w:hAnsi="Times New Roman"/>
          <w:bCs/>
          <w:sz w:val="24"/>
          <w:szCs w:val="24"/>
        </w:rPr>
        <w:t xml:space="preserve">paaiškinimai skelbiami viešai interneto puslapyje </w:t>
      </w:r>
      <w:hyperlink r:id="rId12" w:history="1">
        <w:r w:rsidR="00BC202C" w:rsidRPr="00B86BF8">
          <w:rPr>
            <w:rStyle w:val="Hyperlink"/>
            <w:rFonts w:ascii="Times New Roman" w:hAnsi="Times New Roman"/>
            <w:bCs/>
            <w:sz w:val="24"/>
            <w:szCs w:val="24"/>
          </w:rPr>
          <w:t>www.invega.lt</w:t>
        </w:r>
      </w:hyperlink>
      <w:r w:rsidR="00BC202C" w:rsidRPr="00B86BF8">
        <w:rPr>
          <w:rFonts w:ascii="Times New Roman" w:hAnsi="Times New Roman"/>
          <w:bCs/>
          <w:sz w:val="24"/>
          <w:szCs w:val="24"/>
        </w:rPr>
        <w:t>.</w:t>
      </w:r>
    </w:p>
    <w:p w14:paraId="7CA01F33" w14:textId="77777777" w:rsidR="00E51EF3" w:rsidRPr="00B86BF8" w:rsidRDefault="00E25BF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B86BF8">
        <w:rPr>
          <w:rFonts w:ascii="Times New Roman" w:hAnsi="Times New Roman"/>
          <w:bCs/>
          <w:sz w:val="24"/>
          <w:szCs w:val="24"/>
        </w:rPr>
        <w:t>S</w:t>
      </w:r>
      <w:r w:rsidR="00282632" w:rsidRPr="00B86BF8">
        <w:rPr>
          <w:rFonts w:ascii="Times New Roman" w:hAnsi="Times New Roman"/>
          <w:bCs/>
          <w:sz w:val="24"/>
          <w:szCs w:val="24"/>
        </w:rPr>
        <w:t>iekiant</w:t>
      </w:r>
      <w:r w:rsidR="00E51EF3" w:rsidRPr="00B86BF8">
        <w:rPr>
          <w:rFonts w:ascii="Times New Roman" w:hAnsi="Times New Roman"/>
          <w:bCs/>
          <w:sz w:val="24"/>
          <w:szCs w:val="24"/>
        </w:rPr>
        <w:t xml:space="preserve"> įvertinti visų s</w:t>
      </w:r>
      <w:r w:rsidR="00282632" w:rsidRPr="00B86BF8">
        <w:rPr>
          <w:rFonts w:ascii="Times New Roman" w:hAnsi="Times New Roman"/>
          <w:bCs/>
          <w:sz w:val="24"/>
          <w:szCs w:val="24"/>
        </w:rPr>
        <w:t xml:space="preserve">uinteresuotų šalių </w:t>
      </w:r>
      <w:r w:rsidR="000B5C4C" w:rsidRPr="00B86BF8">
        <w:rPr>
          <w:rFonts w:ascii="Times New Roman" w:hAnsi="Times New Roman"/>
          <w:bCs/>
          <w:sz w:val="24"/>
          <w:szCs w:val="24"/>
        </w:rPr>
        <w:t>pastabas</w:t>
      </w:r>
      <w:r w:rsidR="00BA5FF4" w:rsidRPr="00B86BF8">
        <w:rPr>
          <w:rFonts w:ascii="Times New Roman" w:hAnsi="Times New Roman"/>
          <w:bCs/>
          <w:sz w:val="24"/>
          <w:szCs w:val="24"/>
        </w:rPr>
        <w:t xml:space="preserve"> ir </w:t>
      </w:r>
      <w:r w:rsidR="00676FE9" w:rsidRPr="00B86BF8">
        <w:rPr>
          <w:rFonts w:ascii="Times New Roman" w:hAnsi="Times New Roman"/>
          <w:bCs/>
          <w:sz w:val="24"/>
          <w:szCs w:val="24"/>
        </w:rPr>
        <w:t>užtikrinti</w:t>
      </w:r>
      <w:r w:rsidR="00384AC7" w:rsidRPr="00B86BF8">
        <w:rPr>
          <w:rFonts w:ascii="Times New Roman" w:hAnsi="Times New Roman"/>
          <w:bCs/>
          <w:sz w:val="24"/>
          <w:szCs w:val="24"/>
        </w:rPr>
        <w:t>,</w:t>
      </w:r>
      <w:r w:rsidR="00BA5FF4" w:rsidRPr="00B86BF8">
        <w:rPr>
          <w:rFonts w:ascii="Times New Roman" w:hAnsi="Times New Roman"/>
          <w:bCs/>
          <w:sz w:val="24"/>
          <w:szCs w:val="24"/>
        </w:rPr>
        <w:t xml:space="preserve"> </w:t>
      </w:r>
      <w:r w:rsidR="00CE450B" w:rsidRPr="00B86BF8">
        <w:rPr>
          <w:rFonts w:ascii="Times New Roman" w:hAnsi="Times New Roman"/>
          <w:bCs/>
          <w:sz w:val="24"/>
          <w:szCs w:val="24"/>
        </w:rPr>
        <w:t xml:space="preserve">kad </w:t>
      </w:r>
      <w:r w:rsidR="001336B0" w:rsidRPr="00B86BF8">
        <w:rPr>
          <w:rFonts w:ascii="Times New Roman" w:hAnsi="Times New Roman"/>
          <w:bCs/>
          <w:sz w:val="24"/>
          <w:szCs w:val="24"/>
        </w:rPr>
        <w:t>Priemon</w:t>
      </w:r>
      <w:r w:rsidR="000B1047" w:rsidRPr="00B86BF8">
        <w:rPr>
          <w:rFonts w:ascii="Times New Roman" w:hAnsi="Times New Roman"/>
          <w:bCs/>
          <w:sz w:val="24"/>
          <w:szCs w:val="24"/>
        </w:rPr>
        <w:t xml:space="preserve">ės </w:t>
      </w:r>
      <w:r w:rsidR="00A63399" w:rsidRPr="00B86BF8">
        <w:rPr>
          <w:rFonts w:ascii="Times New Roman" w:hAnsi="Times New Roman"/>
          <w:bCs/>
          <w:sz w:val="24"/>
          <w:szCs w:val="24"/>
        </w:rPr>
        <w:t xml:space="preserve">„Alternatyva“ </w:t>
      </w:r>
      <w:r w:rsidR="000B1047" w:rsidRPr="00B86BF8">
        <w:rPr>
          <w:rFonts w:ascii="Times New Roman" w:hAnsi="Times New Roman"/>
          <w:bCs/>
          <w:sz w:val="24"/>
          <w:szCs w:val="24"/>
        </w:rPr>
        <w:t xml:space="preserve">sąlygos atitiktų </w:t>
      </w:r>
      <w:r w:rsidR="006D5ABA" w:rsidRPr="00B86BF8">
        <w:rPr>
          <w:rFonts w:ascii="Times New Roman" w:hAnsi="Times New Roman"/>
          <w:bCs/>
          <w:sz w:val="24"/>
          <w:szCs w:val="24"/>
        </w:rPr>
        <w:t>rinkos poreikius</w:t>
      </w:r>
      <w:r w:rsidRPr="00B86BF8">
        <w:rPr>
          <w:rFonts w:ascii="Times New Roman" w:hAnsi="Times New Roman"/>
          <w:bCs/>
          <w:sz w:val="24"/>
          <w:szCs w:val="24"/>
        </w:rPr>
        <w:t xml:space="preserve">, iki Aprašo </w:t>
      </w:r>
      <w:r w:rsidR="00307B9A" w:rsidRPr="00B86BF8">
        <w:rPr>
          <w:rFonts w:ascii="Times New Roman" w:hAnsi="Times New Roman"/>
          <w:bCs/>
          <w:sz w:val="24"/>
          <w:szCs w:val="24"/>
        </w:rPr>
        <w:t xml:space="preserve">suderinimo </w:t>
      </w:r>
      <w:r w:rsidRPr="00B86BF8">
        <w:rPr>
          <w:rFonts w:ascii="Times New Roman" w:hAnsi="Times New Roman"/>
          <w:bCs/>
          <w:sz w:val="24"/>
          <w:szCs w:val="24"/>
        </w:rPr>
        <w:t xml:space="preserve">vykdytas viešas </w:t>
      </w:r>
      <w:r w:rsidR="001336B0" w:rsidRPr="00B86BF8">
        <w:rPr>
          <w:rFonts w:ascii="Times New Roman" w:hAnsi="Times New Roman"/>
          <w:bCs/>
          <w:sz w:val="24"/>
          <w:szCs w:val="24"/>
        </w:rPr>
        <w:t>Priemon</w:t>
      </w:r>
      <w:r w:rsidRPr="00B86BF8">
        <w:rPr>
          <w:rFonts w:ascii="Times New Roman" w:hAnsi="Times New Roman"/>
          <w:bCs/>
          <w:sz w:val="24"/>
          <w:szCs w:val="24"/>
        </w:rPr>
        <w:t xml:space="preserve">ės </w:t>
      </w:r>
      <w:r w:rsidR="00A63399" w:rsidRPr="00B86BF8">
        <w:rPr>
          <w:rFonts w:ascii="Times New Roman" w:hAnsi="Times New Roman"/>
          <w:bCs/>
          <w:sz w:val="24"/>
          <w:szCs w:val="24"/>
        </w:rPr>
        <w:t xml:space="preserve">„Alternatyva“ </w:t>
      </w:r>
      <w:r w:rsidR="00CF6019" w:rsidRPr="00B86BF8">
        <w:rPr>
          <w:rFonts w:ascii="Times New Roman" w:hAnsi="Times New Roman"/>
          <w:bCs/>
          <w:sz w:val="24"/>
          <w:szCs w:val="24"/>
        </w:rPr>
        <w:t>į</w:t>
      </w:r>
      <w:r w:rsidRPr="00B86BF8">
        <w:rPr>
          <w:rFonts w:ascii="Times New Roman" w:hAnsi="Times New Roman"/>
          <w:bCs/>
          <w:sz w:val="24"/>
          <w:szCs w:val="24"/>
        </w:rPr>
        <w:t>gyvendinimo sąlygų aptarimas.</w:t>
      </w:r>
    </w:p>
    <w:p w14:paraId="25D9E33C" w14:textId="77777777" w:rsidR="003B52F2" w:rsidRPr="00B86BF8" w:rsidRDefault="003B52F2" w:rsidP="0041074D">
      <w:pPr>
        <w:autoSpaceDE w:val="0"/>
        <w:autoSpaceDN w:val="0"/>
        <w:adjustRightInd w:val="0"/>
        <w:spacing w:after="0" w:line="240" w:lineRule="auto"/>
        <w:ind w:left="1070"/>
        <w:jc w:val="both"/>
        <w:rPr>
          <w:rFonts w:ascii="Times New Roman" w:hAnsi="Times New Roman"/>
          <w:sz w:val="24"/>
        </w:rPr>
      </w:pPr>
    </w:p>
    <w:p w14:paraId="32EF4A71" w14:textId="77777777" w:rsidR="00162B14" w:rsidRPr="00B86BF8" w:rsidRDefault="007B3788"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B86BF8">
        <w:rPr>
          <w:rFonts w:ascii="Times New Roman" w:hAnsi="Times New Roman"/>
          <w:b/>
          <w:bCs/>
          <w:sz w:val="24"/>
          <w:szCs w:val="24"/>
        </w:rPr>
        <w:t>PRIEMONĖS</w:t>
      </w:r>
      <w:r w:rsidR="00FF1989" w:rsidRPr="00B86BF8">
        <w:rPr>
          <w:rFonts w:ascii="Times New Roman" w:hAnsi="Times New Roman"/>
          <w:b/>
          <w:bCs/>
          <w:sz w:val="24"/>
          <w:szCs w:val="24"/>
        </w:rPr>
        <w:t xml:space="preserve"> </w:t>
      </w:r>
      <w:r w:rsidR="00FB5A6E" w:rsidRPr="00B86BF8">
        <w:rPr>
          <w:rFonts w:ascii="Times New Roman" w:hAnsi="Times New Roman"/>
          <w:b/>
          <w:bCs/>
          <w:sz w:val="24"/>
          <w:szCs w:val="24"/>
        </w:rPr>
        <w:t xml:space="preserve">„ALTERNATYVA“ </w:t>
      </w:r>
      <w:r w:rsidR="00FF1989" w:rsidRPr="00B86BF8">
        <w:rPr>
          <w:rFonts w:ascii="Times New Roman" w:hAnsi="Times New Roman"/>
          <w:b/>
          <w:bCs/>
          <w:sz w:val="24"/>
          <w:szCs w:val="24"/>
        </w:rPr>
        <w:t xml:space="preserve">ĮGYVENDINIMO </w:t>
      </w:r>
      <w:r w:rsidR="00CD3959" w:rsidRPr="00B86BF8">
        <w:rPr>
          <w:rFonts w:ascii="Times New Roman" w:hAnsi="Times New Roman"/>
          <w:b/>
          <w:bCs/>
          <w:sz w:val="24"/>
          <w:szCs w:val="24"/>
        </w:rPr>
        <w:t xml:space="preserve">SUTARTIES </w:t>
      </w:r>
      <w:r w:rsidR="00162B14" w:rsidRPr="00B86BF8">
        <w:rPr>
          <w:rFonts w:ascii="Times New Roman" w:hAnsi="Times New Roman"/>
          <w:b/>
          <w:bCs/>
          <w:sz w:val="24"/>
          <w:szCs w:val="24"/>
        </w:rPr>
        <w:t>OBJEKTAS</w:t>
      </w:r>
    </w:p>
    <w:p w14:paraId="21079C22" w14:textId="77777777" w:rsidR="00A421A2" w:rsidRPr="00B86BF8" w:rsidRDefault="00A421A2" w:rsidP="006C3DD1">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3BFD77FA" w14:textId="7333FF97" w:rsidR="003929B4" w:rsidRPr="00B86BF8" w:rsidRDefault="008F7F79"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Sudaromos sutarties su kiekvienu </w:t>
      </w:r>
      <w:r w:rsidR="00FE6E82" w:rsidRPr="00B86BF8">
        <w:rPr>
          <w:rFonts w:ascii="Times New Roman" w:hAnsi="Times New Roman"/>
          <w:sz w:val="24"/>
          <w:szCs w:val="24"/>
        </w:rPr>
        <w:t>FT</w:t>
      </w:r>
      <w:r w:rsidRPr="00B86BF8">
        <w:rPr>
          <w:rFonts w:ascii="Times New Roman" w:hAnsi="Times New Roman"/>
          <w:sz w:val="24"/>
          <w:szCs w:val="24"/>
        </w:rPr>
        <w:t xml:space="preserve"> </w:t>
      </w:r>
      <w:r w:rsidR="00803FB0" w:rsidRPr="00B86BF8">
        <w:rPr>
          <w:rFonts w:ascii="Times New Roman" w:hAnsi="Times New Roman"/>
          <w:sz w:val="24"/>
          <w:szCs w:val="24"/>
        </w:rPr>
        <w:t xml:space="preserve">(toliau – Sutartis) </w:t>
      </w:r>
      <w:r w:rsidR="00C519CB" w:rsidRPr="00B86BF8">
        <w:rPr>
          <w:rFonts w:ascii="Times New Roman" w:hAnsi="Times New Roman"/>
          <w:sz w:val="24"/>
          <w:szCs w:val="24"/>
        </w:rPr>
        <w:t xml:space="preserve">objektas – </w:t>
      </w:r>
      <w:r w:rsidR="001336B0" w:rsidRPr="00B86BF8">
        <w:rPr>
          <w:rFonts w:ascii="Times New Roman" w:hAnsi="Times New Roman"/>
          <w:sz w:val="24"/>
          <w:szCs w:val="24"/>
        </w:rPr>
        <w:t>Priemon</w:t>
      </w:r>
      <w:r w:rsidR="00C519CB" w:rsidRPr="00B86BF8">
        <w:rPr>
          <w:rFonts w:ascii="Times New Roman" w:hAnsi="Times New Roman"/>
          <w:sz w:val="24"/>
          <w:szCs w:val="24"/>
        </w:rPr>
        <w:t>ės</w:t>
      </w:r>
      <w:r w:rsidR="00041F85" w:rsidRPr="00B86BF8">
        <w:rPr>
          <w:rFonts w:ascii="Times New Roman" w:hAnsi="Times New Roman"/>
          <w:sz w:val="24"/>
          <w:szCs w:val="24"/>
        </w:rPr>
        <w:t xml:space="preserve"> </w:t>
      </w:r>
      <w:r w:rsidR="00EF51C0" w:rsidRPr="00B86BF8">
        <w:rPr>
          <w:rFonts w:ascii="Times New Roman" w:hAnsi="Times New Roman"/>
          <w:sz w:val="24"/>
          <w:szCs w:val="24"/>
        </w:rPr>
        <w:t xml:space="preserve">„Alternatyva“ </w:t>
      </w:r>
      <w:r w:rsidR="00041F85" w:rsidRPr="00B86BF8">
        <w:rPr>
          <w:rFonts w:ascii="Times New Roman" w:hAnsi="Times New Roman"/>
          <w:sz w:val="24"/>
          <w:szCs w:val="24"/>
        </w:rPr>
        <w:t xml:space="preserve">įgyvendinimas </w:t>
      </w:r>
      <w:r w:rsidR="00B626C8" w:rsidRPr="00B86BF8">
        <w:rPr>
          <w:rFonts w:ascii="Times New Roman" w:hAnsi="Times New Roman"/>
          <w:sz w:val="24"/>
          <w:szCs w:val="24"/>
        </w:rPr>
        <w:t>pagal</w:t>
      </w:r>
      <w:r w:rsidR="00734DDD" w:rsidRPr="00B86BF8">
        <w:rPr>
          <w:rFonts w:ascii="Times New Roman" w:hAnsi="Times New Roman"/>
          <w:sz w:val="24"/>
          <w:szCs w:val="24"/>
        </w:rPr>
        <w:t xml:space="preserve"> šiame Apraše ir sudarytoje </w:t>
      </w:r>
      <w:r w:rsidR="001336B0" w:rsidRPr="00B86BF8">
        <w:rPr>
          <w:rFonts w:ascii="Times New Roman" w:hAnsi="Times New Roman"/>
          <w:sz w:val="24"/>
          <w:szCs w:val="24"/>
        </w:rPr>
        <w:t>Priemon</w:t>
      </w:r>
      <w:r w:rsidR="00C0050B" w:rsidRPr="00B86BF8">
        <w:rPr>
          <w:rFonts w:ascii="Times New Roman" w:hAnsi="Times New Roman"/>
          <w:sz w:val="24"/>
          <w:szCs w:val="24"/>
        </w:rPr>
        <w:t xml:space="preserve">ės </w:t>
      </w:r>
      <w:r w:rsidR="00943326" w:rsidRPr="00B86BF8">
        <w:rPr>
          <w:rFonts w:ascii="Times New Roman" w:hAnsi="Times New Roman"/>
          <w:sz w:val="24"/>
          <w:szCs w:val="24"/>
        </w:rPr>
        <w:t xml:space="preserve">„Alternatyva“ </w:t>
      </w:r>
      <w:r w:rsidR="00C0050B" w:rsidRPr="00B86BF8">
        <w:rPr>
          <w:rFonts w:ascii="Times New Roman" w:hAnsi="Times New Roman"/>
          <w:sz w:val="24"/>
          <w:szCs w:val="24"/>
        </w:rPr>
        <w:t xml:space="preserve">įgyvendinimo </w:t>
      </w:r>
      <w:r w:rsidR="00734DDD" w:rsidRPr="00B86BF8">
        <w:rPr>
          <w:rFonts w:ascii="Times New Roman" w:hAnsi="Times New Roman"/>
          <w:sz w:val="24"/>
          <w:szCs w:val="24"/>
        </w:rPr>
        <w:t>sutartyje</w:t>
      </w:r>
      <w:r w:rsidR="007B6AD5" w:rsidRPr="00B86BF8">
        <w:rPr>
          <w:rFonts w:ascii="Times New Roman" w:hAnsi="Times New Roman"/>
          <w:sz w:val="24"/>
          <w:szCs w:val="24"/>
        </w:rPr>
        <w:t xml:space="preserve"> </w:t>
      </w:r>
      <w:r w:rsidR="00B626C8" w:rsidRPr="00B86BF8">
        <w:rPr>
          <w:rFonts w:ascii="Times New Roman" w:hAnsi="Times New Roman"/>
          <w:sz w:val="24"/>
          <w:szCs w:val="24"/>
        </w:rPr>
        <w:t xml:space="preserve">nustatytas </w:t>
      </w:r>
      <w:r w:rsidR="00734DDD" w:rsidRPr="00B86BF8">
        <w:rPr>
          <w:rFonts w:ascii="Times New Roman" w:hAnsi="Times New Roman"/>
          <w:sz w:val="24"/>
          <w:szCs w:val="24"/>
        </w:rPr>
        <w:t>sąlyg</w:t>
      </w:r>
      <w:r w:rsidR="00B626C8" w:rsidRPr="00B86BF8">
        <w:rPr>
          <w:rFonts w:ascii="Times New Roman" w:hAnsi="Times New Roman"/>
          <w:sz w:val="24"/>
          <w:szCs w:val="24"/>
        </w:rPr>
        <w:t>as</w:t>
      </w:r>
      <w:r w:rsidR="00C519CB" w:rsidRPr="00B86BF8">
        <w:rPr>
          <w:rFonts w:ascii="Times New Roman" w:hAnsi="Times New Roman"/>
          <w:sz w:val="24"/>
          <w:szCs w:val="24"/>
        </w:rPr>
        <w:t>.</w:t>
      </w:r>
      <w:r w:rsidR="00041F85" w:rsidRPr="00B86BF8">
        <w:rPr>
          <w:rFonts w:ascii="Times New Roman" w:hAnsi="Times New Roman"/>
          <w:sz w:val="24"/>
          <w:szCs w:val="24"/>
        </w:rPr>
        <w:t xml:space="preserve"> </w:t>
      </w:r>
    </w:p>
    <w:p w14:paraId="05F0916F" w14:textId="77777777" w:rsidR="00C519CB" w:rsidRPr="00B86BF8" w:rsidRDefault="00C519CB"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Už </w:t>
      </w:r>
      <w:r w:rsidR="001336B0" w:rsidRPr="00B86BF8">
        <w:rPr>
          <w:rFonts w:ascii="Times New Roman" w:hAnsi="Times New Roman"/>
          <w:sz w:val="24"/>
          <w:szCs w:val="24"/>
        </w:rPr>
        <w:t>Priemon</w:t>
      </w:r>
      <w:r w:rsidRPr="00B86BF8">
        <w:rPr>
          <w:rFonts w:ascii="Times New Roman" w:hAnsi="Times New Roman"/>
          <w:sz w:val="24"/>
          <w:szCs w:val="24"/>
        </w:rPr>
        <w:t>ės</w:t>
      </w:r>
      <w:r w:rsidR="00C97F48" w:rsidRPr="00B86BF8">
        <w:rPr>
          <w:rFonts w:ascii="Times New Roman" w:hAnsi="Times New Roman"/>
          <w:sz w:val="24"/>
          <w:szCs w:val="24"/>
        </w:rPr>
        <w:t xml:space="preserve"> </w:t>
      </w:r>
      <w:r w:rsidR="00943326" w:rsidRPr="00B86BF8">
        <w:rPr>
          <w:rFonts w:ascii="Times New Roman" w:hAnsi="Times New Roman"/>
          <w:sz w:val="24"/>
          <w:szCs w:val="24"/>
        </w:rPr>
        <w:t xml:space="preserve">„Alternatyva“ </w:t>
      </w:r>
      <w:r w:rsidR="00C97F48" w:rsidRPr="00B86BF8">
        <w:rPr>
          <w:rFonts w:ascii="Times New Roman" w:hAnsi="Times New Roman"/>
          <w:sz w:val="24"/>
          <w:szCs w:val="24"/>
        </w:rPr>
        <w:t>įgyvendinimą</w:t>
      </w:r>
      <w:r w:rsidRPr="00B86BF8">
        <w:rPr>
          <w:rFonts w:ascii="Times New Roman" w:hAnsi="Times New Roman"/>
          <w:sz w:val="24"/>
          <w:szCs w:val="24"/>
        </w:rPr>
        <w:t xml:space="preserve"> </w:t>
      </w:r>
      <w:r w:rsidR="00FE6E82" w:rsidRPr="00B86BF8">
        <w:rPr>
          <w:rFonts w:ascii="Times New Roman" w:hAnsi="Times New Roman"/>
          <w:sz w:val="24"/>
          <w:szCs w:val="24"/>
        </w:rPr>
        <w:t>FT</w:t>
      </w:r>
      <w:r w:rsidRPr="00B86BF8">
        <w:rPr>
          <w:rFonts w:ascii="Times New Roman" w:hAnsi="Times New Roman"/>
          <w:sz w:val="24"/>
          <w:szCs w:val="24"/>
        </w:rPr>
        <w:t xml:space="preserve"> nėra mokamas valdymo mokestis.</w:t>
      </w:r>
    </w:p>
    <w:p w14:paraId="7907FA1B" w14:textId="2CE1458F" w:rsidR="000A7257" w:rsidRPr="00B86BF8" w:rsidRDefault="000A7257" w:rsidP="0046055B">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 Pagrindinis Priemonės „Alternatyva“ tik</w:t>
      </w:r>
      <w:r w:rsidR="009726A6" w:rsidRPr="00B86BF8">
        <w:rPr>
          <w:rFonts w:ascii="Times New Roman" w:hAnsi="Times New Roman"/>
          <w:sz w:val="24"/>
          <w:szCs w:val="24"/>
        </w:rPr>
        <w:t>s</w:t>
      </w:r>
      <w:r w:rsidRPr="00B86BF8">
        <w:rPr>
          <w:rFonts w:ascii="Times New Roman" w:hAnsi="Times New Roman"/>
          <w:sz w:val="24"/>
          <w:szCs w:val="24"/>
        </w:rPr>
        <w:t>las – bendr</w:t>
      </w:r>
      <w:r w:rsidR="009726A6" w:rsidRPr="00B86BF8">
        <w:rPr>
          <w:rFonts w:ascii="Times New Roman" w:hAnsi="Times New Roman"/>
          <w:sz w:val="24"/>
          <w:szCs w:val="24"/>
        </w:rPr>
        <w:t>a</w:t>
      </w:r>
      <w:r w:rsidRPr="00B86BF8">
        <w:rPr>
          <w:rFonts w:ascii="Times New Roman" w:hAnsi="Times New Roman"/>
          <w:sz w:val="24"/>
          <w:szCs w:val="24"/>
        </w:rPr>
        <w:t>darbiaujant su techninės užduoties reikalavimus atitinkančiais ir Priemonę „Alternatyva</w:t>
      </w:r>
      <w:r w:rsidRPr="00B86BF8">
        <w:rPr>
          <w:rFonts w:ascii="Times New Roman" w:hAnsi="Times New Roman"/>
          <w:bCs/>
          <w:sz w:val="24"/>
          <w:szCs w:val="24"/>
        </w:rPr>
        <w:t xml:space="preserve">“ </w:t>
      </w:r>
      <w:r w:rsidRPr="00B86BF8">
        <w:rPr>
          <w:rFonts w:ascii="Times New Roman" w:hAnsi="Times New Roman"/>
          <w:sz w:val="24"/>
          <w:szCs w:val="24"/>
        </w:rPr>
        <w:t xml:space="preserve">pageidaujančiais įgyvendinti </w:t>
      </w:r>
      <w:r w:rsidR="00B53071" w:rsidRPr="00B86BF8">
        <w:rPr>
          <w:rFonts w:ascii="Times New Roman" w:hAnsi="Times New Roman"/>
          <w:sz w:val="24"/>
          <w:szCs w:val="24"/>
        </w:rPr>
        <w:t>FT</w:t>
      </w:r>
      <w:r w:rsidRPr="00B86BF8">
        <w:rPr>
          <w:rFonts w:ascii="Times New Roman" w:hAnsi="Times New Roman"/>
          <w:sz w:val="24"/>
          <w:szCs w:val="24"/>
        </w:rPr>
        <w:t xml:space="preserve"> aktyviai finansuoti </w:t>
      </w:r>
      <w:r w:rsidR="0046055B" w:rsidRPr="00B86BF8">
        <w:rPr>
          <w:rFonts w:ascii="Times New Roman" w:hAnsi="Times New Roman"/>
          <w:sz w:val="24"/>
          <w:szCs w:val="24"/>
        </w:rPr>
        <w:t xml:space="preserve">smulkiojo ir vidutinio verslo (toliau – </w:t>
      </w:r>
      <w:r w:rsidRPr="00B86BF8">
        <w:rPr>
          <w:rFonts w:ascii="Times New Roman" w:hAnsi="Times New Roman"/>
          <w:sz w:val="24"/>
          <w:szCs w:val="24"/>
        </w:rPr>
        <w:t>SVV</w:t>
      </w:r>
      <w:r w:rsidR="0046055B" w:rsidRPr="00B86BF8">
        <w:rPr>
          <w:rFonts w:ascii="Times New Roman" w:hAnsi="Times New Roman"/>
          <w:sz w:val="24"/>
          <w:szCs w:val="24"/>
        </w:rPr>
        <w:t>)</w:t>
      </w:r>
      <w:r w:rsidRPr="00B86BF8">
        <w:rPr>
          <w:rFonts w:ascii="Times New Roman" w:hAnsi="Times New Roman"/>
          <w:sz w:val="24"/>
          <w:szCs w:val="24"/>
        </w:rPr>
        <w:t xml:space="preserve"> subjektus.</w:t>
      </w:r>
    </w:p>
    <w:p w14:paraId="4212D326" w14:textId="77777777" w:rsidR="006F035E" w:rsidRPr="00B86BF8" w:rsidRDefault="006F035E" w:rsidP="00035106">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Detalus </w:t>
      </w:r>
      <w:r w:rsidR="001336B0" w:rsidRPr="00B86BF8">
        <w:rPr>
          <w:rFonts w:ascii="Times New Roman" w:hAnsi="Times New Roman"/>
          <w:sz w:val="24"/>
          <w:szCs w:val="24"/>
        </w:rPr>
        <w:t>Priemon</w:t>
      </w:r>
      <w:r w:rsidR="00365949" w:rsidRPr="00B86BF8">
        <w:rPr>
          <w:rFonts w:ascii="Times New Roman" w:hAnsi="Times New Roman"/>
          <w:sz w:val="24"/>
          <w:szCs w:val="24"/>
        </w:rPr>
        <w:t>ės</w:t>
      </w:r>
      <w:r w:rsidRPr="00B86BF8">
        <w:rPr>
          <w:rFonts w:ascii="Times New Roman" w:hAnsi="Times New Roman"/>
          <w:sz w:val="24"/>
          <w:szCs w:val="24"/>
        </w:rPr>
        <w:t xml:space="preserve"> </w:t>
      </w:r>
      <w:r w:rsidR="00901B00" w:rsidRPr="00B86BF8">
        <w:rPr>
          <w:rFonts w:ascii="Times New Roman" w:hAnsi="Times New Roman"/>
          <w:sz w:val="24"/>
          <w:szCs w:val="24"/>
        </w:rPr>
        <w:t xml:space="preserve">„Alternatyva“ </w:t>
      </w:r>
      <w:r w:rsidR="007B6AD5" w:rsidRPr="00B86BF8">
        <w:rPr>
          <w:rFonts w:ascii="Times New Roman" w:hAnsi="Times New Roman"/>
          <w:sz w:val="24"/>
          <w:szCs w:val="24"/>
        </w:rPr>
        <w:t xml:space="preserve">sąlygų </w:t>
      </w:r>
      <w:r w:rsidRPr="00B86BF8">
        <w:rPr>
          <w:rFonts w:ascii="Times New Roman" w:hAnsi="Times New Roman"/>
          <w:sz w:val="24"/>
          <w:szCs w:val="24"/>
        </w:rPr>
        <w:t>aprašymas pateikiamas Aprašo 1 priede (</w:t>
      </w:r>
      <w:r w:rsidR="00A56D86" w:rsidRPr="00B86BF8">
        <w:rPr>
          <w:rFonts w:ascii="Times New Roman" w:hAnsi="Times New Roman"/>
          <w:sz w:val="24"/>
          <w:szCs w:val="24"/>
        </w:rPr>
        <w:t xml:space="preserve">Pagrindinės </w:t>
      </w:r>
      <w:r w:rsidR="009726A6" w:rsidRPr="00B86BF8">
        <w:rPr>
          <w:rFonts w:ascii="Times New Roman" w:hAnsi="Times New Roman"/>
          <w:sz w:val="24"/>
          <w:szCs w:val="24"/>
        </w:rPr>
        <w:t>sąlygos</w:t>
      </w:r>
      <w:r w:rsidRPr="00B86BF8">
        <w:rPr>
          <w:rFonts w:ascii="Times New Roman" w:hAnsi="Times New Roman"/>
          <w:sz w:val="24"/>
          <w:szCs w:val="24"/>
        </w:rPr>
        <w:t>).</w:t>
      </w:r>
    </w:p>
    <w:p w14:paraId="673B1DA9" w14:textId="77777777" w:rsidR="008D1382" w:rsidRPr="00B86BF8"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61EDD9D3" w14:textId="77777777" w:rsidR="00431922" w:rsidRPr="00B86BF8" w:rsidRDefault="0043192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B86BF8">
        <w:rPr>
          <w:rFonts w:ascii="Times New Roman" w:hAnsi="Times New Roman"/>
          <w:b/>
          <w:bCs/>
          <w:sz w:val="24"/>
          <w:szCs w:val="24"/>
        </w:rPr>
        <w:t xml:space="preserve">PRAŠYMO </w:t>
      </w:r>
      <w:r w:rsidR="00F056ED" w:rsidRPr="00B86BF8">
        <w:rPr>
          <w:rFonts w:ascii="Times New Roman" w:hAnsi="Times New Roman"/>
          <w:b/>
          <w:bCs/>
          <w:sz w:val="24"/>
          <w:szCs w:val="24"/>
        </w:rPr>
        <w:t>PATEIKIMAS</w:t>
      </w:r>
    </w:p>
    <w:p w14:paraId="7CCA5009" w14:textId="77777777" w:rsidR="00C23C16" w:rsidRPr="00B86BF8"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786D680C" w14:textId="77777777" w:rsidR="000C696D" w:rsidRPr="00B86BF8"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183D7B17" w14:textId="5936429C" w:rsidR="00B52574" w:rsidRPr="00B86BF8" w:rsidRDefault="0080642C"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B86BF8">
        <w:rPr>
          <w:rFonts w:ascii="Times New Roman" w:hAnsi="Times New Roman"/>
          <w:sz w:val="24"/>
          <w:szCs w:val="24"/>
        </w:rPr>
        <w:t>FT prašym</w:t>
      </w:r>
      <w:r w:rsidR="00F15861" w:rsidRPr="00B86BF8">
        <w:rPr>
          <w:rFonts w:ascii="Times New Roman" w:hAnsi="Times New Roman"/>
          <w:sz w:val="24"/>
          <w:szCs w:val="24"/>
        </w:rPr>
        <w:t>ai</w:t>
      </w:r>
      <w:r w:rsidRPr="00B86BF8">
        <w:rPr>
          <w:rFonts w:ascii="Times New Roman" w:hAnsi="Times New Roman"/>
          <w:sz w:val="24"/>
          <w:szCs w:val="24"/>
        </w:rPr>
        <w:t xml:space="preserve"> įgyvendinti Priemonę </w:t>
      </w:r>
      <w:r w:rsidR="00132D1E" w:rsidRPr="00B86BF8">
        <w:rPr>
          <w:rFonts w:ascii="Times New Roman" w:hAnsi="Times New Roman"/>
          <w:sz w:val="24"/>
          <w:szCs w:val="24"/>
        </w:rPr>
        <w:t xml:space="preserve">„Alternatyva“ </w:t>
      </w:r>
      <w:r w:rsidR="00F15861" w:rsidRPr="00B86BF8">
        <w:rPr>
          <w:rFonts w:ascii="Times New Roman" w:hAnsi="Times New Roman"/>
          <w:sz w:val="24"/>
          <w:szCs w:val="24"/>
        </w:rPr>
        <w:t>teikiami etapais: pirmasis kvietimo etapas vykdytas nuo 2020 m. balandžio 17 d. iki 2020 m. birželio 30 d., o antrasis kvietimo etapas</w:t>
      </w:r>
      <w:r w:rsidR="009969A0" w:rsidRPr="00B86BF8">
        <w:rPr>
          <w:rFonts w:ascii="Times New Roman" w:hAnsi="Times New Roman"/>
          <w:sz w:val="24"/>
          <w:szCs w:val="24"/>
        </w:rPr>
        <w:t> </w:t>
      </w:r>
      <w:r w:rsidR="00F15861" w:rsidRPr="00B86BF8">
        <w:rPr>
          <w:rFonts w:ascii="Times New Roman" w:hAnsi="Times New Roman"/>
          <w:sz w:val="24"/>
          <w:szCs w:val="24"/>
        </w:rPr>
        <w:t xml:space="preserve">– </w:t>
      </w:r>
      <w:r w:rsidRPr="00B86BF8">
        <w:rPr>
          <w:rFonts w:ascii="Times New Roman" w:hAnsi="Times New Roman"/>
          <w:sz w:val="24"/>
          <w:szCs w:val="24"/>
        </w:rPr>
        <w:t xml:space="preserve">nuo </w:t>
      </w:r>
      <w:r w:rsidR="007330C4" w:rsidRPr="00B86BF8">
        <w:rPr>
          <w:rFonts w:ascii="Times New Roman" w:hAnsi="Times New Roman"/>
          <w:sz w:val="24"/>
          <w:szCs w:val="24"/>
        </w:rPr>
        <w:t xml:space="preserve">atnaujinto </w:t>
      </w:r>
      <w:r w:rsidRPr="00B86BF8">
        <w:rPr>
          <w:rFonts w:ascii="Times New Roman" w:hAnsi="Times New Roman"/>
          <w:sz w:val="24"/>
          <w:szCs w:val="24"/>
        </w:rPr>
        <w:t>kvietimo</w:t>
      </w:r>
      <w:r w:rsidR="00F15861" w:rsidRPr="00B86BF8">
        <w:rPr>
          <w:rFonts w:ascii="Times New Roman" w:hAnsi="Times New Roman"/>
          <w:sz w:val="24"/>
          <w:szCs w:val="24"/>
        </w:rPr>
        <w:t xml:space="preserve"> pa</w:t>
      </w:r>
      <w:r w:rsidR="00D613B0" w:rsidRPr="00B86BF8">
        <w:rPr>
          <w:rFonts w:ascii="Times New Roman" w:hAnsi="Times New Roman"/>
          <w:sz w:val="24"/>
          <w:szCs w:val="24"/>
        </w:rPr>
        <w:t>s</w:t>
      </w:r>
      <w:r w:rsidR="00F15861" w:rsidRPr="00B86BF8">
        <w:rPr>
          <w:rFonts w:ascii="Times New Roman" w:hAnsi="Times New Roman"/>
          <w:sz w:val="24"/>
          <w:szCs w:val="24"/>
        </w:rPr>
        <w:t>ke</w:t>
      </w:r>
      <w:r w:rsidR="00EC0EDC" w:rsidRPr="00B86BF8">
        <w:rPr>
          <w:rFonts w:ascii="Times New Roman" w:hAnsi="Times New Roman"/>
          <w:sz w:val="24"/>
          <w:szCs w:val="24"/>
        </w:rPr>
        <w:t>l</w:t>
      </w:r>
      <w:r w:rsidR="00F15861" w:rsidRPr="00B86BF8">
        <w:rPr>
          <w:rFonts w:ascii="Times New Roman" w:hAnsi="Times New Roman"/>
          <w:sz w:val="24"/>
          <w:szCs w:val="24"/>
        </w:rPr>
        <w:t>bimo iki 202</w:t>
      </w:r>
      <w:r w:rsidR="004A2A47" w:rsidRPr="00B86BF8">
        <w:rPr>
          <w:rFonts w:ascii="Times New Roman" w:hAnsi="Times New Roman"/>
          <w:sz w:val="24"/>
          <w:szCs w:val="24"/>
        </w:rPr>
        <w:t>1</w:t>
      </w:r>
      <w:r w:rsidR="00F15861" w:rsidRPr="00B86BF8">
        <w:rPr>
          <w:rFonts w:ascii="Times New Roman" w:hAnsi="Times New Roman"/>
          <w:sz w:val="24"/>
          <w:szCs w:val="24"/>
        </w:rPr>
        <w:t xml:space="preserve"> m. </w:t>
      </w:r>
      <w:r w:rsidR="004A2A47" w:rsidRPr="00B86BF8">
        <w:rPr>
          <w:rFonts w:ascii="Times New Roman" w:hAnsi="Times New Roman"/>
          <w:sz w:val="24"/>
          <w:szCs w:val="24"/>
        </w:rPr>
        <w:t>gruodžio</w:t>
      </w:r>
      <w:r w:rsidR="00F15861" w:rsidRPr="00B86BF8">
        <w:rPr>
          <w:rFonts w:ascii="Times New Roman" w:hAnsi="Times New Roman"/>
          <w:sz w:val="24"/>
          <w:szCs w:val="24"/>
        </w:rPr>
        <w:t xml:space="preserve"> 3</w:t>
      </w:r>
      <w:r w:rsidR="004A2A47" w:rsidRPr="000C61C4">
        <w:rPr>
          <w:rFonts w:ascii="Times New Roman" w:hAnsi="Times New Roman"/>
          <w:sz w:val="24"/>
        </w:rPr>
        <w:t>1</w:t>
      </w:r>
      <w:r w:rsidR="00F15861" w:rsidRPr="00B86BF8">
        <w:rPr>
          <w:rFonts w:ascii="Times New Roman" w:hAnsi="Times New Roman"/>
          <w:sz w:val="24"/>
          <w:szCs w:val="24"/>
        </w:rPr>
        <w:t xml:space="preserve"> d., bet ne ilgiau nei </w:t>
      </w:r>
      <w:r w:rsidR="00FA0007" w:rsidRPr="00B86BF8">
        <w:rPr>
          <w:rFonts w:ascii="Times New Roman" w:hAnsi="Times New Roman"/>
          <w:sz w:val="24"/>
          <w:szCs w:val="24"/>
        </w:rPr>
        <w:t xml:space="preserve">FT </w:t>
      </w:r>
      <w:r w:rsidRPr="00B86BF8">
        <w:rPr>
          <w:rFonts w:ascii="Times New Roman" w:hAnsi="Times New Roman"/>
          <w:sz w:val="24"/>
          <w:szCs w:val="24"/>
        </w:rPr>
        <w:t>paskolinamos visos Priemon</w:t>
      </w:r>
      <w:r w:rsidR="00F15861" w:rsidRPr="00B86BF8">
        <w:rPr>
          <w:rFonts w:ascii="Times New Roman" w:hAnsi="Times New Roman"/>
          <w:sz w:val="24"/>
          <w:szCs w:val="24"/>
        </w:rPr>
        <w:t>ei</w:t>
      </w:r>
      <w:r w:rsidRPr="00B86BF8">
        <w:rPr>
          <w:rFonts w:ascii="Times New Roman" w:hAnsi="Times New Roman"/>
          <w:sz w:val="24"/>
          <w:szCs w:val="24"/>
        </w:rPr>
        <w:t xml:space="preserve"> </w:t>
      </w:r>
      <w:r w:rsidR="00B1254B" w:rsidRPr="00B86BF8">
        <w:rPr>
          <w:rFonts w:ascii="Times New Roman" w:hAnsi="Times New Roman"/>
          <w:sz w:val="24"/>
          <w:szCs w:val="24"/>
        </w:rPr>
        <w:t xml:space="preserve">„Alternatyva“ </w:t>
      </w:r>
      <w:r w:rsidR="00F15861" w:rsidRPr="00B86BF8">
        <w:rPr>
          <w:rFonts w:ascii="Times New Roman" w:hAnsi="Times New Roman"/>
          <w:sz w:val="24"/>
          <w:szCs w:val="24"/>
        </w:rPr>
        <w:t xml:space="preserve">skirtos </w:t>
      </w:r>
      <w:r w:rsidRPr="00B86BF8">
        <w:rPr>
          <w:rFonts w:ascii="Times New Roman" w:hAnsi="Times New Roman"/>
          <w:sz w:val="24"/>
          <w:szCs w:val="24"/>
        </w:rPr>
        <w:t>lėšos</w:t>
      </w:r>
      <w:r w:rsidR="00AA5AD3" w:rsidRPr="00B86BF8">
        <w:rPr>
          <w:rFonts w:ascii="Times New Roman" w:hAnsi="Times New Roman"/>
          <w:sz w:val="24"/>
          <w:szCs w:val="24"/>
        </w:rPr>
        <w:t>.</w:t>
      </w:r>
      <w:r w:rsidR="00B52574" w:rsidRPr="00B86BF8">
        <w:rPr>
          <w:rFonts w:ascii="Times New Roman" w:hAnsi="Times New Roman"/>
          <w:sz w:val="24"/>
          <w:szCs w:val="24"/>
        </w:rPr>
        <w:t xml:space="preserve"> </w:t>
      </w:r>
    </w:p>
    <w:p w14:paraId="09A7D609" w14:textId="11A63557" w:rsidR="0080642C" w:rsidRPr="00B86BF8" w:rsidRDefault="00B1254B" w:rsidP="0050014D">
      <w:pPr>
        <w:pStyle w:val="ListParagraph"/>
        <w:numPr>
          <w:ilvl w:val="1"/>
          <w:numId w:val="8"/>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B86BF8">
        <w:rPr>
          <w:rFonts w:ascii="Times New Roman" w:hAnsi="Times New Roman"/>
          <w:sz w:val="24"/>
          <w:szCs w:val="24"/>
        </w:rPr>
        <w:lastRenderedPageBreak/>
        <w:t xml:space="preserve"> </w:t>
      </w:r>
      <w:r w:rsidR="007330C4" w:rsidRPr="00B86BF8">
        <w:rPr>
          <w:rFonts w:ascii="Times New Roman" w:hAnsi="Times New Roman"/>
          <w:sz w:val="24"/>
          <w:szCs w:val="24"/>
        </w:rPr>
        <w:t xml:space="preserve">Informacija apie </w:t>
      </w:r>
      <w:r w:rsidR="0080642C" w:rsidRPr="00B86BF8">
        <w:rPr>
          <w:rFonts w:ascii="Times New Roman" w:hAnsi="Times New Roman"/>
          <w:sz w:val="24"/>
          <w:szCs w:val="24"/>
        </w:rPr>
        <w:t xml:space="preserve">Priemonei </w:t>
      </w:r>
      <w:r w:rsidR="00132D1E" w:rsidRPr="00B86BF8">
        <w:rPr>
          <w:rFonts w:ascii="Times New Roman" w:hAnsi="Times New Roman"/>
          <w:sz w:val="24"/>
          <w:szCs w:val="24"/>
        </w:rPr>
        <w:t xml:space="preserve">„Alternatyva“ </w:t>
      </w:r>
      <w:r w:rsidR="0080642C" w:rsidRPr="00B86BF8">
        <w:rPr>
          <w:rFonts w:ascii="Times New Roman" w:hAnsi="Times New Roman"/>
          <w:sz w:val="24"/>
          <w:szCs w:val="24"/>
        </w:rPr>
        <w:t>skirt</w:t>
      </w:r>
      <w:r w:rsidR="007330C4" w:rsidRPr="00B86BF8">
        <w:rPr>
          <w:rFonts w:ascii="Times New Roman" w:hAnsi="Times New Roman"/>
          <w:sz w:val="24"/>
          <w:szCs w:val="24"/>
        </w:rPr>
        <w:t>ą</w:t>
      </w:r>
      <w:r w:rsidR="0080642C" w:rsidRPr="00B86BF8">
        <w:rPr>
          <w:rFonts w:ascii="Times New Roman" w:hAnsi="Times New Roman"/>
          <w:sz w:val="24"/>
          <w:szCs w:val="24"/>
        </w:rPr>
        <w:t xml:space="preserve"> lėšų sum</w:t>
      </w:r>
      <w:r w:rsidR="00DC09DF" w:rsidRPr="00B86BF8">
        <w:rPr>
          <w:rFonts w:ascii="Times New Roman" w:hAnsi="Times New Roman"/>
          <w:sz w:val="24"/>
          <w:szCs w:val="24"/>
        </w:rPr>
        <w:t>ą</w:t>
      </w:r>
      <w:r w:rsidR="0080642C" w:rsidRPr="00B86BF8">
        <w:rPr>
          <w:rFonts w:ascii="Times New Roman" w:hAnsi="Times New Roman"/>
          <w:sz w:val="24"/>
          <w:szCs w:val="24"/>
        </w:rPr>
        <w:t xml:space="preserve"> nuolat atnaujinama ir skelbiama „Invegos“ interneto svetainėje </w:t>
      </w:r>
      <w:hyperlink r:id="rId13" w:history="1">
        <w:r w:rsidR="0080642C" w:rsidRPr="00B86BF8">
          <w:rPr>
            <w:rStyle w:val="Hyperlink"/>
            <w:rFonts w:ascii="Times New Roman" w:hAnsi="Times New Roman"/>
            <w:sz w:val="24"/>
            <w:szCs w:val="24"/>
          </w:rPr>
          <w:t>www.invega.lt</w:t>
        </w:r>
      </w:hyperlink>
      <w:r w:rsidR="0080642C" w:rsidRPr="00B86BF8">
        <w:rPr>
          <w:rFonts w:ascii="Times New Roman" w:hAnsi="Times New Roman"/>
          <w:sz w:val="24"/>
          <w:szCs w:val="24"/>
        </w:rPr>
        <w:t>.</w:t>
      </w:r>
    </w:p>
    <w:p w14:paraId="06CABEFC" w14:textId="77777777" w:rsidR="0080642C" w:rsidRPr="00B86BF8" w:rsidRDefault="00B1254B" w:rsidP="00A25D35">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 </w:t>
      </w:r>
      <w:r w:rsidR="0080642C" w:rsidRPr="00B86BF8">
        <w:rPr>
          <w:rFonts w:ascii="Times New Roman" w:hAnsi="Times New Roman"/>
          <w:sz w:val="24"/>
          <w:szCs w:val="24"/>
        </w:rPr>
        <w:t xml:space="preserve">Nustatytos formos prašymą (Aprašo 2 priedas) ir kitus dokumentus, siekiant įvertinti FT atitikimą Apraše nustatytiems reikalavimams, FT „Invegai“ teikia elektroniniu paštu </w:t>
      </w:r>
      <w:bookmarkStart w:id="2" w:name="_Hlk36897286"/>
      <w:r w:rsidR="0080642C" w:rsidRPr="00B86BF8">
        <w:rPr>
          <w:rFonts w:ascii="Times New Roman" w:hAnsi="Times New Roman"/>
          <w:sz w:val="24"/>
          <w:szCs w:val="24"/>
        </w:rPr>
        <w:fldChar w:fldCharType="begin"/>
      </w:r>
      <w:r w:rsidR="0080642C" w:rsidRPr="00B86BF8">
        <w:rPr>
          <w:rFonts w:ascii="Times New Roman" w:hAnsi="Times New Roman"/>
          <w:sz w:val="24"/>
          <w:szCs w:val="24"/>
        </w:rPr>
        <w:instrText xml:space="preserve"> HYPERLINK "mailto:alternatyva@invega.lt" </w:instrText>
      </w:r>
      <w:r w:rsidR="0080642C" w:rsidRPr="00B86BF8">
        <w:rPr>
          <w:rFonts w:ascii="Times New Roman" w:hAnsi="Times New Roman"/>
          <w:sz w:val="24"/>
          <w:szCs w:val="24"/>
        </w:rPr>
        <w:fldChar w:fldCharType="separate"/>
      </w:r>
      <w:r w:rsidR="0080642C" w:rsidRPr="00B86BF8">
        <w:rPr>
          <w:rStyle w:val="Hyperlink"/>
          <w:rFonts w:ascii="Times New Roman" w:hAnsi="Times New Roman"/>
          <w:sz w:val="24"/>
          <w:szCs w:val="24"/>
        </w:rPr>
        <w:t>alternatyva@invega.lt</w:t>
      </w:r>
      <w:bookmarkEnd w:id="2"/>
      <w:r w:rsidR="0080642C" w:rsidRPr="00B86BF8">
        <w:rPr>
          <w:rFonts w:ascii="Times New Roman" w:hAnsi="Times New Roman"/>
          <w:sz w:val="24"/>
          <w:szCs w:val="24"/>
        </w:rPr>
        <w:fldChar w:fldCharType="end"/>
      </w:r>
      <w:r w:rsidR="0080642C" w:rsidRPr="00B86BF8">
        <w:rPr>
          <w:rFonts w:ascii="Times New Roman" w:hAnsi="Times New Roman"/>
          <w:sz w:val="24"/>
          <w:szCs w:val="24"/>
        </w:rPr>
        <w:t xml:space="preserve">. </w:t>
      </w:r>
      <w:r w:rsidR="005E7787" w:rsidRPr="00B86BF8">
        <w:rPr>
          <w:rFonts w:ascii="Times New Roman" w:hAnsi="Times New Roman"/>
          <w:sz w:val="24"/>
          <w:szCs w:val="24"/>
        </w:rPr>
        <w:t>FT, su kuriais Invega yra sudariusi Sutartį</w:t>
      </w:r>
      <w:r w:rsidR="007330C4" w:rsidRPr="00B86BF8">
        <w:rPr>
          <w:rFonts w:ascii="Times New Roman" w:hAnsi="Times New Roman"/>
          <w:sz w:val="24"/>
          <w:szCs w:val="24"/>
        </w:rPr>
        <w:t>,</w:t>
      </w:r>
      <w:r w:rsidR="005E7787" w:rsidRPr="00B86BF8">
        <w:rPr>
          <w:rFonts w:ascii="Times New Roman" w:hAnsi="Times New Roman"/>
          <w:sz w:val="24"/>
          <w:szCs w:val="24"/>
        </w:rPr>
        <w:t xml:space="preserve"> teikia tik prašymą (Aprašo </w:t>
      </w:r>
      <w:r w:rsidR="00EC0EDC" w:rsidRPr="00B86BF8">
        <w:rPr>
          <w:rFonts w:ascii="Times New Roman" w:hAnsi="Times New Roman"/>
          <w:sz w:val="24"/>
          <w:szCs w:val="24"/>
        </w:rPr>
        <w:t>2 </w:t>
      </w:r>
      <w:r w:rsidR="005E7787" w:rsidRPr="00B86BF8">
        <w:rPr>
          <w:rFonts w:ascii="Times New Roman" w:hAnsi="Times New Roman"/>
          <w:sz w:val="24"/>
          <w:szCs w:val="24"/>
        </w:rPr>
        <w:t xml:space="preserve">priedas) dėl </w:t>
      </w:r>
      <w:r w:rsidR="00AB7C4B" w:rsidRPr="00B86BF8">
        <w:rPr>
          <w:rFonts w:ascii="Times New Roman" w:hAnsi="Times New Roman"/>
          <w:sz w:val="24"/>
          <w:szCs w:val="24"/>
        </w:rPr>
        <w:t>P</w:t>
      </w:r>
      <w:r w:rsidR="005E7787" w:rsidRPr="00B86BF8">
        <w:rPr>
          <w:rFonts w:ascii="Times New Roman" w:hAnsi="Times New Roman"/>
          <w:sz w:val="24"/>
          <w:szCs w:val="24"/>
        </w:rPr>
        <w:t xml:space="preserve">riemonės „Alternatyva“ </w:t>
      </w:r>
      <w:r w:rsidR="00AB7C4B" w:rsidRPr="00B86BF8">
        <w:rPr>
          <w:rFonts w:ascii="Times New Roman" w:hAnsi="Times New Roman"/>
          <w:i/>
          <w:iCs/>
          <w:sz w:val="24"/>
          <w:szCs w:val="24"/>
        </w:rPr>
        <w:t>de minimis</w:t>
      </w:r>
      <w:r w:rsidR="00AB7C4B" w:rsidRPr="00B86BF8">
        <w:rPr>
          <w:rFonts w:ascii="Times New Roman" w:hAnsi="Times New Roman"/>
          <w:sz w:val="24"/>
          <w:szCs w:val="24"/>
        </w:rPr>
        <w:t xml:space="preserve"> pagalba </w:t>
      </w:r>
      <w:r w:rsidR="005E7787" w:rsidRPr="00B86BF8">
        <w:rPr>
          <w:rFonts w:ascii="Times New Roman" w:hAnsi="Times New Roman"/>
          <w:sz w:val="24"/>
          <w:szCs w:val="24"/>
        </w:rPr>
        <w:t xml:space="preserve">įgyvendinimo.  </w:t>
      </w:r>
    </w:p>
    <w:p w14:paraId="2B0D875D" w14:textId="77777777" w:rsidR="0080642C" w:rsidRPr="00B86BF8" w:rsidRDefault="0080642C" w:rsidP="00A25D35">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Prašymas privalo būti pasirašytas saugiu kvalifikuotu elektroniniu parašu, atitinkančiu 2014 m. liepos 23 d. Europos Parlamento ir Tarybos reglamento (ES) Nr. 910/2014 dėl elektroninės atpažinties ir elektroninių operacijų patikimumo užtikrinimo paslaugų vidaus rinkoje nustatytus reikalavimus. Prašymas, priedai ir kartu su jais pateikiama informacija (įskaitant bet kokius kitus dokumentus, kuriuos FT mano esant reikalingus arba aktualius pateikti) privalo būti tiksli ir aiški, kad „Invega“ galėtų atlikti išsamų, informacija pagrįstą FT atitikimo nustatytiems tinkamumo reikalavimams vertinimą. „Invega“ gali paprašyti pateikti papildomą informaciją ir dokumentus, kai FT pateiktų duomenų nepakanka pagrįsti FT atitikimą Apraše nustatytiems tinkamumo reikalavimams.</w:t>
      </w:r>
    </w:p>
    <w:p w14:paraId="410ECF01" w14:textId="77777777" w:rsidR="0080642C" w:rsidRPr="00B86BF8" w:rsidRDefault="0080642C" w:rsidP="00A25D35">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Popierinėje formoje arba ne „Invegos“ nurodytomis elektroninėmis priemonėmis pateikti prašymai nėra vertinami. </w:t>
      </w:r>
    </w:p>
    <w:p w14:paraId="7028397E" w14:textId="77777777" w:rsidR="0080642C" w:rsidRPr="00B86BF8" w:rsidRDefault="0080642C" w:rsidP="00A25D35">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FT prašymas ir kit</w:t>
      </w:r>
      <w:r w:rsidR="007330C4" w:rsidRPr="00B86BF8">
        <w:rPr>
          <w:rFonts w:ascii="Times New Roman" w:hAnsi="Times New Roman"/>
          <w:sz w:val="24"/>
          <w:szCs w:val="24"/>
        </w:rPr>
        <w:t>i</w:t>
      </w:r>
      <w:r w:rsidRPr="00B86BF8">
        <w:rPr>
          <w:rFonts w:ascii="Times New Roman" w:hAnsi="Times New Roman"/>
          <w:sz w:val="24"/>
          <w:szCs w:val="24"/>
        </w:rPr>
        <w:t xml:space="preserve"> </w:t>
      </w:r>
      <w:r w:rsidR="007330C4" w:rsidRPr="00B86BF8">
        <w:rPr>
          <w:rFonts w:ascii="Times New Roman" w:hAnsi="Times New Roman"/>
          <w:sz w:val="24"/>
          <w:szCs w:val="24"/>
        </w:rPr>
        <w:t>dokumentai</w:t>
      </w:r>
      <w:r w:rsidRPr="00B86BF8">
        <w:rPr>
          <w:rFonts w:ascii="Times New Roman" w:hAnsi="Times New Roman"/>
          <w:sz w:val="24"/>
          <w:szCs w:val="24"/>
        </w:rPr>
        <w:t xml:space="preserve"> pateikiam</w:t>
      </w:r>
      <w:r w:rsidR="007330C4" w:rsidRPr="00B86BF8">
        <w:rPr>
          <w:rFonts w:ascii="Times New Roman" w:hAnsi="Times New Roman"/>
          <w:sz w:val="24"/>
          <w:szCs w:val="24"/>
        </w:rPr>
        <w:t>i</w:t>
      </w:r>
      <w:r w:rsidRPr="00B86BF8">
        <w:rPr>
          <w:rFonts w:ascii="Times New Roman" w:hAnsi="Times New Roman"/>
          <w:sz w:val="24"/>
          <w:szCs w:val="24"/>
        </w:rPr>
        <w:t xml:space="preserve"> lietuvių kalba. Jei atitinkami dokumentai yra išduoti kita kalba, turi būti pateiktas FT ar jo įgalioto asmens parašu patvirtintas vertimas į lietuvių kalbą. Vertimas, patvirtintas FT ar jo įgalioto asmens parašu, bus laikomas tinkamu.</w:t>
      </w:r>
    </w:p>
    <w:p w14:paraId="523298B3" w14:textId="77777777" w:rsidR="0080642C" w:rsidRPr="00B86BF8" w:rsidRDefault="0080642C" w:rsidP="00A25D35">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Atitikimui Apraše nurodytiems </w:t>
      </w:r>
      <w:r w:rsidR="002A0940" w:rsidRPr="00B86BF8">
        <w:rPr>
          <w:rFonts w:ascii="Times New Roman" w:hAnsi="Times New Roman"/>
          <w:sz w:val="24"/>
          <w:szCs w:val="24"/>
        </w:rPr>
        <w:t xml:space="preserve">FT keliamiems </w:t>
      </w:r>
      <w:r w:rsidRPr="00B86BF8">
        <w:rPr>
          <w:rFonts w:ascii="Times New Roman" w:hAnsi="Times New Roman"/>
          <w:sz w:val="24"/>
          <w:szCs w:val="24"/>
        </w:rPr>
        <w:t xml:space="preserve">reikalavimams pagrįsti būtina pateikti pagrindžiančius dokumentus ar informaciją, jei atitinkama informacija nėra viešai skelbiama ar prieinama (pvz., finansų įstaigos ar Lietuvos banko internetinėje svetainėje). </w:t>
      </w:r>
    </w:p>
    <w:p w14:paraId="7A18E3AA" w14:textId="075C3BA4" w:rsidR="00247CED" w:rsidRPr="00B86BF8" w:rsidRDefault="008B6DF7" w:rsidP="00247CED">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 xml:space="preserve">Vienas FT gali pateikti tik vieną prašymą dėl </w:t>
      </w:r>
      <w:r w:rsidR="00F67E0A" w:rsidRPr="00B86BF8">
        <w:rPr>
          <w:rFonts w:ascii="Times New Roman" w:hAnsi="Times New Roman"/>
          <w:sz w:val="24"/>
          <w:szCs w:val="24"/>
        </w:rPr>
        <w:t>priemonės „Alternatyva“ įgyvendinimo</w:t>
      </w:r>
      <w:r w:rsidR="00A53225" w:rsidRPr="00B86BF8">
        <w:rPr>
          <w:rFonts w:ascii="Times New Roman" w:hAnsi="Times New Roman"/>
          <w:sz w:val="24"/>
          <w:szCs w:val="24"/>
        </w:rPr>
        <w:t>, išskyrus</w:t>
      </w:r>
      <w:r w:rsidR="00F744C7" w:rsidRPr="00B86BF8">
        <w:rPr>
          <w:rFonts w:ascii="Times New Roman" w:hAnsi="Times New Roman"/>
          <w:sz w:val="24"/>
          <w:szCs w:val="24"/>
        </w:rPr>
        <w:t xml:space="preserve"> </w:t>
      </w:r>
      <w:r w:rsidR="00817ACA" w:rsidRPr="00B86BF8">
        <w:rPr>
          <w:rFonts w:ascii="Times New Roman" w:hAnsi="Times New Roman"/>
          <w:sz w:val="24"/>
          <w:szCs w:val="24"/>
        </w:rPr>
        <w:t>Aprašo 4.</w:t>
      </w:r>
      <w:r w:rsidR="005760CB" w:rsidRPr="00B86BF8">
        <w:rPr>
          <w:rFonts w:ascii="Times New Roman" w:hAnsi="Times New Roman"/>
          <w:sz w:val="24"/>
          <w:szCs w:val="24"/>
        </w:rPr>
        <w:t>5</w:t>
      </w:r>
      <w:r w:rsidR="00817ACA" w:rsidRPr="00B86BF8">
        <w:rPr>
          <w:rFonts w:ascii="Times New Roman" w:hAnsi="Times New Roman"/>
          <w:sz w:val="24"/>
          <w:szCs w:val="24"/>
        </w:rPr>
        <w:t xml:space="preserve"> </w:t>
      </w:r>
      <w:r w:rsidR="0046055B" w:rsidRPr="00B86BF8">
        <w:rPr>
          <w:rFonts w:ascii="Times New Roman" w:hAnsi="Times New Roman"/>
          <w:sz w:val="24"/>
          <w:szCs w:val="24"/>
        </w:rPr>
        <w:t>pa</w:t>
      </w:r>
      <w:r w:rsidR="00817ACA" w:rsidRPr="00B86BF8">
        <w:rPr>
          <w:rFonts w:ascii="Times New Roman" w:hAnsi="Times New Roman"/>
          <w:sz w:val="24"/>
          <w:szCs w:val="24"/>
        </w:rPr>
        <w:t>punkt</w:t>
      </w:r>
      <w:r w:rsidR="0046055B" w:rsidRPr="00B86BF8">
        <w:rPr>
          <w:rFonts w:ascii="Times New Roman" w:hAnsi="Times New Roman"/>
          <w:sz w:val="24"/>
          <w:szCs w:val="24"/>
        </w:rPr>
        <w:t>į</w:t>
      </w:r>
      <w:r w:rsidR="00671336" w:rsidRPr="00B86BF8">
        <w:rPr>
          <w:rFonts w:ascii="Times New Roman" w:hAnsi="Times New Roman"/>
          <w:sz w:val="24"/>
          <w:szCs w:val="24"/>
        </w:rPr>
        <w:t>.</w:t>
      </w:r>
      <w:r w:rsidRPr="00B86BF8">
        <w:rPr>
          <w:rFonts w:ascii="Times New Roman" w:hAnsi="Times New Roman"/>
          <w:sz w:val="24"/>
          <w:szCs w:val="24"/>
        </w:rPr>
        <w:t xml:space="preserve"> </w:t>
      </w:r>
    </w:p>
    <w:p w14:paraId="27E2EC64" w14:textId="7868AF28" w:rsidR="0080642C" w:rsidRPr="00B86BF8" w:rsidRDefault="0080642C" w:rsidP="00A25D35">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FT p</w:t>
      </w:r>
      <w:r w:rsidR="00F83AED" w:rsidRPr="00B86BF8">
        <w:rPr>
          <w:rFonts w:ascii="Times New Roman" w:hAnsi="Times New Roman"/>
          <w:sz w:val="24"/>
          <w:szCs w:val="24"/>
        </w:rPr>
        <w:t>rašyme</w:t>
      </w:r>
      <w:r w:rsidRPr="00B86BF8">
        <w:rPr>
          <w:rFonts w:ascii="Times New Roman" w:hAnsi="Times New Roman"/>
          <w:sz w:val="24"/>
          <w:szCs w:val="24"/>
        </w:rPr>
        <w:t xml:space="preserve"> turi nurodyti, kokia prašyme pateikta informacija yra konfidenciali. „Invega“, „Invegos“ vertinimo komisija (toliau –Komisija), jos nariai ar ekspertai ir kiti asmenys negali atskleisti FT pateiktos informacijos, kurią FT nurodė kaip konfidencialią, išskyrus kai tokia informacija laikoma nekonfidencialia pagal Lietuvos Respublikos teisės aktus. </w:t>
      </w:r>
    </w:p>
    <w:p w14:paraId="47938714" w14:textId="77777777" w:rsidR="0080642C" w:rsidRPr="00B86BF8" w:rsidRDefault="0080642C" w:rsidP="00A25D35">
      <w:pPr>
        <w:pStyle w:val="ListParagraph"/>
        <w:numPr>
          <w:ilvl w:val="1"/>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B86BF8">
        <w:rPr>
          <w:rFonts w:ascii="Times New Roman" w:hAnsi="Times New Roman"/>
          <w:sz w:val="24"/>
          <w:szCs w:val="24"/>
        </w:rPr>
        <w:t>Visus dokumentus, tvarkas ir metodikas, kurių turėjimą ir atitikimą teisės aktų reikalavimams prašoma patvirtinti teikiant prašymą, FT įsipareigoja pateikti „Invegai“ ar audito institucijoms Sutartyje numatyta tvarka bet kuriuo metu.</w:t>
      </w:r>
    </w:p>
    <w:p w14:paraId="01B1E070" w14:textId="77777777" w:rsidR="0080642C" w:rsidRPr="00B86BF8" w:rsidRDefault="0080642C" w:rsidP="0080642C">
      <w:pPr>
        <w:tabs>
          <w:tab w:val="left" w:pos="851"/>
        </w:tabs>
        <w:autoSpaceDE w:val="0"/>
        <w:autoSpaceDN w:val="0"/>
        <w:adjustRightInd w:val="0"/>
        <w:spacing w:after="0" w:line="240" w:lineRule="auto"/>
        <w:jc w:val="both"/>
        <w:rPr>
          <w:rFonts w:ascii="Times New Roman" w:hAnsi="Times New Roman"/>
          <w:sz w:val="24"/>
          <w:szCs w:val="24"/>
        </w:rPr>
      </w:pPr>
    </w:p>
    <w:p w14:paraId="1FFBD7D2" w14:textId="77777777" w:rsidR="00773CA5" w:rsidRPr="00B86BF8" w:rsidRDefault="00773CA5" w:rsidP="003D395D">
      <w:pPr>
        <w:autoSpaceDE w:val="0"/>
        <w:autoSpaceDN w:val="0"/>
        <w:adjustRightInd w:val="0"/>
        <w:spacing w:after="0" w:line="240" w:lineRule="auto"/>
        <w:ind w:firstLine="360"/>
        <w:jc w:val="both"/>
        <w:rPr>
          <w:rFonts w:ascii="Times New Roman" w:hAnsi="Times New Roman"/>
          <w:sz w:val="24"/>
          <w:szCs w:val="24"/>
        </w:rPr>
      </w:pPr>
    </w:p>
    <w:p w14:paraId="1B93506F" w14:textId="77777777" w:rsidR="0081125E" w:rsidRPr="00B86BF8" w:rsidRDefault="00773CA5"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B86BF8">
        <w:rPr>
          <w:rFonts w:ascii="Times New Roman" w:hAnsi="Times New Roman"/>
          <w:b/>
          <w:bCs/>
          <w:sz w:val="24"/>
          <w:szCs w:val="24"/>
        </w:rPr>
        <w:t>PRAŠYMŲ VERTINIMAS</w:t>
      </w:r>
    </w:p>
    <w:p w14:paraId="7D818531" w14:textId="77777777" w:rsidR="00C03AB7" w:rsidRPr="00B86BF8"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6CDFA4F4" w14:textId="77777777" w:rsidR="0013426E" w:rsidRPr="00B86BF8" w:rsidRDefault="00773CA5"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B86BF8">
        <w:rPr>
          <w:rFonts w:ascii="Times New Roman" w:hAnsi="Times New Roman"/>
          <w:sz w:val="24"/>
          <w:szCs w:val="24"/>
        </w:rPr>
        <w:t xml:space="preserve">FT </w:t>
      </w:r>
      <w:r w:rsidR="0081125E" w:rsidRPr="00B86BF8">
        <w:rPr>
          <w:rFonts w:ascii="Times New Roman" w:hAnsi="Times New Roman"/>
          <w:sz w:val="24"/>
          <w:szCs w:val="24"/>
        </w:rPr>
        <w:t xml:space="preserve">prašymai </w:t>
      </w:r>
      <w:r w:rsidRPr="00B86BF8">
        <w:rPr>
          <w:rFonts w:ascii="Times New Roman" w:hAnsi="Times New Roman"/>
          <w:sz w:val="24"/>
          <w:szCs w:val="24"/>
        </w:rPr>
        <w:t xml:space="preserve">vertinami vadovaujantis lygiateisiškumo, nediskriminavimo, skaidrumo, abipusio pripažinimo ir proporcingumo principais bei laikantis konfidencialumo ir nešališkumo reikalavimų. </w:t>
      </w:r>
      <w:r w:rsidR="0013426E" w:rsidRPr="00B86BF8">
        <w:rPr>
          <w:rFonts w:ascii="Times New Roman" w:hAnsi="Times New Roman"/>
          <w:sz w:val="24"/>
          <w:szCs w:val="24"/>
        </w:rPr>
        <w:t xml:space="preserve">Priimant sprendimus dėl </w:t>
      </w:r>
      <w:r w:rsidR="001D6F62" w:rsidRPr="00B86BF8">
        <w:rPr>
          <w:rFonts w:ascii="Times New Roman" w:hAnsi="Times New Roman"/>
          <w:sz w:val="24"/>
          <w:szCs w:val="24"/>
        </w:rPr>
        <w:t>Aprašo</w:t>
      </w:r>
      <w:r w:rsidR="0013426E" w:rsidRPr="00B86BF8">
        <w:rPr>
          <w:rFonts w:ascii="Times New Roman" w:hAnsi="Times New Roman"/>
          <w:sz w:val="24"/>
          <w:szCs w:val="24"/>
        </w:rPr>
        <w:t xml:space="preserve"> sąlygų ir jas aiškinant vadovaujamasi racionalumo principu.</w:t>
      </w:r>
    </w:p>
    <w:p w14:paraId="5AC82418" w14:textId="4E6D54BF" w:rsidR="00650E83" w:rsidRPr="00B86BF8" w:rsidRDefault="00650E8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B86BF8">
        <w:rPr>
          <w:rFonts w:ascii="Times New Roman" w:hAnsi="Times New Roman"/>
          <w:sz w:val="24"/>
          <w:szCs w:val="24"/>
        </w:rPr>
        <w:t>Prašymai</w:t>
      </w:r>
      <w:r w:rsidR="00F87527" w:rsidRPr="00B86BF8">
        <w:rPr>
          <w:rFonts w:ascii="Times New Roman" w:hAnsi="Times New Roman"/>
          <w:sz w:val="24"/>
          <w:szCs w:val="24"/>
        </w:rPr>
        <w:t>,</w:t>
      </w:r>
      <w:r w:rsidRPr="00B86BF8">
        <w:rPr>
          <w:rFonts w:ascii="Times New Roman" w:hAnsi="Times New Roman"/>
          <w:sz w:val="24"/>
          <w:szCs w:val="24"/>
        </w:rPr>
        <w:t xml:space="preserve"> </w:t>
      </w:r>
      <w:r w:rsidR="00F87527" w:rsidRPr="00B86BF8">
        <w:rPr>
          <w:rFonts w:ascii="Times New Roman" w:hAnsi="Times New Roman"/>
          <w:sz w:val="24"/>
          <w:szCs w:val="24"/>
        </w:rPr>
        <w:t xml:space="preserve">su </w:t>
      </w:r>
      <w:r w:rsidR="00DC09DF" w:rsidRPr="00B86BF8">
        <w:rPr>
          <w:rFonts w:ascii="Times New Roman" w:hAnsi="Times New Roman"/>
          <w:sz w:val="24"/>
          <w:szCs w:val="24"/>
        </w:rPr>
        <w:t>vis</w:t>
      </w:r>
      <w:r w:rsidR="00F87527" w:rsidRPr="00B86BF8">
        <w:rPr>
          <w:rFonts w:ascii="Times New Roman" w:hAnsi="Times New Roman"/>
          <w:sz w:val="24"/>
          <w:szCs w:val="24"/>
        </w:rPr>
        <w:t>ais</w:t>
      </w:r>
      <w:r w:rsidR="00DC09DF" w:rsidRPr="00B86BF8">
        <w:rPr>
          <w:rFonts w:ascii="Times New Roman" w:hAnsi="Times New Roman"/>
          <w:sz w:val="24"/>
          <w:szCs w:val="24"/>
        </w:rPr>
        <w:t xml:space="preserve"> vertinimui reikaling</w:t>
      </w:r>
      <w:r w:rsidR="00F87527" w:rsidRPr="00B86BF8">
        <w:rPr>
          <w:rFonts w:ascii="Times New Roman" w:hAnsi="Times New Roman"/>
          <w:sz w:val="24"/>
          <w:szCs w:val="24"/>
        </w:rPr>
        <w:t>ais</w:t>
      </w:r>
      <w:r w:rsidR="00DC09DF" w:rsidRPr="00B86BF8">
        <w:rPr>
          <w:rFonts w:ascii="Times New Roman" w:hAnsi="Times New Roman"/>
          <w:sz w:val="24"/>
          <w:szCs w:val="24"/>
        </w:rPr>
        <w:t xml:space="preserve"> tinkamai užpildyt</w:t>
      </w:r>
      <w:r w:rsidR="00F87527" w:rsidRPr="00B86BF8">
        <w:rPr>
          <w:rFonts w:ascii="Times New Roman" w:hAnsi="Times New Roman"/>
          <w:sz w:val="24"/>
          <w:szCs w:val="24"/>
        </w:rPr>
        <w:t>ais</w:t>
      </w:r>
      <w:r w:rsidR="00DC09DF" w:rsidRPr="00B86BF8">
        <w:rPr>
          <w:rFonts w:ascii="Times New Roman" w:hAnsi="Times New Roman"/>
          <w:sz w:val="24"/>
          <w:szCs w:val="24"/>
        </w:rPr>
        <w:t xml:space="preserve"> dokument</w:t>
      </w:r>
      <w:r w:rsidR="00F87527" w:rsidRPr="00B86BF8">
        <w:rPr>
          <w:rFonts w:ascii="Times New Roman" w:hAnsi="Times New Roman"/>
          <w:sz w:val="24"/>
          <w:szCs w:val="24"/>
        </w:rPr>
        <w:t xml:space="preserve">ais, </w:t>
      </w:r>
      <w:r w:rsidRPr="00B86BF8">
        <w:rPr>
          <w:rFonts w:ascii="Times New Roman" w:hAnsi="Times New Roman"/>
          <w:sz w:val="24"/>
          <w:szCs w:val="24"/>
        </w:rPr>
        <w:t xml:space="preserve">vertinami </w:t>
      </w:r>
      <w:r w:rsidR="00105EAB" w:rsidRPr="00B86BF8">
        <w:rPr>
          <w:rFonts w:ascii="Times New Roman" w:hAnsi="Times New Roman"/>
          <w:sz w:val="24"/>
          <w:szCs w:val="24"/>
        </w:rPr>
        <w:t>eiliškumo</w:t>
      </w:r>
      <w:r w:rsidR="00571BCF" w:rsidRPr="00B86BF8">
        <w:rPr>
          <w:rFonts w:ascii="Times New Roman" w:hAnsi="Times New Roman"/>
          <w:sz w:val="24"/>
          <w:szCs w:val="24"/>
        </w:rPr>
        <w:t xml:space="preserve"> tvarka </w:t>
      </w:r>
      <w:r w:rsidRPr="00B86BF8">
        <w:rPr>
          <w:rFonts w:ascii="Times New Roman" w:hAnsi="Times New Roman"/>
          <w:sz w:val="24"/>
          <w:szCs w:val="24"/>
        </w:rPr>
        <w:t xml:space="preserve">pagal jų gavimo </w:t>
      </w:r>
      <w:r w:rsidR="002E5367" w:rsidRPr="00B86BF8">
        <w:rPr>
          <w:rFonts w:ascii="Times New Roman" w:hAnsi="Times New Roman"/>
          <w:sz w:val="24"/>
          <w:szCs w:val="24"/>
        </w:rPr>
        <w:t xml:space="preserve">„Invegoje“ </w:t>
      </w:r>
      <w:r w:rsidRPr="00B86BF8">
        <w:rPr>
          <w:rFonts w:ascii="Times New Roman" w:hAnsi="Times New Roman"/>
          <w:sz w:val="24"/>
          <w:szCs w:val="24"/>
        </w:rPr>
        <w:t>datą ir laiką</w:t>
      </w:r>
      <w:r w:rsidR="00571BCF" w:rsidRPr="00B86BF8">
        <w:rPr>
          <w:rFonts w:ascii="Times New Roman" w:hAnsi="Times New Roman"/>
          <w:sz w:val="24"/>
          <w:szCs w:val="24"/>
        </w:rPr>
        <w:t>.</w:t>
      </w:r>
    </w:p>
    <w:p w14:paraId="4B1D8582" w14:textId="77777777" w:rsidR="00591742" w:rsidRPr="00B86BF8" w:rsidRDefault="007A4114" w:rsidP="00591742">
      <w:pPr>
        <w:pStyle w:val="ListParagraph"/>
        <w:numPr>
          <w:ilvl w:val="1"/>
          <w:numId w:val="4"/>
        </w:numPr>
        <w:tabs>
          <w:tab w:val="left" w:pos="851"/>
        </w:tabs>
        <w:autoSpaceDE w:val="0"/>
        <w:autoSpaceDN w:val="0"/>
        <w:adjustRightInd w:val="0"/>
        <w:spacing w:after="0" w:line="240" w:lineRule="auto"/>
        <w:ind w:left="-142" w:firstLine="502"/>
        <w:jc w:val="both"/>
        <w:rPr>
          <w:rFonts w:ascii="Times New Roman" w:hAnsi="Times New Roman"/>
          <w:sz w:val="24"/>
          <w:szCs w:val="24"/>
        </w:rPr>
      </w:pPr>
      <w:r w:rsidRPr="00B86BF8">
        <w:rPr>
          <w:rFonts w:ascii="Times New Roman" w:hAnsi="Times New Roman"/>
          <w:sz w:val="24"/>
          <w:szCs w:val="24"/>
        </w:rPr>
        <w:t>Pra</w:t>
      </w:r>
      <w:r w:rsidR="004F4430" w:rsidRPr="00B86BF8">
        <w:rPr>
          <w:rFonts w:ascii="Times New Roman" w:hAnsi="Times New Roman"/>
          <w:sz w:val="24"/>
          <w:szCs w:val="24"/>
        </w:rPr>
        <w:t xml:space="preserve">šymas turi būti įvertintas per </w:t>
      </w:r>
      <w:r w:rsidR="00B1254B" w:rsidRPr="00B86BF8">
        <w:rPr>
          <w:rFonts w:ascii="Times New Roman" w:hAnsi="Times New Roman"/>
          <w:sz w:val="24"/>
          <w:szCs w:val="24"/>
        </w:rPr>
        <w:t>5</w:t>
      </w:r>
      <w:r w:rsidR="004F4430" w:rsidRPr="00B86BF8">
        <w:rPr>
          <w:rFonts w:ascii="Times New Roman" w:hAnsi="Times New Roman"/>
          <w:sz w:val="24"/>
          <w:szCs w:val="24"/>
        </w:rPr>
        <w:t xml:space="preserve"> darbo dien</w:t>
      </w:r>
      <w:r w:rsidR="00676ED6" w:rsidRPr="00B86BF8">
        <w:rPr>
          <w:rFonts w:ascii="Times New Roman" w:hAnsi="Times New Roman"/>
          <w:sz w:val="24"/>
          <w:szCs w:val="24"/>
        </w:rPr>
        <w:t>as</w:t>
      </w:r>
      <w:r w:rsidR="004F4430" w:rsidRPr="00B86BF8">
        <w:rPr>
          <w:rFonts w:ascii="Times New Roman" w:hAnsi="Times New Roman"/>
          <w:sz w:val="24"/>
          <w:szCs w:val="24"/>
        </w:rPr>
        <w:t xml:space="preserve"> </w:t>
      </w:r>
      <w:r w:rsidR="001B7D40" w:rsidRPr="00B86BF8">
        <w:rPr>
          <w:rFonts w:ascii="Times New Roman" w:hAnsi="Times New Roman"/>
          <w:sz w:val="24"/>
          <w:szCs w:val="24"/>
        </w:rPr>
        <w:t xml:space="preserve">nuo prašymo ir visų vertinimui reikalingų tinkamai užpildytų dokumentų gavimo </w:t>
      </w:r>
      <w:bookmarkStart w:id="3" w:name="_Hlk36239824"/>
      <w:r w:rsidR="003C4866" w:rsidRPr="00B86BF8">
        <w:rPr>
          <w:rFonts w:ascii="Times New Roman" w:hAnsi="Times New Roman"/>
          <w:sz w:val="24"/>
          <w:szCs w:val="24"/>
        </w:rPr>
        <w:t>„</w:t>
      </w:r>
      <w:bookmarkEnd w:id="3"/>
      <w:r w:rsidR="003C4866" w:rsidRPr="00B86BF8">
        <w:rPr>
          <w:rFonts w:ascii="Times New Roman" w:hAnsi="Times New Roman"/>
          <w:sz w:val="24"/>
          <w:szCs w:val="24"/>
        </w:rPr>
        <w:t xml:space="preserve">Invegoje“ </w:t>
      </w:r>
      <w:r w:rsidR="001B7D40" w:rsidRPr="00B86BF8">
        <w:rPr>
          <w:rFonts w:ascii="Times New Roman" w:hAnsi="Times New Roman"/>
          <w:sz w:val="24"/>
          <w:szCs w:val="24"/>
        </w:rPr>
        <w:t>dienos</w:t>
      </w:r>
      <w:r w:rsidR="004F4430" w:rsidRPr="00B86BF8">
        <w:rPr>
          <w:rFonts w:ascii="Times New Roman" w:hAnsi="Times New Roman"/>
          <w:sz w:val="24"/>
          <w:szCs w:val="24"/>
        </w:rPr>
        <w:t>.</w:t>
      </w:r>
    </w:p>
    <w:p w14:paraId="4697AF6E" w14:textId="107527E0" w:rsidR="005760CB" w:rsidRPr="00B86BF8" w:rsidRDefault="00D57E23" w:rsidP="00591742">
      <w:pPr>
        <w:pStyle w:val="ListParagraph"/>
        <w:numPr>
          <w:ilvl w:val="1"/>
          <w:numId w:val="4"/>
        </w:numPr>
        <w:tabs>
          <w:tab w:val="left" w:pos="851"/>
        </w:tabs>
        <w:autoSpaceDE w:val="0"/>
        <w:autoSpaceDN w:val="0"/>
        <w:adjustRightInd w:val="0"/>
        <w:spacing w:after="0" w:line="240" w:lineRule="auto"/>
        <w:ind w:left="-142" w:firstLine="502"/>
        <w:jc w:val="both"/>
        <w:rPr>
          <w:rFonts w:ascii="Times New Roman" w:hAnsi="Times New Roman"/>
          <w:sz w:val="24"/>
          <w:szCs w:val="24"/>
        </w:rPr>
      </w:pPr>
      <w:r w:rsidRPr="00B86BF8">
        <w:rPr>
          <w:rFonts w:ascii="Times New Roman" w:hAnsi="Times New Roman"/>
          <w:sz w:val="24"/>
          <w:szCs w:val="24"/>
        </w:rPr>
        <w:t>Tai</w:t>
      </w:r>
      <w:r w:rsidR="00960949" w:rsidRPr="00B86BF8">
        <w:rPr>
          <w:rFonts w:ascii="Times New Roman" w:hAnsi="Times New Roman"/>
          <w:sz w:val="24"/>
          <w:szCs w:val="24"/>
        </w:rPr>
        <w:t>s</w:t>
      </w:r>
      <w:r w:rsidRPr="00B86BF8">
        <w:rPr>
          <w:rFonts w:ascii="Times New Roman" w:hAnsi="Times New Roman"/>
          <w:sz w:val="24"/>
          <w:szCs w:val="24"/>
        </w:rPr>
        <w:t xml:space="preserve"> atvejais, kai FT jau yra sudaręs </w:t>
      </w:r>
      <w:r w:rsidR="00F87527" w:rsidRPr="00B86BF8">
        <w:rPr>
          <w:rFonts w:ascii="Times New Roman" w:hAnsi="Times New Roman"/>
          <w:sz w:val="24"/>
          <w:szCs w:val="24"/>
        </w:rPr>
        <w:t>s</w:t>
      </w:r>
      <w:r w:rsidRPr="00B86BF8">
        <w:rPr>
          <w:rFonts w:ascii="Times New Roman" w:hAnsi="Times New Roman"/>
          <w:sz w:val="24"/>
          <w:szCs w:val="24"/>
        </w:rPr>
        <w:t>utart</w:t>
      </w:r>
      <w:r w:rsidR="00960949" w:rsidRPr="00B86BF8">
        <w:rPr>
          <w:rFonts w:ascii="Times New Roman" w:hAnsi="Times New Roman"/>
          <w:sz w:val="24"/>
          <w:szCs w:val="24"/>
        </w:rPr>
        <w:t xml:space="preserve">į (-is) </w:t>
      </w:r>
      <w:r w:rsidRPr="00B86BF8">
        <w:rPr>
          <w:rFonts w:ascii="Times New Roman" w:hAnsi="Times New Roman"/>
          <w:sz w:val="24"/>
          <w:szCs w:val="24"/>
        </w:rPr>
        <w:t xml:space="preserve">dėl </w:t>
      </w:r>
      <w:r w:rsidR="00960949" w:rsidRPr="00B86BF8">
        <w:rPr>
          <w:rFonts w:ascii="Times New Roman" w:hAnsi="Times New Roman"/>
          <w:sz w:val="24"/>
          <w:szCs w:val="24"/>
        </w:rPr>
        <w:t>veikiančių</w:t>
      </w:r>
      <w:r w:rsidR="00E61442" w:rsidRPr="00B86BF8">
        <w:rPr>
          <w:rFonts w:ascii="Times New Roman" w:hAnsi="Times New Roman"/>
          <w:sz w:val="24"/>
          <w:szCs w:val="24"/>
        </w:rPr>
        <w:t xml:space="preserve"> </w:t>
      </w:r>
      <w:r w:rsidR="00960949" w:rsidRPr="00B86BF8">
        <w:rPr>
          <w:rFonts w:ascii="Times New Roman" w:hAnsi="Times New Roman"/>
          <w:sz w:val="24"/>
          <w:szCs w:val="24"/>
        </w:rPr>
        <w:t xml:space="preserve">„Invegos“ </w:t>
      </w:r>
      <w:r w:rsidRPr="00B86BF8">
        <w:rPr>
          <w:rFonts w:ascii="Times New Roman" w:hAnsi="Times New Roman"/>
          <w:sz w:val="24"/>
          <w:szCs w:val="24"/>
        </w:rPr>
        <w:t>finansinių priemonių įgyvendinimo</w:t>
      </w:r>
      <w:r w:rsidR="00EE7368" w:rsidRPr="00B86BF8">
        <w:rPr>
          <w:rFonts w:ascii="Times New Roman" w:hAnsi="Times New Roman"/>
          <w:sz w:val="24"/>
          <w:szCs w:val="24"/>
        </w:rPr>
        <w:t xml:space="preserve"> per 12 mėn. iki prašymo pateikimo</w:t>
      </w:r>
      <w:r w:rsidRPr="00B86BF8">
        <w:rPr>
          <w:rFonts w:ascii="Times New Roman" w:hAnsi="Times New Roman"/>
          <w:sz w:val="24"/>
          <w:szCs w:val="24"/>
        </w:rPr>
        <w:t xml:space="preserve">, </w:t>
      </w:r>
      <w:r w:rsidR="00960949" w:rsidRPr="00B86BF8">
        <w:rPr>
          <w:rFonts w:ascii="Times New Roman" w:hAnsi="Times New Roman"/>
          <w:sz w:val="24"/>
          <w:szCs w:val="24"/>
        </w:rPr>
        <w:t>gali būti a</w:t>
      </w:r>
      <w:r w:rsidRPr="00B86BF8">
        <w:rPr>
          <w:rFonts w:ascii="Times New Roman" w:hAnsi="Times New Roman"/>
          <w:sz w:val="24"/>
          <w:szCs w:val="24"/>
        </w:rPr>
        <w:t xml:space="preserve">tliekamas supaprastintas </w:t>
      </w:r>
      <w:r w:rsidR="00E61442" w:rsidRPr="00B86BF8">
        <w:rPr>
          <w:rFonts w:ascii="Times New Roman" w:hAnsi="Times New Roman"/>
          <w:sz w:val="24"/>
          <w:szCs w:val="24"/>
        </w:rPr>
        <w:t xml:space="preserve">FT </w:t>
      </w:r>
      <w:r w:rsidRPr="00B86BF8">
        <w:rPr>
          <w:rFonts w:ascii="Times New Roman" w:hAnsi="Times New Roman"/>
          <w:sz w:val="24"/>
          <w:szCs w:val="24"/>
        </w:rPr>
        <w:t>vertinima</w:t>
      </w:r>
      <w:r w:rsidR="00960949" w:rsidRPr="00B86BF8">
        <w:rPr>
          <w:rFonts w:ascii="Times New Roman" w:hAnsi="Times New Roman"/>
          <w:sz w:val="24"/>
          <w:szCs w:val="24"/>
        </w:rPr>
        <w:t>s. Tokiu atveju vertinam</w:t>
      </w:r>
      <w:r w:rsidR="000A635C" w:rsidRPr="00B86BF8">
        <w:rPr>
          <w:rFonts w:ascii="Times New Roman" w:hAnsi="Times New Roman"/>
          <w:sz w:val="24"/>
          <w:szCs w:val="24"/>
        </w:rPr>
        <w:t>i</w:t>
      </w:r>
      <w:r w:rsidR="002E5B78" w:rsidRPr="00B86BF8">
        <w:rPr>
          <w:rFonts w:ascii="Times New Roman" w:hAnsi="Times New Roman"/>
          <w:sz w:val="24"/>
          <w:szCs w:val="24"/>
        </w:rPr>
        <w:t xml:space="preserve"> tik </w:t>
      </w:r>
      <w:r w:rsidRPr="00B86BF8">
        <w:rPr>
          <w:rFonts w:ascii="Times New Roman" w:hAnsi="Times New Roman"/>
          <w:sz w:val="24"/>
          <w:szCs w:val="24"/>
        </w:rPr>
        <w:t xml:space="preserve">su </w:t>
      </w:r>
      <w:r w:rsidR="008C3C5E" w:rsidRPr="00B86BF8">
        <w:rPr>
          <w:rFonts w:ascii="Times New Roman" w:hAnsi="Times New Roman"/>
          <w:sz w:val="24"/>
          <w:szCs w:val="24"/>
        </w:rPr>
        <w:t>Priemonės „Alte</w:t>
      </w:r>
      <w:r w:rsidR="00792698" w:rsidRPr="00B86BF8">
        <w:rPr>
          <w:rFonts w:ascii="Times New Roman" w:hAnsi="Times New Roman"/>
          <w:sz w:val="24"/>
          <w:szCs w:val="24"/>
        </w:rPr>
        <w:t>r</w:t>
      </w:r>
      <w:r w:rsidR="008C3C5E" w:rsidRPr="00B86BF8">
        <w:rPr>
          <w:rFonts w:ascii="Times New Roman" w:hAnsi="Times New Roman"/>
          <w:sz w:val="24"/>
          <w:szCs w:val="24"/>
        </w:rPr>
        <w:t xml:space="preserve">natyva“ </w:t>
      </w:r>
      <w:r w:rsidRPr="00B86BF8">
        <w:rPr>
          <w:rFonts w:ascii="Times New Roman" w:hAnsi="Times New Roman"/>
          <w:sz w:val="24"/>
          <w:szCs w:val="24"/>
        </w:rPr>
        <w:t>įgyvendinimu susij</w:t>
      </w:r>
      <w:r w:rsidR="002E5B78" w:rsidRPr="00B86BF8">
        <w:rPr>
          <w:rFonts w:ascii="Times New Roman" w:hAnsi="Times New Roman"/>
          <w:sz w:val="24"/>
          <w:szCs w:val="24"/>
        </w:rPr>
        <w:t>ę</w:t>
      </w:r>
      <w:r w:rsidRPr="00B86BF8">
        <w:rPr>
          <w:rFonts w:ascii="Times New Roman" w:hAnsi="Times New Roman"/>
          <w:sz w:val="24"/>
          <w:szCs w:val="24"/>
        </w:rPr>
        <w:t xml:space="preserve"> </w:t>
      </w:r>
      <w:r w:rsidR="00E51F59" w:rsidRPr="00B86BF8">
        <w:rPr>
          <w:rFonts w:ascii="Times New Roman" w:hAnsi="Times New Roman"/>
          <w:sz w:val="24"/>
          <w:szCs w:val="24"/>
        </w:rPr>
        <w:t>dokument</w:t>
      </w:r>
      <w:r w:rsidR="002E5B78" w:rsidRPr="00B86BF8">
        <w:rPr>
          <w:rFonts w:ascii="Times New Roman" w:hAnsi="Times New Roman"/>
          <w:sz w:val="24"/>
          <w:szCs w:val="24"/>
        </w:rPr>
        <w:t>ai</w:t>
      </w:r>
      <w:r w:rsidRPr="00B86BF8">
        <w:rPr>
          <w:rFonts w:ascii="Times New Roman" w:hAnsi="Times New Roman"/>
          <w:sz w:val="24"/>
          <w:szCs w:val="24"/>
        </w:rPr>
        <w:t xml:space="preserve"> ir </w:t>
      </w:r>
      <w:r w:rsidR="00E51F59" w:rsidRPr="00B86BF8">
        <w:rPr>
          <w:rFonts w:ascii="Times New Roman" w:hAnsi="Times New Roman"/>
          <w:sz w:val="24"/>
          <w:szCs w:val="24"/>
        </w:rPr>
        <w:t>informacij</w:t>
      </w:r>
      <w:r w:rsidR="002E5B78" w:rsidRPr="00B86BF8">
        <w:rPr>
          <w:rFonts w:ascii="Times New Roman" w:hAnsi="Times New Roman"/>
          <w:sz w:val="24"/>
          <w:szCs w:val="24"/>
        </w:rPr>
        <w:t>a</w:t>
      </w:r>
      <w:r w:rsidR="00EE7368" w:rsidRPr="00B86BF8">
        <w:rPr>
          <w:rFonts w:ascii="Times New Roman" w:hAnsi="Times New Roman"/>
          <w:sz w:val="24"/>
          <w:szCs w:val="24"/>
        </w:rPr>
        <w:t>, o FT turi pateikti patvirtinimą, kad tinkamumo reikalavimų duomenys ir informacija nuo pr</w:t>
      </w:r>
      <w:r w:rsidR="00676ED6" w:rsidRPr="00B86BF8">
        <w:rPr>
          <w:rFonts w:ascii="Times New Roman" w:hAnsi="Times New Roman"/>
          <w:sz w:val="24"/>
          <w:szCs w:val="24"/>
        </w:rPr>
        <w:t>a</w:t>
      </w:r>
      <w:r w:rsidR="00EE7368" w:rsidRPr="00B86BF8">
        <w:rPr>
          <w:rFonts w:ascii="Times New Roman" w:hAnsi="Times New Roman"/>
          <w:sz w:val="24"/>
          <w:szCs w:val="24"/>
        </w:rPr>
        <w:t>ėjusio FT vertinimo nepasikeitė</w:t>
      </w:r>
      <w:r w:rsidR="00E61442" w:rsidRPr="00B86BF8">
        <w:rPr>
          <w:rFonts w:ascii="Times New Roman" w:hAnsi="Times New Roman"/>
          <w:sz w:val="24"/>
          <w:szCs w:val="24"/>
        </w:rPr>
        <w:t>.</w:t>
      </w:r>
      <w:r w:rsidR="00FA7E20" w:rsidRPr="00B86BF8">
        <w:rPr>
          <w:rFonts w:ascii="Times New Roman" w:hAnsi="Times New Roman"/>
          <w:sz w:val="24"/>
          <w:szCs w:val="24"/>
        </w:rPr>
        <w:t xml:space="preserve"> </w:t>
      </w:r>
      <w:r w:rsidR="002E5B78" w:rsidRPr="00B86BF8">
        <w:rPr>
          <w:rFonts w:ascii="Times New Roman" w:hAnsi="Times New Roman"/>
          <w:sz w:val="24"/>
          <w:szCs w:val="24"/>
        </w:rPr>
        <w:t>Tačiau</w:t>
      </w:r>
      <w:r w:rsidR="00EE7368" w:rsidRPr="00B86BF8">
        <w:rPr>
          <w:rFonts w:ascii="Times New Roman" w:hAnsi="Times New Roman"/>
          <w:sz w:val="24"/>
          <w:szCs w:val="24"/>
        </w:rPr>
        <w:t xml:space="preserve"> bet kokiu atveju</w:t>
      </w:r>
      <w:r w:rsidR="002E5B78" w:rsidRPr="00B86BF8">
        <w:rPr>
          <w:rFonts w:ascii="Times New Roman" w:hAnsi="Times New Roman"/>
          <w:sz w:val="24"/>
          <w:szCs w:val="24"/>
        </w:rPr>
        <w:t xml:space="preserve"> „</w:t>
      </w:r>
      <w:r w:rsidR="00FA7E20" w:rsidRPr="00B86BF8">
        <w:rPr>
          <w:rFonts w:ascii="Times New Roman" w:hAnsi="Times New Roman"/>
          <w:sz w:val="24"/>
          <w:szCs w:val="24"/>
        </w:rPr>
        <w:t>Inveg</w:t>
      </w:r>
      <w:r w:rsidR="00EE7368" w:rsidRPr="00B86BF8">
        <w:rPr>
          <w:rFonts w:ascii="Times New Roman" w:hAnsi="Times New Roman"/>
          <w:sz w:val="24"/>
          <w:szCs w:val="24"/>
        </w:rPr>
        <w:t>a</w:t>
      </w:r>
      <w:r w:rsidR="002E5B78" w:rsidRPr="00B86BF8">
        <w:rPr>
          <w:rFonts w:ascii="Times New Roman" w:hAnsi="Times New Roman"/>
          <w:sz w:val="24"/>
          <w:szCs w:val="24"/>
        </w:rPr>
        <w:t>“</w:t>
      </w:r>
      <w:r w:rsidR="00FA7E20" w:rsidRPr="00B86BF8">
        <w:rPr>
          <w:rFonts w:ascii="Times New Roman" w:hAnsi="Times New Roman"/>
          <w:sz w:val="24"/>
          <w:szCs w:val="24"/>
        </w:rPr>
        <w:t xml:space="preserve"> </w:t>
      </w:r>
      <w:r w:rsidR="00EE7368" w:rsidRPr="00B86BF8">
        <w:rPr>
          <w:rFonts w:ascii="Times New Roman" w:hAnsi="Times New Roman"/>
          <w:sz w:val="24"/>
          <w:szCs w:val="24"/>
        </w:rPr>
        <w:t>turi teisę prašyti pate</w:t>
      </w:r>
      <w:r w:rsidR="00016EC2" w:rsidRPr="00B86BF8">
        <w:rPr>
          <w:rFonts w:ascii="Times New Roman" w:hAnsi="Times New Roman"/>
          <w:sz w:val="24"/>
          <w:szCs w:val="24"/>
        </w:rPr>
        <w:t>i</w:t>
      </w:r>
      <w:r w:rsidR="00EE7368" w:rsidRPr="00B86BF8">
        <w:rPr>
          <w:rFonts w:ascii="Times New Roman" w:hAnsi="Times New Roman"/>
          <w:sz w:val="24"/>
          <w:szCs w:val="24"/>
        </w:rPr>
        <w:t>kti visus tinkamumo reikalavimams</w:t>
      </w:r>
      <w:r w:rsidR="00676ED6" w:rsidRPr="00B86BF8">
        <w:rPr>
          <w:rFonts w:ascii="Times New Roman" w:hAnsi="Times New Roman"/>
          <w:sz w:val="24"/>
          <w:szCs w:val="24"/>
        </w:rPr>
        <w:t xml:space="preserve"> įvertinti reikalingus dokumentus</w:t>
      </w:r>
      <w:r w:rsidR="00113AAD" w:rsidRPr="00B86BF8">
        <w:rPr>
          <w:rFonts w:ascii="Times New Roman" w:hAnsi="Times New Roman"/>
          <w:sz w:val="24"/>
          <w:szCs w:val="24"/>
        </w:rPr>
        <w:t xml:space="preserve">. </w:t>
      </w:r>
    </w:p>
    <w:p w14:paraId="4431FBAF" w14:textId="5393679F" w:rsidR="00D57E23" w:rsidRPr="00B86BF8" w:rsidRDefault="00671336" w:rsidP="00591742">
      <w:pPr>
        <w:pStyle w:val="ListParagraph"/>
        <w:numPr>
          <w:ilvl w:val="1"/>
          <w:numId w:val="4"/>
        </w:numPr>
        <w:tabs>
          <w:tab w:val="left" w:pos="851"/>
        </w:tabs>
        <w:autoSpaceDE w:val="0"/>
        <w:autoSpaceDN w:val="0"/>
        <w:adjustRightInd w:val="0"/>
        <w:spacing w:after="0" w:line="240" w:lineRule="auto"/>
        <w:ind w:left="-142" w:firstLine="502"/>
        <w:jc w:val="both"/>
        <w:rPr>
          <w:rFonts w:ascii="Times New Roman" w:hAnsi="Times New Roman"/>
          <w:sz w:val="24"/>
          <w:szCs w:val="24"/>
        </w:rPr>
      </w:pPr>
      <w:r w:rsidRPr="00B86BF8">
        <w:rPr>
          <w:rFonts w:ascii="Times New Roman" w:hAnsi="Times New Roman"/>
          <w:sz w:val="24"/>
          <w:szCs w:val="24"/>
        </w:rPr>
        <w:lastRenderedPageBreak/>
        <w:t>FT</w:t>
      </w:r>
      <w:r w:rsidR="00FA0007" w:rsidRPr="00B86BF8">
        <w:rPr>
          <w:rFonts w:ascii="Times New Roman" w:hAnsi="Times New Roman"/>
          <w:sz w:val="24"/>
          <w:szCs w:val="24"/>
        </w:rPr>
        <w:t>, kuri</w:t>
      </w:r>
      <w:r w:rsidR="00EC0EDC" w:rsidRPr="00B86BF8">
        <w:rPr>
          <w:rFonts w:ascii="Times New Roman" w:hAnsi="Times New Roman"/>
          <w:sz w:val="24"/>
          <w:szCs w:val="24"/>
        </w:rPr>
        <w:t>s</w:t>
      </w:r>
      <w:r w:rsidR="00B515AC" w:rsidRPr="00B86BF8">
        <w:rPr>
          <w:rFonts w:ascii="Times New Roman" w:hAnsi="Times New Roman"/>
          <w:sz w:val="24"/>
          <w:szCs w:val="24"/>
        </w:rPr>
        <w:t xml:space="preserve"> pirmojo kvietimo etapo metu</w:t>
      </w:r>
      <w:r w:rsidRPr="00B86BF8">
        <w:rPr>
          <w:rFonts w:ascii="Times New Roman" w:hAnsi="Times New Roman"/>
          <w:sz w:val="24"/>
          <w:szCs w:val="24"/>
        </w:rPr>
        <w:t xml:space="preserve"> yra sudaręs Sutartį ir</w:t>
      </w:r>
      <w:r w:rsidR="00FA0007" w:rsidRPr="00B86BF8">
        <w:rPr>
          <w:rFonts w:ascii="Times New Roman" w:hAnsi="Times New Roman"/>
          <w:sz w:val="24"/>
          <w:szCs w:val="24"/>
        </w:rPr>
        <w:t xml:space="preserve"> pageidauja įgyvendinti </w:t>
      </w:r>
      <w:r w:rsidR="00C90920" w:rsidRPr="00B86BF8">
        <w:rPr>
          <w:rFonts w:ascii="Times New Roman" w:hAnsi="Times New Roman"/>
          <w:sz w:val="24"/>
          <w:szCs w:val="24"/>
        </w:rPr>
        <w:t>P</w:t>
      </w:r>
      <w:r w:rsidR="00FA0007" w:rsidRPr="00B86BF8">
        <w:rPr>
          <w:rFonts w:ascii="Times New Roman" w:hAnsi="Times New Roman"/>
          <w:sz w:val="24"/>
          <w:szCs w:val="24"/>
        </w:rPr>
        <w:t>riemonę „Alternatyva“</w:t>
      </w:r>
      <w:r w:rsidR="00F87527" w:rsidRPr="00B86BF8">
        <w:rPr>
          <w:rFonts w:ascii="Times New Roman" w:hAnsi="Times New Roman"/>
          <w:sz w:val="24"/>
          <w:szCs w:val="24"/>
        </w:rPr>
        <w:t xml:space="preserve"> pagal Priemonės „Alternatyva“</w:t>
      </w:r>
      <w:r w:rsidR="00FA0007" w:rsidRPr="00B86BF8">
        <w:rPr>
          <w:rFonts w:ascii="Times New Roman" w:hAnsi="Times New Roman"/>
          <w:sz w:val="24"/>
          <w:szCs w:val="24"/>
        </w:rPr>
        <w:t xml:space="preserve"> </w:t>
      </w:r>
      <w:r w:rsidR="00AB7C4B" w:rsidRPr="00B86BF8">
        <w:rPr>
          <w:rFonts w:ascii="Times New Roman" w:hAnsi="Times New Roman"/>
          <w:i/>
          <w:iCs/>
          <w:sz w:val="24"/>
          <w:szCs w:val="24"/>
        </w:rPr>
        <w:t>de minimis</w:t>
      </w:r>
      <w:r w:rsidR="00AB7C4B" w:rsidRPr="00B86BF8">
        <w:rPr>
          <w:rFonts w:ascii="Times New Roman" w:hAnsi="Times New Roman"/>
          <w:sz w:val="24"/>
          <w:szCs w:val="24"/>
        </w:rPr>
        <w:t xml:space="preserve"> pagalba</w:t>
      </w:r>
      <w:r w:rsidR="00F87527" w:rsidRPr="00B86BF8">
        <w:rPr>
          <w:rFonts w:ascii="Times New Roman" w:hAnsi="Times New Roman"/>
          <w:sz w:val="24"/>
          <w:szCs w:val="24"/>
        </w:rPr>
        <w:t xml:space="preserve"> sąlygas</w:t>
      </w:r>
      <w:r w:rsidR="00AB7C4B" w:rsidRPr="00B86BF8">
        <w:rPr>
          <w:rStyle w:val="CommentReference"/>
          <w:lang w:eastAsia="lt-LT"/>
        </w:rPr>
        <w:t>,</w:t>
      </w:r>
      <w:r w:rsidR="00FA0007" w:rsidRPr="00B86BF8">
        <w:rPr>
          <w:rFonts w:ascii="Times New Roman" w:hAnsi="Times New Roman"/>
          <w:sz w:val="24"/>
          <w:szCs w:val="24"/>
        </w:rPr>
        <w:t xml:space="preserve"> nėra pakartotinai vertinam</w:t>
      </w:r>
      <w:r w:rsidR="00EC0EDC" w:rsidRPr="00B86BF8">
        <w:rPr>
          <w:rFonts w:ascii="Times New Roman" w:hAnsi="Times New Roman"/>
          <w:sz w:val="24"/>
          <w:szCs w:val="24"/>
        </w:rPr>
        <w:t>as.</w:t>
      </w:r>
      <w:r w:rsidR="00FA0007" w:rsidRPr="00B86BF8">
        <w:rPr>
          <w:rFonts w:ascii="Times New Roman" w:hAnsi="Times New Roman"/>
          <w:sz w:val="24"/>
          <w:szCs w:val="24"/>
        </w:rPr>
        <w:t xml:space="preserve"> </w:t>
      </w:r>
      <w:r w:rsidR="00EC0EDC" w:rsidRPr="00B86BF8">
        <w:rPr>
          <w:rFonts w:ascii="Times New Roman" w:hAnsi="Times New Roman"/>
          <w:sz w:val="24"/>
          <w:szCs w:val="24"/>
        </w:rPr>
        <w:t>Toks FT</w:t>
      </w:r>
      <w:r w:rsidR="00FA0007" w:rsidRPr="00B86BF8">
        <w:rPr>
          <w:rFonts w:ascii="Times New Roman" w:hAnsi="Times New Roman"/>
          <w:sz w:val="24"/>
          <w:szCs w:val="24"/>
        </w:rPr>
        <w:t xml:space="preserve"> teikia „Invegai“ </w:t>
      </w:r>
      <w:r w:rsidR="00856F47" w:rsidRPr="00B86BF8">
        <w:rPr>
          <w:rFonts w:ascii="Times New Roman" w:hAnsi="Times New Roman"/>
          <w:sz w:val="24"/>
          <w:szCs w:val="24"/>
        </w:rPr>
        <w:t xml:space="preserve">tik </w:t>
      </w:r>
      <w:r w:rsidR="00FE5871" w:rsidRPr="00B86BF8">
        <w:rPr>
          <w:rFonts w:ascii="Times New Roman" w:hAnsi="Times New Roman"/>
          <w:sz w:val="24"/>
          <w:szCs w:val="24"/>
        </w:rPr>
        <w:t>P</w:t>
      </w:r>
      <w:r w:rsidR="00FA0007" w:rsidRPr="00B86BF8">
        <w:rPr>
          <w:rFonts w:ascii="Times New Roman" w:hAnsi="Times New Roman"/>
          <w:sz w:val="24"/>
          <w:szCs w:val="24"/>
        </w:rPr>
        <w:t xml:space="preserve">rašymą </w:t>
      </w:r>
      <w:r w:rsidR="00E72408" w:rsidRPr="00B86BF8">
        <w:rPr>
          <w:rFonts w:ascii="Times New Roman" w:hAnsi="Times New Roman"/>
          <w:sz w:val="24"/>
          <w:szCs w:val="24"/>
        </w:rPr>
        <w:t xml:space="preserve">dėl dalyvavimo įgyvendinant </w:t>
      </w:r>
      <w:r w:rsidR="00F87527" w:rsidRPr="00B86BF8">
        <w:rPr>
          <w:rFonts w:ascii="Times New Roman" w:hAnsi="Times New Roman"/>
          <w:sz w:val="24"/>
          <w:szCs w:val="24"/>
        </w:rPr>
        <w:t>Priemonę</w:t>
      </w:r>
      <w:r w:rsidR="00E72408" w:rsidRPr="00B86BF8">
        <w:rPr>
          <w:rFonts w:ascii="Times New Roman" w:hAnsi="Times New Roman"/>
          <w:sz w:val="24"/>
          <w:szCs w:val="24"/>
        </w:rPr>
        <w:t xml:space="preserve"> „Alternatyv</w:t>
      </w:r>
      <w:r w:rsidR="007C512D" w:rsidRPr="00B86BF8">
        <w:rPr>
          <w:rFonts w:ascii="Times New Roman" w:hAnsi="Times New Roman"/>
          <w:sz w:val="24"/>
          <w:szCs w:val="24"/>
        </w:rPr>
        <w:t>a</w:t>
      </w:r>
      <w:r w:rsidR="00E72408" w:rsidRPr="00B86BF8">
        <w:rPr>
          <w:rFonts w:ascii="Times New Roman" w:hAnsi="Times New Roman"/>
          <w:sz w:val="24"/>
          <w:szCs w:val="24"/>
        </w:rPr>
        <w:t xml:space="preserve">“ </w:t>
      </w:r>
      <w:r w:rsidR="00FA0007" w:rsidRPr="00B86BF8">
        <w:rPr>
          <w:rFonts w:ascii="Times New Roman" w:hAnsi="Times New Roman"/>
          <w:sz w:val="24"/>
          <w:szCs w:val="24"/>
        </w:rPr>
        <w:t>(Aprašo 2</w:t>
      </w:r>
      <w:r w:rsidR="00EC0EDC" w:rsidRPr="00B86BF8">
        <w:rPr>
          <w:rFonts w:ascii="Times New Roman" w:hAnsi="Times New Roman"/>
          <w:sz w:val="24"/>
          <w:szCs w:val="24"/>
        </w:rPr>
        <w:t> </w:t>
      </w:r>
      <w:r w:rsidR="00FA0007" w:rsidRPr="00B86BF8">
        <w:rPr>
          <w:rFonts w:ascii="Times New Roman" w:hAnsi="Times New Roman"/>
          <w:sz w:val="24"/>
          <w:szCs w:val="24"/>
        </w:rPr>
        <w:t>priedas)</w:t>
      </w:r>
      <w:r w:rsidR="001411CF" w:rsidRPr="00B86BF8">
        <w:rPr>
          <w:rFonts w:ascii="Times New Roman" w:hAnsi="Times New Roman"/>
          <w:sz w:val="24"/>
          <w:szCs w:val="24"/>
        </w:rPr>
        <w:t>, kuriuo</w:t>
      </w:r>
      <w:r w:rsidR="00A25505" w:rsidRPr="00B86BF8">
        <w:rPr>
          <w:rFonts w:ascii="Times New Roman" w:hAnsi="Times New Roman"/>
          <w:sz w:val="24"/>
          <w:szCs w:val="24"/>
        </w:rPr>
        <w:t xml:space="preserve"> išreiškia</w:t>
      </w:r>
      <w:r w:rsidR="00BF5040" w:rsidRPr="00B86BF8">
        <w:rPr>
          <w:rFonts w:ascii="Times New Roman" w:hAnsi="Times New Roman"/>
          <w:sz w:val="24"/>
          <w:szCs w:val="24"/>
        </w:rPr>
        <w:t xml:space="preserve"> </w:t>
      </w:r>
      <w:r w:rsidR="00A25505" w:rsidRPr="00B86BF8">
        <w:rPr>
          <w:rFonts w:ascii="Times New Roman" w:hAnsi="Times New Roman"/>
          <w:sz w:val="24"/>
          <w:szCs w:val="24"/>
        </w:rPr>
        <w:t xml:space="preserve">pageidavimą įgyvendinti Priemonę „Alternatyva“ </w:t>
      </w:r>
      <w:r w:rsidR="00AB7C4B" w:rsidRPr="00B86BF8">
        <w:rPr>
          <w:rFonts w:ascii="Times New Roman" w:hAnsi="Times New Roman"/>
          <w:i/>
          <w:iCs/>
          <w:sz w:val="24"/>
          <w:szCs w:val="24"/>
        </w:rPr>
        <w:t>de minimis</w:t>
      </w:r>
      <w:r w:rsidR="00AB7C4B" w:rsidRPr="00B86BF8">
        <w:rPr>
          <w:rFonts w:ascii="Times New Roman" w:hAnsi="Times New Roman"/>
          <w:sz w:val="24"/>
          <w:szCs w:val="24"/>
        </w:rPr>
        <w:t xml:space="preserve"> pagalba</w:t>
      </w:r>
      <w:r w:rsidR="00F87527" w:rsidRPr="00B86BF8">
        <w:rPr>
          <w:rFonts w:ascii="Times New Roman" w:hAnsi="Times New Roman"/>
          <w:sz w:val="24"/>
          <w:szCs w:val="24"/>
        </w:rPr>
        <w:t xml:space="preserve"> sąlygomis</w:t>
      </w:r>
      <w:r w:rsidR="00AB7C4B" w:rsidRPr="00B86BF8">
        <w:rPr>
          <w:rFonts w:ascii="Times New Roman" w:hAnsi="Times New Roman"/>
          <w:sz w:val="24"/>
          <w:szCs w:val="24"/>
        </w:rPr>
        <w:t xml:space="preserve"> </w:t>
      </w:r>
      <w:r w:rsidR="00BF5040" w:rsidRPr="00B86BF8">
        <w:rPr>
          <w:rFonts w:ascii="Times New Roman" w:hAnsi="Times New Roman"/>
          <w:sz w:val="24"/>
          <w:szCs w:val="24"/>
        </w:rPr>
        <w:t>ir</w:t>
      </w:r>
      <w:r w:rsidR="00856F47" w:rsidRPr="00B86BF8">
        <w:rPr>
          <w:rFonts w:ascii="Times New Roman" w:hAnsi="Times New Roman"/>
          <w:sz w:val="24"/>
          <w:szCs w:val="24"/>
        </w:rPr>
        <w:t xml:space="preserve"> </w:t>
      </w:r>
      <w:r w:rsidR="00BF5040" w:rsidRPr="00B86BF8">
        <w:rPr>
          <w:rFonts w:ascii="Times New Roman" w:hAnsi="Times New Roman"/>
          <w:sz w:val="24"/>
          <w:szCs w:val="24"/>
        </w:rPr>
        <w:t xml:space="preserve">Prašymo 1 priedą, </w:t>
      </w:r>
      <w:r w:rsidR="00FA0007" w:rsidRPr="00B86BF8">
        <w:rPr>
          <w:rFonts w:ascii="Times New Roman" w:hAnsi="Times New Roman"/>
          <w:sz w:val="24"/>
          <w:szCs w:val="24"/>
        </w:rPr>
        <w:t xml:space="preserve">kuriuo patvirtina atitikimą </w:t>
      </w:r>
      <w:r w:rsidR="003E29B3" w:rsidRPr="00B86BF8">
        <w:rPr>
          <w:rFonts w:ascii="Times New Roman" w:hAnsi="Times New Roman"/>
          <w:sz w:val="24"/>
          <w:szCs w:val="24"/>
        </w:rPr>
        <w:t>tinkamumo reikalavimams</w:t>
      </w:r>
      <w:r w:rsidR="00A25505" w:rsidRPr="00B86BF8">
        <w:rPr>
          <w:rFonts w:ascii="Times New Roman" w:hAnsi="Times New Roman"/>
          <w:sz w:val="24"/>
          <w:szCs w:val="24"/>
        </w:rPr>
        <w:t>.</w:t>
      </w:r>
      <w:r w:rsidR="00FA0007" w:rsidRPr="00B86BF8">
        <w:rPr>
          <w:rFonts w:ascii="Times New Roman" w:hAnsi="Times New Roman"/>
          <w:sz w:val="24"/>
          <w:szCs w:val="24"/>
        </w:rPr>
        <w:t xml:space="preserve"> </w:t>
      </w:r>
      <w:r w:rsidR="00A703AC" w:rsidRPr="00B86BF8">
        <w:rPr>
          <w:rFonts w:ascii="Times New Roman" w:hAnsi="Times New Roman"/>
          <w:sz w:val="24"/>
          <w:szCs w:val="24"/>
        </w:rPr>
        <w:t>Su</w:t>
      </w:r>
      <w:r w:rsidR="00B515AC" w:rsidRPr="00B86BF8">
        <w:rPr>
          <w:rFonts w:ascii="Times New Roman" w:hAnsi="Times New Roman"/>
          <w:sz w:val="24"/>
          <w:szCs w:val="24"/>
        </w:rPr>
        <w:t xml:space="preserve"> ši</w:t>
      </w:r>
      <w:r w:rsidR="00EC0EDC" w:rsidRPr="00B86BF8">
        <w:rPr>
          <w:rFonts w:ascii="Times New Roman" w:hAnsi="Times New Roman"/>
          <w:sz w:val="24"/>
          <w:szCs w:val="24"/>
        </w:rPr>
        <w:t>uo</w:t>
      </w:r>
      <w:r w:rsidR="00FA0007" w:rsidRPr="00B86BF8">
        <w:rPr>
          <w:rFonts w:ascii="Times New Roman" w:hAnsi="Times New Roman"/>
          <w:sz w:val="24"/>
          <w:szCs w:val="24"/>
        </w:rPr>
        <w:t xml:space="preserve"> FT pasirašoma </w:t>
      </w:r>
      <w:r w:rsidR="00803FB0" w:rsidRPr="00B86BF8">
        <w:rPr>
          <w:rFonts w:ascii="Times New Roman" w:hAnsi="Times New Roman"/>
          <w:sz w:val="24"/>
          <w:szCs w:val="24"/>
        </w:rPr>
        <w:t xml:space="preserve">pagal aktualias Aprašo nuostatas atnaujinta </w:t>
      </w:r>
      <w:r w:rsidR="00A30E9F" w:rsidRPr="00B86BF8">
        <w:rPr>
          <w:rFonts w:ascii="Times New Roman" w:hAnsi="Times New Roman"/>
          <w:sz w:val="24"/>
          <w:szCs w:val="24"/>
        </w:rPr>
        <w:t>Su</w:t>
      </w:r>
      <w:r w:rsidR="00FA0007" w:rsidRPr="00B86BF8">
        <w:rPr>
          <w:rFonts w:ascii="Times New Roman" w:hAnsi="Times New Roman"/>
          <w:sz w:val="24"/>
          <w:szCs w:val="24"/>
        </w:rPr>
        <w:t>tarti</w:t>
      </w:r>
      <w:r w:rsidR="00B619D5" w:rsidRPr="00B86BF8">
        <w:rPr>
          <w:rFonts w:ascii="Times New Roman" w:hAnsi="Times New Roman"/>
          <w:sz w:val="24"/>
          <w:szCs w:val="24"/>
        </w:rPr>
        <w:t>s</w:t>
      </w:r>
      <w:r w:rsidR="00FA0007" w:rsidRPr="00B86BF8">
        <w:rPr>
          <w:rFonts w:ascii="Times New Roman" w:hAnsi="Times New Roman"/>
          <w:sz w:val="24"/>
          <w:szCs w:val="24"/>
        </w:rPr>
        <w:t>.</w:t>
      </w:r>
    </w:p>
    <w:p w14:paraId="4C91318E" w14:textId="77777777" w:rsidR="00F83AED" w:rsidRPr="00B86BF8" w:rsidRDefault="000D5887" w:rsidP="00591742">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B86BF8">
        <w:rPr>
          <w:rFonts w:ascii="Times New Roman" w:hAnsi="Times New Roman"/>
          <w:sz w:val="24"/>
          <w:szCs w:val="24"/>
        </w:rPr>
        <w:t xml:space="preserve"> </w:t>
      </w:r>
      <w:r w:rsidR="00937BAD" w:rsidRPr="00B86BF8">
        <w:rPr>
          <w:rFonts w:ascii="Times New Roman" w:hAnsi="Times New Roman"/>
          <w:sz w:val="24"/>
          <w:szCs w:val="24"/>
        </w:rPr>
        <w:t xml:space="preserve">Tinkamumo </w:t>
      </w:r>
      <w:r w:rsidR="007A0E2B" w:rsidRPr="00B86BF8">
        <w:rPr>
          <w:rFonts w:ascii="Times New Roman" w:hAnsi="Times New Roman"/>
          <w:sz w:val="24"/>
          <w:szCs w:val="24"/>
        </w:rPr>
        <w:t xml:space="preserve">reikalavimus </w:t>
      </w:r>
      <w:r w:rsidR="00937BAD" w:rsidRPr="00B86BF8">
        <w:rPr>
          <w:rFonts w:ascii="Times New Roman" w:hAnsi="Times New Roman"/>
          <w:sz w:val="24"/>
          <w:szCs w:val="24"/>
        </w:rPr>
        <w:t xml:space="preserve">atitinkantis FT yra raštu </w:t>
      </w:r>
      <w:bookmarkStart w:id="4" w:name="_Hlk36718661"/>
      <w:r w:rsidR="00DB0115" w:rsidRPr="00B86BF8">
        <w:rPr>
          <w:rFonts w:ascii="Times New Roman" w:hAnsi="Times New Roman"/>
          <w:sz w:val="24"/>
          <w:szCs w:val="24"/>
        </w:rPr>
        <w:t>prašyme nurodytu elektroninio pašto adresu</w:t>
      </w:r>
      <w:bookmarkEnd w:id="4"/>
      <w:r w:rsidR="00DB0115" w:rsidRPr="00B86BF8">
        <w:rPr>
          <w:rFonts w:ascii="Times New Roman" w:hAnsi="Times New Roman"/>
          <w:sz w:val="24"/>
          <w:szCs w:val="24"/>
        </w:rPr>
        <w:t xml:space="preserve"> </w:t>
      </w:r>
      <w:r w:rsidR="00937BAD" w:rsidRPr="00B86BF8">
        <w:rPr>
          <w:rFonts w:ascii="Times New Roman" w:hAnsi="Times New Roman"/>
          <w:sz w:val="24"/>
          <w:szCs w:val="24"/>
        </w:rPr>
        <w:t xml:space="preserve">informuojamas apie </w:t>
      </w:r>
      <w:r w:rsidR="001276AF" w:rsidRPr="00B86BF8">
        <w:rPr>
          <w:rFonts w:ascii="Times New Roman" w:hAnsi="Times New Roman"/>
          <w:sz w:val="24"/>
          <w:szCs w:val="24"/>
        </w:rPr>
        <w:t>sprendimą</w:t>
      </w:r>
      <w:r w:rsidR="00973E97" w:rsidRPr="00B86BF8">
        <w:rPr>
          <w:rFonts w:ascii="Times New Roman" w:hAnsi="Times New Roman"/>
          <w:sz w:val="24"/>
          <w:szCs w:val="24"/>
        </w:rPr>
        <w:t xml:space="preserve"> sudaryti </w:t>
      </w:r>
      <w:r w:rsidR="001B7D40" w:rsidRPr="00B86BF8">
        <w:rPr>
          <w:rFonts w:ascii="Times New Roman" w:hAnsi="Times New Roman"/>
          <w:sz w:val="24"/>
          <w:szCs w:val="24"/>
        </w:rPr>
        <w:t>Sutartį</w:t>
      </w:r>
      <w:r w:rsidR="008C3C5E" w:rsidRPr="00B86BF8">
        <w:rPr>
          <w:rFonts w:ascii="Times New Roman" w:hAnsi="Times New Roman"/>
          <w:sz w:val="24"/>
          <w:szCs w:val="24"/>
        </w:rPr>
        <w:t>. K</w:t>
      </w:r>
      <w:r w:rsidR="0098342A" w:rsidRPr="00B86BF8">
        <w:rPr>
          <w:rFonts w:ascii="Times New Roman" w:hAnsi="Times New Roman"/>
          <w:sz w:val="24"/>
          <w:szCs w:val="24"/>
        </w:rPr>
        <w:t>artu pateikiama</w:t>
      </w:r>
      <w:r w:rsidR="00F85AD0" w:rsidRPr="00B86BF8">
        <w:rPr>
          <w:rFonts w:ascii="Times New Roman" w:hAnsi="Times New Roman"/>
          <w:sz w:val="24"/>
          <w:szCs w:val="24"/>
        </w:rPr>
        <w:t>s</w:t>
      </w:r>
      <w:r w:rsidR="0098342A" w:rsidRPr="00B86BF8">
        <w:rPr>
          <w:rFonts w:ascii="Times New Roman" w:hAnsi="Times New Roman"/>
          <w:sz w:val="24"/>
          <w:szCs w:val="24"/>
        </w:rPr>
        <w:t xml:space="preserve"> </w:t>
      </w:r>
      <w:r w:rsidR="001B7D40" w:rsidRPr="00B86BF8">
        <w:rPr>
          <w:rFonts w:ascii="Times New Roman" w:hAnsi="Times New Roman"/>
          <w:sz w:val="24"/>
          <w:szCs w:val="24"/>
        </w:rPr>
        <w:t>S</w:t>
      </w:r>
      <w:r w:rsidR="0098342A" w:rsidRPr="00B86BF8">
        <w:rPr>
          <w:rFonts w:ascii="Times New Roman" w:hAnsi="Times New Roman"/>
          <w:sz w:val="24"/>
          <w:szCs w:val="24"/>
        </w:rPr>
        <w:t>utarties projektas.</w:t>
      </w:r>
      <w:r w:rsidR="00527E22" w:rsidRPr="00B86BF8">
        <w:rPr>
          <w:rFonts w:ascii="Times New Roman" w:hAnsi="Times New Roman"/>
          <w:sz w:val="24"/>
          <w:szCs w:val="24"/>
        </w:rPr>
        <w:t xml:space="preserve"> </w:t>
      </w:r>
    </w:p>
    <w:p w14:paraId="7926EB46" w14:textId="77777777" w:rsidR="00937BAD" w:rsidRPr="00B86BF8" w:rsidRDefault="00527E22"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B86BF8">
        <w:rPr>
          <w:rFonts w:ascii="Times New Roman" w:hAnsi="Times New Roman"/>
          <w:sz w:val="24"/>
          <w:szCs w:val="24"/>
        </w:rPr>
        <w:t xml:space="preserve">FT </w:t>
      </w:r>
      <w:r w:rsidR="00F83AED" w:rsidRPr="00B86BF8">
        <w:rPr>
          <w:rFonts w:ascii="Times New Roman" w:hAnsi="Times New Roman"/>
          <w:sz w:val="24"/>
          <w:szCs w:val="24"/>
        </w:rPr>
        <w:t xml:space="preserve">turi pasirašyti </w:t>
      </w:r>
      <w:r w:rsidR="00B0383E" w:rsidRPr="00B86BF8">
        <w:rPr>
          <w:rFonts w:ascii="Times New Roman" w:hAnsi="Times New Roman"/>
          <w:sz w:val="24"/>
          <w:szCs w:val="24"/>
        </w:rPr>
        <w:t>S</w:t>
      </w:r>
      <w:r w:rsidR="00F83AED" w:rsidRPr="00B86BF8">
        <w:rPr>
          <w:rFonts w:ascii="Times New Roman" w:hAnsi="Times New Roman"/>
          <w:sz w:val="24"/>
          <w:szCs w:val="24"/>
        </w:rPr>
        <w:t>utartį ne vėli</w:t>
      </w:r>
      <w:r w:rsidR="00EC0EDC" w:rsidRPr="00B86BF8">
        <w:rPr>
          <w:rFonts w:ascii="Times New Roman" w:hAnsi="Times New Roman"/>
          <w:sz w:val="24"/>
          <w:szCs w:val="24"/>
        </w:rPr>
        <w:t>a</w:t>
      </w:r>
      <w:r w:rsidR="00F83AED" w:rsidRPr="00B86BF8">
        <w:rPr>
          <w:rFonts w:ascii="Times New Roman" w:hAnsi="Times New Roman"/>
          <w:sz w:val="24"/>
          <w:szCs w:val="24"/>
        </w:rPr>
        <w:t xml:space="preserve">u kaip per </w:t>
      </w:r>
      <w:r w:rsidR="00A25D35" w:rsidRPr="00B86BF8">
        <w:rPr>
          <w:rFonts w:ascii="Times New Roman" w:hAnsi="Times New Roman"/>
          <w:sz w:val="24"/>
          <w:szCs w:val="24"/>
        </w:rPr>
        <w:t xml:space="preserve">10 </w:t>
      </w:r>
      <w:r w:rsidR="00F83AED" w:rsidRPr="00B86BF8">
        <w:rPr>
          <w:rFonts w:ascii="Times New Roman" w:hAnsi="Times New Roman"/>
          <w:sz w:val="24"/>
          <w:szCs w:val="24"/>
        </w:rPr>
        <w:t>darbo dien</w:t>
      </w:r>
      <w:r w:rsidR="00A25D35" w:rsidRPr="00B86BF8">
        <w:rPr>
          <w:rFonts w:ascii="Times New Roman" w:hAnsi="Times New Roman"/>
          <w:sz w:val="24"/>
          <w:szCs w:val="24"/>
        </w:rPr>
        <w:t>ų</w:t>
      </w:r>
      <w:r w:rsidR="00F83AED" w:rsidRPr="00B86BF8">
        <w:rPr>
          <w:rFonts w:ascii="Times New Roman" w:hAnsi="Times New Roman"/>
          <w:sz w:val="24"/>
          <w:szCs w:val="24"/>
        </w:rPr>
        <w:t xml:space="preserve"> nuo kvietimo pasirašyti </w:t>
      </w:r>
      <w:r w:rsidR="002957EB" w:rsidRPr="00B86BF8">
        <w:rPr>
          <w:rFonts w:ascii="Times New Roman" w:hAnsi="Times New Roman"/>
          <w:sz w:val="24"/>
          <w:szCs w:val="24"/>
        </w:rPr>
        <w:t>S</w:t>
      </w:r>
      <w:r w:rsidR="00F83AED" w:rsidRPr="00B86BF8">
        <w:rPr>
          <w:rFonts w:ascii="Times New Roman" w:hAnsi="Times New Roman"/>
          <w:sz w:val="24"/>
          <w:szCs w:val="24"/>
        </w:rPr>
        <w:t xml:space="preserve">utartį pateikimo </w:t>
      </w:r>
      <w:r w:rsidR="0032048B" w:rsidRPr="00B86BF8">
        <w:rPr>
          <w:rFonts w:ascii="Times New Roman" w:hAnsi="Times New Roman"/>
          <w:sz w:val="24"/>
          <w:szCs w:val="24"/>
        </w:rPr>
        <w:t xml:space="preserve">dienos. Kvietimas pateikiamas </w:t>
      </w:r>
      <w:r w:rsidR="00F83AED" w:rsidRPr="00B86BF8">
        <w:rPr>
          <w:rFonts w:ascii="Times New Roman" w:hAnsi="Times New Roman"/>
          <w:sz w:val="24"/>
          <w:szCs w:val="24"/>
        </w:rPr>
        <w:t xml:space="preserve">prašyme nurodytu elektroninio pašto adresu. Nepasirašius </w:t>
      </w:r>
      <w:r w:rsidR="00B0383E" w:rsidRPr="00B86BF8">
        <w:rPr>
          <w:rFonts w:ascii="Times New Roman" w:hAnsi="Times New Roman"/>
          <w:sz w:val="24"/>
          <w:szCs w:val="24"/>
        </w:rPr>
        <w:t>S</w:t>
      </w:r>
      <w:r w:rsidR="00F83AED" w:rsidRPr="00B86BF8">
        <w:rPr>
          <w:rFonts w:ascii="Times New Roman" w:hAnsi="Times New Roman"/>
          <w:sz w:val="24"/>
          <w:szCs w:val="24"/>
        </w:rPr>
        <w:t xml:space="preserve">utarties per nurodytą terminą, laikoma, kad FT </w:t>
      </w:r>
      <w:r w:rsidRPr="00B86BF8">
        <w:rPr>
          <w:rFonts w:ascii="Times New Roman" w:hAnsi="Times New Roman"/>
          <w:sz w:val="24"/>
          <w:szCs w:val="24"/>
        </w:rPr>
        <w:t xml:space="preserve">atsisako įgyvendinti </w:t>
      </w:r>
      <w:r w:rsidR="00F83AED" w:rsidRPr="00B86BF8">
        <w:rPr>
          <w:rFonts w:ascii="Times New Roman" w:hAnsi="Times New Roman"/>
          <w:sz w:val="24"/>
          <w:szCs w:val="24"/>
        </w:rPr>
        <w:t>P</w:t>
      </w:r>
      <w:r w:rsidRPr="00B86BF8">
        <w:rPr>
          <w:rFonts w:ascii="Times New Roman" w:hAnsi="Times New Roman"/>
          <w:sz w:val="24"/>
          <w:szCs w:val="24"/>
        </w:rPr>
        <w:t xml:space="preserve">riemonę „Alternatyva“. </w:t>
      </w:r>
    </w:p>
    <w:p w14:paraId="651CE2B3" w14:textId="77777777" w:rsidR="004A3DE3" w:rsidRPr="00B86BF8" w:rsidRDefault="008047D3"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B86BF8">
        <w:rPr>
          <w:rFonts w:ascii="Times New Roman" w:hAnsi="Times New Roman"/>
          <w:sz w:val="24"/>
          <w:szCs w:val="24"/>
        </w:rPr>
        <w:t xml:space="preserve">Tinkamumo </w:t>
      </w:r>
      <w:r w:rsidR="007A0E2B" w:rsidRPr="00B86BF8">
        <w:rPr>
          <w:rFonts w:ascii="Times New Roman" w:hAnsi="Times New Roman"/>
          <w:sz w:val="24"/>
          <w:szCs w:val="24"/>
        </w:rPr>
        <w:t xml:space="preserve">reikalavimų </w:t>
      </w:r>
      <w:r w:rsidRPr="00B86BF8">
        <w:rPr>
          <w:rFonts w:ascii="Times New Roman" w:hAnsi="Times New Roman"/>
          <w:sz w:val="24"/>
          <w:szCs w:val="24"/>
        </w:rPr>
        <w:t xml:space="preserve">neatitinkantis FT </w:t>
      </w:r>
      <w:r w:rsidR="00B52574" w:rsidRPr="00B86BF8">
        <w:rPr>
          <w:rFonts w:ascii="Times New Roman" w:hAnsi="Times New Roman"/>
          <w:sz w:val="24"/>
          <w:szCs w:val="24"/>
        </w:rPr>
        <w:t xml:space="preserve">arba FT, per </w:t>
      </w:r>
      <w:r w:rsidR="001F272D" w:rsidRPr="00B86BF8">
        <w:rPr>
          <w:rFonts w:ascii="Times New Roman" w:hAnsi="Times New Roman"/>
          <w:sz w:val="24"/>
          <w:szCs w:val="24"/>
        </w:rPr>
        <w:t xml:space="preserve">10 </w:t>
      </w:r>
      <w:r w:rsidR="00B52574" w:rsidRPr="00B86BF8">
        <w:rPr>
          <w:rFonts w:ascii="Times New Roman" w:hAnsi="Times New Roman"/>
          <w:sz w:val="24"/>
          <w:szCs w:val="24"/>
        </w:rPr>
        <w:t xml:space="preserve">darbo dienų po „Invegos“ prašymo pateikti papildomus dokumentus dėl atitikimo nustatytiems tinkamumo reikalavimams nepateikęs „Invegai“ prašomų papildomų dokumentų </w:t>
      </w:r>
      <w:r w:rsidR="00576E68" w:rsidRPr="00B86BF8">
        <w:rPr>
          <w:rFonts w:ascii="Times New Roman" w:hAnsi="Times New Roman"/>
          <w:sz w:val="24"/>
          <w:szCs w:val="24"/>
        </w:rPr>
        <w:t xml:space="preserve">atitikimą </w:t>
      </w:r>
      <w:r w:rsidR="00B52574" w:rsidRPr="00B86BF8">
        <w:rPr>
          <w:rFonts w:ascii="Times New Roman" w:hAnsi="Times New Roman"/>
          <w:sz w:val="24"/>
          <w:szCs w:val="24"/>
        </w:rPr>
        <w:t>tinkamumo reikalavimams pagrįsti</w:t>
      </w:r>
      <w:r w:rsidR="004153F5" w:rsidRPr="00B86BF8">
        <w:rPr>
          <w:rFonts w:ascii="Times New Roman" w:hAnsi="Times New Roman"/>
          <w:sz w:val="24"/>
          <w:szCs w:val="24"/>
        </w:rPr>
        <w:t>,</w:t>
      </w:r>
      <w:r w:rsidR="00B52574" w:rsidRPr="00B86BF8">
        <w:rPr>
          <w:rFonts w:ascii="Times New Roman" w:hAnsi="Times New Roman"/>
          <w:sz w:val="24"/>
          <w:szCs w:val="24"/>
        </w:rPr>
        <w:t xml:space="preserve"> </w:t>
      </w:r>
      <w:r w:rsidRPr="00B86BF8">
        <w:rPr>
          <w:rFonts w:ascii="Times New Roman" w:hAnsi="Times New Roman"/>
          <w:sz w:val="24"/>
          <w:szCs w:val="24"/>
        </w:rPr>
        <w:t xml:space="preserve">yra raštu </w:t>
      </w:r>
      <w:r w:rsidR="00DB0115" w:rsidRPr="00B86BF8">
        <w:rPr>
          <w:rFonts w:ascii="Times New Roman" w:hAnsi="Times New Roman"/>
          <w:sz w:val="24"/>
          <w:szCs w:val="24"/>
        </w:rPr>
        <w:t xml:space="preserve">prašyme nurodytu elektroninio pašto adresu </w:t>
      </w:r>
      <w:r w:rsidRPr="00B86BF8">
        <w:rPr>
          <w:rFonts w:ascii="Times New Roman" w:hAnsi="Times New Roman"/>
          <w:sz w:val="24"/>
          <w:szCs w:val="24"/>
        </w:rPr>
        <w:t xml:space="preserve">informuojamas apie atsisakymą sudaryti </w:t>
      </w:r>
      <w:r w:rsidR="001B7D40" w:rsidRPr="00B86BF8">
        <w:rPr>
          <w:rFonts w:ascii="Times New Roman" w:hAnsi="Times New Roman"/>
          <w:sz w:val="24"/>
          <w:szCs w:val="24"/>
        </w:rPr>
        <w:t>Sutartį</w:t>
      </w:r>
      <w:r w:rsidRPr="00B86BF8">
        <w:rPr>
          <w:rFonts w:ascii="Times New Roman" w:hAnsi="Times New Roman"/>
          <w:sz w:val="24"/>
          <w:szCs w:val="24"/>
        </w:rPr>
        <w:t>.</w:t>
      </w:r>
      <w:r w:rsidR="00EE7249" w:rsidRPr="00B86BF8">
        <w:rPr>
          <w:rFonts w:ascii="Times New Roman" w:hAnsi="Times New Roman"/>
          <w:sz w:val="24"/>
          <w:szCs w:val="24"/>
        </w:rPr>
        <w:t xml:space="preserve"> </w:t>
      </w:r>
    </w:p>
    <w:p w14:paraId="2031DA0D" w14:textId="77777777" w:rsidR="00B52574" w:rsidRPr="00B86BF8" w:rsidRDefault="00B52574"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B86BF8">
        <w:rPr>
          <w:rFonts w:ascii="Times New Roman" w:hAnsi="Times New Roman"/>
          <w:sz w:val="24"/>
          <w:szCs w:val="24"/>
        </w:rPr>
        <w:t>Pateikus melagingą informaciją, kurią „Invega“ gali įrodyti bet kokiomis teisėtomis priemonėmis, FT prašymas yra atmetamas, nurodant atmetimo priežastis.</w:t>
      </w:r>
    </w:p>
    <w:p w14:paraId="3386E337" w14:textId="77777777" w:rsidR="0053271E" w:rsidRPr="00B86BF8" w:rsidRDefault="008C3C5E" w:rsidP="005D5278">
      <w:pPr>
        <w:pStyle w:val="ListParagraph"/>
        <w:numPr>
          <w:ilvl w:val="1"/>
          <w:numId w:val="4"/>
        </w:numPr>
        <w:tabs>
          <w:tab w:val="left" w:pos="993"/>
        </w:tabs>
        <w:spacing w:after="0" w:line="240" w:lineRule="auto"/>
        <w:ind w:left="-142" w:firstLine="567"/>
        <w:jc w:val="both"/>
        <w:rPr>
          <w:rFonts w:ascii="Times New Roman" w:hAnsi="Times New Roman"/>
          <w:sz w:val="24"/>
          <w:szCs w:val="24"/>
        </w:rPr>
      </w:pPr>
      <w:r w:rsidRPr="00B86BF8">
        <w:rPr>
          <w:rFonts w:ascii="Times New Roman" w:hAnsi="Times New Roman"/>
          <w:sz w:val="24"/>
          <w:szCs w:val="24"/>
        </w:rPr>
        <w:t>Naujų prašymų priėmimas ir prašymų vertinimas stabdomas, kai paskolinamos</w:t>
      </w:r>
      <w:r w:rsidR="00527E22" w:rsidRPr="00B86BF8">
        <w:rPr>
          <w:rFonts w:ascii="Times New Roman" w:hAnsi="Times New Roman"/>
          <w:sz w:val="24"/>
          <w:szCs w:val="24"/>
        </w:rPr>
        <w:t xml:space="preserve"> (t.</w:t>
      </w:r>
      <w:r w:rsidR="00E371CE" w:rsidRPr="00B86BF8">
        <w:rPr>
          <w:rFonts w:ascii="Times New Roman" w:hAnsi="Times New Roman"/>
          <w:sz w:val="24"/>
          <w:szCs w:val="24"/>
        </w:rPr>
        <w:t xml:space="preserve"> </w:t>
      </w:r>
      <w:r w:rsidR="00527E22" w:rsidRPr="00B86BF8">
        <w:rPr>
          <w:rFonts w:ascii="Times New Roman" w:hAnsi="Times New Roman"/>
          <w:sz w:val="24"/>
          <w:szCs w:val="24"/>
        </w:rPr>
        <w:t xml:space="preserve">y. FT paskolina visas </w:t>
      </w:r>
      <w:r w:rsidR="001336B0" w:rsidRPr="00B86BF8">
        <w:rPr>
          <w:rFonts w:ascii="Times New Roman" w:hAnsi="Times New Roman"/>
          <w:sz w:val="24"/>
          <w:szCs w:val="24"/>
        </w:rPr>
        <w:t>Priemon</w:t>
      </w:r>
      <w:r w:rsidR="00527E22" w:rsidRPr="00B86BF8">
        <w:rPr>
          <w:rFonts w:ascii="Times New Roman" w:hAnsi="Times New Roman"/>
          <w:sz w:val="24"/>
          <w:szCs w:val="24"/>
        </w:rPr>
        <w:t>ės „Alternatyva“ lėšas Paskolos gavėjams)</w:t>
      </w:r>
      <w:r w:rsidRPr="00B86BF8">
        <w:rPr>
          <w:rFonts w:ascii="Times New Roman" w:hAnsi="Times New Roman"/>
          <w:sz w:val="24"/>
          <w:szCs w:val="24"/>
        </w:rPr>
        <w:t xml:space="preserve"> visos Priemonės </w:t>
      </w:r>
      <w:r w:rsidR="00B1254B" w:rsidRPr="00B86BF8">
        <w:rPr>
          <w:rFonts w:ascii="Times New Roman" w:hAnsi="Times New Roman"/>
          <w:sz w:val="24"/>
          <w:szCs w:val="24"/>
        </w:rPr>
        <w:t xml:space="preserve">„Alternatyva“ </w:t>
      </w:r>
      <w:r w:rsidRPr="00B86BF8">
        <w:rPr>
          <w:rFonts w:ascii="Times New Roman" w:hAnsi="Times New Roman"/>
          <w:sz w:val="24"/>
          <w:szCs w:val="24"/>
        </w:rPr>
        <w:t>lėšos Aprašo reikalavimus atitikusiems FT</w:t>
      </w:r>
      <w:r w:rsidR="00274CE9" w:rsidRPr="00B86BF8">
        <w:rPr>
          <w:rFonts w:ascii="Times New Roman" w:hAnsi="Times New Roman"/>
          <w:sz w:val="24"/>
          <w:szCs w:val="24"/>
        </w:rPr>
        <w:t>.</w:t>
      </w:r>
    </w:p>
    <w:p w14:paraId="58C77B30" w14:textId="77777777" w:rsidR="00786928" w:rsidRPr="00B86BF8" w:rsidRDefault="00CF3143"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B86BF8">
        <w:rPr>
          <w:rFonts w:ascii="Times New Roman" w:hAnsi="Times New Roman"/>
          <w:sz w:val="24"/>
          <w:szCs w:val="24"/>
        </w:rPr>
        <w:t>Preten</w:t>
      </w:r>
      <w:r w:rsidR="00094741" w:rsidRPr="00B86BF8">
        <w:rPr>
          <w:rFonts w:ascii="Times New Roman" w:hAnsi="Times New Roman"/>
          <w:sz w:val="24"/>
          <w:szCs w:val="24"/>
        </w:rPr>
        <w:t xml:space="preserve">zijos </w:t>
      </w:r>
      <w:r w:rsidR="005E7AA1" w:rsidRPr="00B86BF8">
        <w:rPr>
          <w:rFonts w:ascii="Times New Roman" w:hAnsi="Times New Roman"/>
          <w:sz w:val="24"/>
          <w:szCs w:val="24"/>
        </w:rPr>
        <w:t xml:space="preserve">dėl </w:t>
      </w:r>
      <w:r w:rsidR="001E2D60" w:rsidRPr="00B86BF8">
        <w:rPr>
          <w:rFonts w:ascii="Times New Roman" w:hAnsi="Times New Roman"/>
          <w:sz w:val="24"/>
          <w:szCs w:val="24"/>
        </w:rPr>
        <w:t xml:space="preserve">priimtų sprendimų teikiamos </w:t>
      </w:r>
      <w:r w:rsidR="004679BA" w:rsidRPr="00B86BF8">
        <w:rPr>
          <w:rFonts w:ascii="Times New Roman" w:hAnsi="Times New Roman"/>
          <w:sz w:val="24"/>
          <w:szCs w:val="24"/>
        </w:rPr>
        <w:t>„</w:t>
      </w:r>
      <w:r w:rsidR="003C4866" w:rsidRPr="00B86BF8">
        <w:rPr>
          <w:rFonts w:ascii="Times New Roman" w:hAnsi="Times New Roman"/>
          <w:sz w:val="24"/>
          <w:szCs w:val="24"/>
        </w:rPr>
        <w:t>Invegai“</w:t>
      </w:r>
      <w:r w:rsidR="001E2D60" w:rsidRPr="00B86BF8">
        <w:rPr>
          <w:rFonts w:ascii="Times New Roman" w:hAnsi="Times New Roman"/>
          <w:sz w:val="24"/>
          <w:szCs w:val="24"/>
        </w:rPr>
        <w:t>, kuri pretenzij</w:t>
      </w:r>
      <w:r w:rsidR="005C71E8" w:rsidRPr="00B86BF8">
        <w:rPr>
          <w:rFonts w:ascii="Times New Roman" w:hAnsi="Times New Roman"/>
          <w:sz w:val="24"/>
          <w:szCs w:val="24"/>
        </w:rPr>
        <w:t>ą</w:t>
      </w:r>
      <w:r w:rsidR="001E2D60" w:rsidRPr="00B86BF8">
        <w:rPr>
          <w:rFonts w:ascii="Times New Roman" w:hAnsi="Times New Roman"/>
          <w:sz w:val="24"/>
          <w:szCs w:val="24"/>
        </w:rPr>
        <w:t xml:space="preserve"> </w:t>
      </w:r>
      <w:r w:rsidR="00286A8C" w:rsidRPr="00B86BF8">
        <w:rPr>
          <w:rFonts w:ascii="Times New Roman" w:hAnsi="Times New Roman"/>
          <w:sz w:val="24"/>
          <w:szCs w:val="24"/>
        </w:rPr>
        <w:t>išnagrinėja</w:t>
      </w:r>
      <w:r w:rsidR="001E2D60" w:rsidRPr="00B86BF8">
        <w:rPr>
          <w:rFonts w:ascii="Times New Roman" w:hAnsi="Times New Roman"/>
          <w:sz w:val="24"/>
          <w:szCs w:val="24"/>
        </w:rPr>
        <w:t xml:space="preserve"> </w:t>
      </w:r>
      <w:r w:rsidR="00286A8C" w:rsidRPr="00B86BF8">
        <w:rPr>
          <w:rFonts w:ascii="Times New Roman" w:hAnsi="Times New Roman"/>
          <w:sz w:val="24"/>
          <w:szCs w:val="24"/>
        </w:rPr>
        <w:t xml:space="preserve">ne vėliau kaip per </w:t>
      </w:r>
      <w:r w:rsidR="005C71E8" w:rsidRPr="00B86BF8">
        <w:rPr>
          <w:rFonts w:ascii="Times New Roman" w:hAnsi="Times New Roman"/>
          <w:sz w:val="24"/>
          <w:szCs w:val="24"/>
        </w:rPr>
        <w:t>20</w:t>
      </w:r>
      <w:r w:rsidR="00286A8C" w:rsidRPr="00B86BF8">
        <w:rPr>
          <w:rFonts w:ascii="Times New Roman" w:hAnsi="Times New Roman"/>
          <w:sz w:val="24"/>
          <w:szCs w:val="24"/>
        </w:rPr>
        <w:t xml:space="preserve"> darbo dienų.</w:t>
      </w:r>
      <w:r w:rsidR="00D82B01" w:rsidRPr="00B86BF8">
        <w:rPr>
          <w:rFonts w:ascii="Times New Roman" w:hAnsi="Times New Roman"/>
          <w:sz w:val="24"/>
          <w:szCs w:val="24"/>
        </w:rPr>
        <w:t xml:space="preserve"> </w:t>
      </w:r>
      <w:r w:rsidR="0096641C" w:rsidRPr="00B86BF8">
        <w:rPr>
          <w:rFonts w:ascii="Times New Roman" w:hAnsi="Times New Roman"/>
          <w:sz w:val="24"/>
          <w:szCs w:val="24"/>
        </w:rPr>
        <w:t>„Invegos“</w:t>
      </w:r>
      <w:r w:rsidR="00962B93" w:rsidRPr="00B86BF8">
        <w:rPr>
          <w:rFonts w:ascii="Times New Roman" w:hAnsi="Times New Roman"/>
          <w:sz w:val="24"/>
          <w:szCs w:val="24"/>
        </w:rPr>
        <w:t xml:space="preserve"> </w:t>
      </w:r>
      <w:r w:rsidR="00850A5E" w:rsidRPr="00B86BF8">
        <w:rPr>
          <w:rFonts w:ascii="Times New Roman" w:hAnsi="Times New Roman"/>
          <w:sz w:val="24"/>
          <w:szCs w:val="24"/>
        </w:rPr>
        <w:t>veiksmai ar sprendimai</w:t>
      </w:r>
      <w:r w:rsidR="00BF2499" w:rsidRPr="00B86BF8">
        <w:rPr>
          <w:rFonts w:ascii="Times New Roman" w:hAnsi="Times New Roman"/>
          <w:sz w:val="24"/>
          <w:szCs w:val="24"/>
        </w:rPr>
        <w:t xml:space="preserve"> </w:t>
      </w:r>
      <w:r w:rsidR="003E5FC0" w:rsidRPr="00B86BF8">
        <w:rPr>
          <w:rFonts w:ascii="Times New Roman" w:hAnsi="Times New Roman"/>
          <w:sz w:val="24"/>
          <w:szCs w:val="24"/>
        </w:rPr>
        <w:t xml:space="preserve">gali būti skundžiami </w:t>
      </w:r>
      <w:r w:rsidR="00850A5E" w:rsidRPr="00B86BF8">
        <w:rPr>
          <w:rFonts w:ascii="Times New Roman" w:hAnsi="Times New Roman"/>
          <w:sz w:val="24"/>
          <w:szCs w:val="24"/>
        </w:rPr>
        <w:t xml:space="preserve">Lietuvos Respublikos </w:t>
      </w:r>
      <w:r w:rsidR="00D82B01" w:rsidRPr="00B86BF8">
        <w:rPr>
          <w:rFonts w:ascii="Times New Roman" w:hAnsi="Times New Roman"/>
          <w:sz w:val="24"/>
          <w:szCs w:val="24"/>
        </w:rPr>
        <w:t>įstatymų nustatyta tvarka.</w:t>
      </w:r>
    </w:p>
    <w:p w14:paraId="77CDC1D7" w14:textId="77777777" w:rsidR="00D82B01" w:rsidRPr="00B86BF8"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2B925A68" w14:textId="77777777" w:rsidR="003A479B" w:rsidRPr="00B86BF8" w:rsidRDefault="007A0E2B"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B86BF8">
        <w:rPr>
          <w:rFonts w:ascii="Times New Roman" w:hAnsi="Times New Roman"/>
          <w:b/>
          <w:bCs/>
          <w:sz w:val="24"/>
          <w:szCs w:val="24"/>
        </w:rPr>
        <w:t xml:space="preserve">TINKAMUMO </w:t>
      </w:r>
      <w:r w:rsidR="00266D32" w:rsidRPr="00B86BF8">
        <w:rPr>
          <w:rFonts w:ascii="Times New Roman" w:hAnsi="Times New Roman"/>
          <w:b/>
          <w:bCs/>
          <w:sz w:val="24"/>
          <w:szCs w:val="24"/>
        </w:rPr>
        <w:t xml:space="preserve">REIKALAVIMAI </w:t>
      </w:r>
    </w:p>
    <w:p w14:paraId="28A300A7" w14:textId="77777777" w:rsidR="001E73A9" w:rsidRPr="00B86BF8"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105CDB57" w14:textId="77777777" w:rsidR="00FF7511" w:rsidRPr="00B86BF8" w:rsidRDefault="00EB7004"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RPr="00B86BF8" w:rsidSect="006968FD">
          <w:headerReference w:type="default" r:id="rId14"/>
          <w:footerReference w:type="default" r:id="rId15"/>
          <w:pgSz w:w="11906" w:h="16838"/>
          <w:pgMar w:top="993" w:right="709" w:bottom="851" w:left="1701" w:header="454" w:footer="567" w:gutter="0"/>
          <w:cols w:space="1296"/>
          <w:titlePg/>
          <w:docGrid w:linePitch="360"/>
        </w:sectPr>
      </w:pPr>
      <w:r w:rsidRPr="00B86BF8">
        <w:rPr>
          <w:rFonts w:ascii="Times New Roman" w:hAnsi="Times New Roman"/>
          <w:bCs/>
          <w:sz w:val="24"/>
          <w:szCs w:val="24"/>
        </w:rPr>
        <w:t xml:space="preserve">5.1. </w:t>
      </w:r>
      <w:r w:rsidR="0085016C" w:rsidRPr="00B86BF8">
        <w:rPr>
          <w:rFonts w:ascii="Times New Roman" w:hAnsi="Times New Roman"/>
          <w:bCs/>
          <w:sz w:val="24"/>
          <w:szCs w:val="24"/>
        </w:rPr>
        <w:t>P</w:t>
      </w:r>
      <w:r w:rsidR="0025588C" w:rsidRPr="00B86BF8">
        <w:rPr>
          <w:rFonts w:ascii="Times New Roman" w:hAnsi="Times New Roman"/>
          <w:bCs/>
          <w:sz w:val="24"/>
          <w:szCs w:val="24"/>
        </w:rPr>
        <w:t>rašymus</w:t>
      </w:r>
      <w:r w:rsidR="0085016C" w:rsidRPr="00B86BF8">
        <w:rPr>
          <w:rFonts w:ascii="Times New Roman" w:hAnsi="Times New Roman"/>
          <w:bCs/>
          <w:sz w:val="24"/>
          <w:szCs w:val="24"/>
        </w:rPr>
        <w:t xml:space="preserve"> </w:t>
      </w:r>
      <w:r w:rsidR="00E87AAE" w:rsidRPr="00B86BF8">
        <w:rPr>
          <w:rFonts w:ascii="Times New Roman" w:hAnsi="Times New Roman"/>
          <w:bCs/>
          <w:sz w:val="24"/>
          <w:szCs w:val="24"/>
        </w:rPr>
        <w:t xml:space="preserve">dėl </w:t>
      </w:r>
      <w:r w:rsidR="005C71E8" w:rsidRPr="00B86BF8">
        <w:rPr>
          <w:rFonts w:ascii="Times New Roman" w:hAnsi="Times New Roman"/>
          <w:bCs/>
          <w:sz w:val="24"/>
          <w:szCs w:val="24"/>
        </w:rPr>
        <w:t>S</w:t>
      </w:r>
      <w:r w:rsidR="0025588C" w:rsidRPr="00B86BF8">
        <w:rPr>
          <w:rFonts w:ascii="Times New Roman" w:hAnsi="Times New Roman"/>
          <w:bCs/>
          <w:sz w:val="24"/>
          <w:szCs w:val="24"/>
        </w:rPr>
        <w:t xml:space="preserve">utarties sudarymo </w:t>
      </w:r>
      <w:r w:rsidR="0085016C" w:rsidRPr="00B86BF8">
        <w:rPr>
          <w:rFonts w:ascii="Times New Roman" w:hAnsi="Times New Roman"/>
          <w:bCs/>
          <w:sz w:val="24"/>
          <w:szCs w:val="24"/>
        </w:rPr>
        <w:t>teik</w:t>
      </w:r>
      <w:r w:rsidR="003A479B" w:rsidRPr="00B86BF8">
        <w:rPr>
          <w:rFonts w:ascii="Times New Roman" w:hAnsi="Times New Roman"/>
          <w:bCs/>
          <w:sz w:val="24"/>
          <w:szCs w:val="24"/>
        </w:rPr>
        <w:t xml:space="preserve">iantys </w:t>
      </w:r>
      <w:r w:rsidR="00266D32" w:rsidRPr="00B86BF8">
        <w:rPr>
          <w:rFonts w:ascii="Times New Roman" w:hAnsi="Times New Roman"/>
          <w:bCs/>
          <w:sz w:val="24"/>
          <w:szCs w:val="24"/>
        </w:rPr>
        <w:t>FT</w:t>
      </w:r>
      <w:r w:rsidR="003A479B" w:rsidRPr="00B86BF8">
        <w:rPr>
          <w:rFonts w:ascii="Times New Roman" w:hAnsi="Times New Roman"/>
          <w:bCs/>
          <w:sz w:val="24"/>
          <w:szCs w:val="24"/>
        </w:rPr>
        <w:t xml:space="preserve"> turi atitikti </w:t>
      </w:r>
      <w:r w:rsidR="002E5B78" w:rsidRPr="00B86BF8">
        <w:rPr>
          <w:rFonts w:ascii="Times New Roman" w:hAnsi="Times New Roman"/>
          <w:bCs/>
          <w:sz w:val="24"/>
          <w:szCs w:val="24"/>
        </w:rPr>
        <w:t xml:space="preserve">tinkamumo </w:t>
      </w:r>
      <w:r w:rsidR="00266D32" w:rsidRPr="00B86BF8">
        <w:rPr>
          <w:rFonts w:ascii="Times New Roman" w:hAnsi="Times New Roman"/>
          <w:bCs/>
          <w:sz w:val="24"/>
          <w:szCs w:val="24"/>
        </w:rPr>
        <w:t>reikalavimus</w:t>
      </w:r>
      <w:r w:rsidR="002E5B78" w:rsidRPr="00B86BF8">
        <w:rPr>
          <w:rFonts w:ascii="Times New Roman" w:hAnsi="Times New Roman"/>
          <w:bCs/>
          <w:sz w:val="24"/>
          <w:szCs w:val="24"/>
        </w:rPr>
        <w:t>, nurodytus</w:t>
      </w:r>
      <w:r w:rsidR="009763AC" w:rsidRPr="00B86BF8">
        <w:rPr>
          <w:rFonts w:ascii="Times New Roman" w:hAnsi="Times New Roman"/>
          <w:bCs/>
          <w:sz w:val="24"/>
          <w:szCs w:val="24"/>
        </w:rPr>
        <w:t xml:space="preserve"> </w:t>
      </w:r>
      <w:r w:rsidR="00A3031C" w:rsidRPr="00B86BF8">
        <w:rPr>
          <w:rFonts w:ascii="Times New Roman" w:hAnsi="Times New Roman"/>
          <w:bCs/>
          <w:sz w:val="24"/>
          <w:szCs w:val="24"/>
        </w:rPr>
        <w:t>1 lentelė</w:t>
      </w:r>
      <w:r w:rsidR="009345E4" w:rsidRPr="00B86BF8">
        <w:rPr>
          <w:rFonts w:ascii="Times New Roman" w:hAnsi="Times New Roman"/>
          <w:bCs/>
          <w:sz w:val="24"/>
          <w:szCs w:val="24"/>
        </w:rPr>
        <w:t>je</w:t>
      </w:r>
      <w:r w:rsidR="00A71989" w:rsidRPr="00B86BF8">
        <w:rPr>
          <w:rFonts w:ascii="Times New Roman" w:hAnsi="Times New Roman"/>
          <w:bCs/>
          <w:sz w:val="24"/>
          <w:szCs w:val="24"/>
        </w:rPr>
        <w:t>.</w:t>
      </w:r>
    </w:p>
    <w:p w14:paraId="555755D2" w14:textId="77777777" w:rsidR="00FD05FB" w:rsidRPr="00B86BF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r w:rsidRPr="00B86BF8">
        <w:rPr>
          <w:rFonts w:ascii="Times New Roman" w:hAnsi="Times New Roman"/>
          <w:bCs/>
          <w:sz w:val="24"/>
          <w:szCs w:val="24"/>
        </w:rPr>
        <w:lastRenderedPageBreak/>
        <w:t>1 lentelė</w:t>
      </w:r>
    </w:p>
    <w:p w14:paraId="1284427E" w14:textId="77777777" w:rsidR="00A3031C" w:rsidRPr="00B86BF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402"/>
        <w:gridCol w:w="3724"/>
        <w:gridCol w:w="5206"/>
      </w:tblGrid>
      <w:tr w:rsidR="00A3031C" w:rsidRPr="00B86BF8" w14:paraId="0F29EE29" w14:textId="77777777" w:rsidTr="009167F4">
        <w:tc>
          <w:tcPr>
            <w:tcW w:w="2972" w:type="dxa"/>
          </w:tcPr>
          <w:p w14:paraId="76F79025" w14:textId="38E8530B" w:rsidR="009B7B60" w:rsidRPr="00B86BF8" w:rsidRDefault="009B7B60" w:rsidP="003929B4">
            <w:pPr>
              <w:spacing w:after="0"/>
              <w:jc w:val="both"/>
              <w:rPr>
                <w:rFonts w:ascii="Times New Roman" w:hAnsi="Times New Roman" w:cs="Times New Roman"/>
                <w:b/>
                <w:bCs/>
              </w:rPr>
            </w:pPr>
            <w:r w:rsidRPr="00B86BF8">
              <w:rPr>
                <w:rFonts w:ascii="Times New Roman" w:hAnsi="Times New Roman" w:cs="Times New Roman"/>
                <w:b/>
                <w:bCs/>
              </w:rPr>
              <w:t>Kriterijus</w:t>
            </w:r>
            <w:r w:rsidR="00F87527" w:rsidRPr="00B86BF8">
              <w:rPr>
                <w:rFonts w:ascii="Times New Roman" w:hAnsi="Times New Roman" w:cs="Times New Roman"/>
                <w:b/>
                <w:bCs/>
              </w:rPr>
              <w:t>/teikiama informacija</w:t>
            </w:r>
          </w:p>
        </w:tc>
        <w:tc>
          <w:tcPr>
            <w:tcW w:w="3402" w:type="dxa"/>
          </w:tcPr>
          <w:p w14:paraId="1261DA60" w14:textId="77777777" w:rsidR="009B7B60" w:rsidRPr="00B86BF8" w:rsidRDefault="009B7B60" w:rsidP="003929B4">
            <w:pPr>
              <w:spacing w:after="0"/>
              <w:jc w:val="both"/>
              <w:rPr>
                <w:rFonts w:ascii="Times New Roman" w:hAnsi="Times New Roman" w:cs="Times New Roman"/>
                <w:b/>
                <w:bCs/>
              </w:rPr>
            </w:pPr>
            <w:r w:rsidRPr="00B86BF8">
              <w:rPr>
                <w:rFonts w:ascii="Times New Roman" w:hAnsi="Times New Roman" w:cs="Times New Roman"/>
                <w:b/>
                <w:bCs/>
              </w:rPr>
              <w:t xml:space="preserve">Lietuvos banko prižiūrimas </w:t>
            </w:r>
            <w:r w:rsidR="00F30EC1" w:rsidRPr="00B86BF8">
              <w:rPr>
                <w:rFonts w:ascii="Times New Roman" w:hAnsi="Times New Roman" w:cs="Times New Roman"/>
                <w:b/>
                <w:bCs/>
              </w:rPr>
              <w:t>FT</w:t>
            </w:r>
          </w:p>
        </w:tc>
        <w:tc>
          <w:tcPr>
            <w:tcW w:w="3724" w:type="dxa"/>
          </w:tcPr>
          <w:p w14:paraId="4F033CF6" w14:textId="77777777" w:rsidR="009B7B60" w:rsidRPr="00B86BF8" w:rsidRDefault="009B7B60" w:rsidP="003929B4">
            <w:pPr>
              <w:spacing w:after="0"/>
              <w:jc w:val="both"/>
              <w:rPr>
                <w:rFonts w:ascii="Times New Roman" w:hAnsi="Times New Roman" w:cs="Times New Roman"/>
                <w:b/>
                <w:bCs/>
              </w:rPr>
            </w:pPr>
            <w:r w:rsidRPr="00B86BF8">
              <w:rPr>
                <w:rFonts w:ascii="Times New Roman" w:hAnsi="Times New Roman" w:cs="Times New Roman"/>
                <w:b/>
                <w:bCs/>
              </w:rPr>
              <w:t xml:space="preserve">Lietuvos banko neprižiūrimas </w:t>
            </w:r>
            <w:r w:rsidR="00F30EC1" w:rsidRPr="00B86BF8">
              <w:rPr>
                <w:rFonts w:ascii="Times New Roman" w:hAnsi="Times New Roman" w:cs="Times New Roman"/>
                <w:b/>
                <w:bCs/>
              </w:rPr>
              <w:t>FT</w:t>
            </w:r>
          </w:p>
        </w:tc>
        <w:tc>
          <w:tcPr>
            <w:tcW w:w="5206" w:type="dxa"/>
          </w:tcPr>
          <w:p w14:paraId="4A468A06" w14:textId="77777777" w:rsidR="009B7B60" w:rsidRPr="00B86BF8" w:rsidRDefault="00A3031C" w:rsidP="003929B4">
            <w:pPr>
              <w:spacing w:after="0"/>
              <w:jc w:val="both"/>
              <w:rPr>
                <w:rFonts w:ascii="Times New Roman" w:hAnsi="Times New Roman"/>
                <w:b/>
                <w:bCs/>
              </w:rPr>
            </w:pPr>
            <w:r w:rsidRPr="00B86BF8">
              <w:rPr>
                <w:rFonts w:ascii="Times New Roman" w:hAnsi="Times New Roman"/>
                <w:b/>
                <w:bCs/>
              </w:rPr>
              <w:t>P</w:t>
            </w:r>
            <w:r w:rsidR="00080232" w:rsidRPr="00B86BF8">
              <w:rPr>
                <w:rFonts w:ascii="Times New Roman" w:hAnsi="Times New Roman"/>
                <w:b/>
                <w:bCs/>
              </w:rPr>
              <w:t>aaiškinimai</w:t>
            </w:r>
            <w:r w:rsidRPr="00B86BF8">
              <w:rPr>
                <w:rFonts w:ascii="Times New Roman" w:hAnsi="Times New Roman"/>
                <w:b/>
                <w:bCs/>
              </w:rPr>
              <w:t xml:space="preserve"> dėl teikiamų dokumentų ir informacijos</w:t>
            </w:r>
          </w:p>
        </w:tc>
      </w:tr>
      <w:tr w:rsidR="00A3031C" w:rsidRPr="00B86BF8" w14:paraId="5E3A368D" w14:textId="77777777" w:rsidTr="009167F4">
        <w:tc>
          <w:tcPr>
            <w:tcW w:w="2972" w:type="dxa"/>
          </w:tcPr>
          <w:p w14:paraId="56A25689" w14:textId="77777777" w:rsidR="00F30EC1" w:rsidRPr="00B86BF8" w:rsidRDefault="00F30EC1" w:rsidP="003929B4">
            <w:pPr>
              <w:spacing w:after="0"/>
              <w:jc w:val="both"/>
              <w:rPr>
                <w:rFonts w:ascii="Times New Roman" w:hAnsi="Times New Roman" w:cs="Times New Roman"/>
                <w:b/>
                <w:bCs/>
              </w:rPr>
            </w:pPr>
            <w:r w:rsidRPr="00B86BF8">
              <w:rPr>
                <w:rFonts w:ascii="Times New Roman" w:hAnsi="Times New Roman"/>
                <w:b/>
                <w:bCs/>
              </w:rPr>
              <w:t>FT yra finansų įstaiga, veikianti pagal Lietuvos Respublikos finansų įstaigų įstatymą, turinti teisę teikti finansines paslaugas</w:t>
            </w:r>
          </w:p>
        </w:tc>
        <w:tc>
          <w:tcPr>
            <w:tcW w:w="3402" w:type="dxa"/>
          </w:tcPr>
          <w:p w14:paraId="2CDEB617" w14:textId="77777777" w:rsidR="00F30EC1" w:rsidRPr="00B86BF8" w:rsidRDefault="00BF7FC9" w:rsidP="0038367D">
            <w:pPr>
              <w:spacing w:after="0"/>
              <w:jc w:val="both"/>
              <w:rPr>
                <w:rFonts w:ascii="Times New Roman" w:hAnsi="Times New Roman" w:cs="Times New Roman"/>
              </w:rPr>
            </w:pPr>
            <w:r w:rsidRPr="00B86BF8">
              <w:rPr>
                <w:rFonts w:ascii="Times New Roman" w:hAnsi="Times New Roman" w:cs="Times New Roman"/>
              </w:rPr>
              <w:t xml:space="preserve">FT </w:t>
            </w:r>
            <w:r w:rsidR="0038367D" w:rsidRPr="00B86BF8">
              <w:rPr>
                <w:rFonts w:ascii="Times New Roman" w:hAnsi="Times New Roman" w:cs="Times New Roman"/>
              </w:rPr>
              <w:t>yra Lietuvos banko prižiūrimų finansų rinkų dalyvių sąraše</w:t>
            </w:r>
          </w:p>
        </w:tc>
        <w:tc>
          <w:tcPr>
            <w:tcW w:w="3724" w:type="dxa"/>
          </w:tcPr>
          <w:p w14:paraId="76FC4E8B" w14:textId="77777777" w:rsidR="00F30EC1" w:rsidRPr="00B86BF8" w:rsidRDefault="00F30EC1" w:rsidP="0038367D">
            <w:pPr>
              <w:spacing w:after="0"/>
              <w:jc w:val="both"/>
              <w:rPr>
                <w:rFonts w:ascii="Times New Roman" w:hAnsi="Times New Roman" w:cs="Times New Roman"/>
              </w:rPr>
            </w:pPr>
            <w:r w:rsidRPr="00B86BF8">
              <w:rPr>
                <w:rFonts w:ascii="Times New Roman" w:hAnsi="Times New Roman" w:cs="Times New Roman"/>
              </w:rPr>
              <w:t xml:space="preserve">FT </w:t>
            </w:r>
            <w:r w:rsidR="0038367D" w:rsidRPr="00B86BF8">
              <w:rPr>
                <w:rFonts w:ascii="Times New Roman" w:hAnsi="Times New Roman" w:cs="Times New Roman"/>
              </w:rPr>
              <w:t xml:space="preserve">turi </w:t>
            </w:r>
            <w:r w:rsidRPr="00B86BF8">
              <w:rPr>
                <w:rFonts w:ascii="Times New Roman" w:hAnsi="Times New Roman" w:cs="Times New Roman"/>
              </w:rPr>
              <w:t xml:space="preserve">teisę teikti </w:t>
            </w:r>
            <w:r w:rsidR="0038367D" w:rsidRPr="00B86BF8">
              <w:rPr>
                <w:rFonts w:ascii="Times New Roman" w:hAnsi="Times New Roman" w:cs="Times New Roman"/>
              </w:rPr>
              <w:t xml:space="preserve">finansavimo </w:t>
            </w:r>
            <w:r w:rsidRPr="00B86BF8">
              <w:rPr>
                <w:rFonts w:ascii="Times New Roman" w:hAnsi="Times New Roman" w:cs="Times New Roman"/>
              </w:rPr>
              <w:t>paslaugas</w:t>
            </w:r>
          </w:p>
        </w:tc>
        <w:tc>
          <w:tcPr>
            <w:tcW w:w="5206" w:type="dxa"/>
          </w:tcPr>
          <w:p w14:paraId="485E218F" w14:textId="77777777" w:rsidR="00F30EC1" w:rsidRPr="00B86BF8" w:rsidRDefault="0038367D" w:rsidP="0038367D">
            <w:pPr>
              <w:spacing w:after="0"/>
              <w:jc w:val="both"/>
              <w:rPr>
                <w:rFonts w:ascii="Times New Roman" w:hAnsi="Times New Roman"/>
              </w:rPr>
            </w:pPr>
            <w:r w:rsidRPr="00B86BF8">
              <w:rPr>
                <w:rFonts w:ascii="Times New Roman" w:hAnsi="Times New Roman" w:cs="Times New Roman"/>
              </w:rPr>
              <w:t xml:space="preserve">Lietuvos banko neprižiūrimas FT pateikia </w:t>
            </w:r>
            <w:r w:rsidR="00F30EC1" w:rsidRPr="00B86BF8">
              <w:rPr>
                <w:rFonts w:ascii="Times New Roman" w:hAnsi="Times New Roman" w:cs="Times New Roman"/>
              </w:rPr>
              <w:t>VĮ „Registrų centras“ išraš</w:t>
            </w:r>
            <w:r w:rsidRPr="00B86BF8">
              <w:rPr>
                <w:rFonts w:ascii="Times New Roman" w:hAnsi="Times New Roman" w:cs="Times New Roman"/>
              </w:rPr>
              <w:t>ą, kuriame nurodoma, kad FT teikia finansavimo paslaugas. Jeigu VĮ „Registrų centras“ išraše</w:t>
            </w:r>
            <w:r w:rsidR="00F30EC1" w:rsidRPr="00B86BF8">
              <w:rPr>
                <w:rFonts w:ascii="Times New Roman" w:hAnsi="Times New Roman" w:cs="Times New Roman"/>
              </w:rPr>
              <w:t xml:space="preserve"> nenurodoma FT veikla, nustatyta Lietuvos Respublikos finansų įstaigų įstatymo 3 straipsnyje, FT turi pateikti papildomus dokumentus ir paaiškinimus</w:t>
            </w:r>
            <w:r w:rsidRPr="00B86BF8">
              <w:rPr>
                <w:rFonts w:ascii="Times New Roman" w:hAnsi="Times New Roman" w:cs="Times New Roman"/>
              </w:rPr>
              <w:t xml:space="preserve"> (</w:t>
            </w:r>
            <w:r w:rsidR="00E03451" w:rsidRPr="00B86BF8">
              <w:rPr>
                <w:rFonts w:ascii="Times New Roman" w:hAnsi="Times New Roman" w:cs="Times New Roman"/>
              </w:rPr>
              <w:t>P</w:t>
            </w:r>
            <w:r w:rsidRPr="00B86BF8">
              <w:rPr>
                <w:rFonts w:ascii="Times New Roman" w:hAnsi="Times New Roman" w:cs="Times New Roman"/>
              </w:rPr>
              <w:t xml:space="preserve">riemonės </w:t>
            </w:r>
            <w:r w:rsidR="00E03451" w:rsidRPr="00B86BF8">
              <w:rPr>
                <w:rFonts w:ascii="Times New Roman" w:hAnsi="Times New Roman" w:cs="Times New Roman"/>
              </w:rPr>
              <w:t xml:space="preserve">„Alternatyva“ </w:t>
            </w:r>
            <w:r w:rsidRPr="00B86BF8">
              <w:rPr>
                <w:rFonts w:ascii="Times New Roman" w:hAnsi="Times New Roman" w:cs="Times New Roman"/>
              </w:rPr>
              <w:t>įgyvendinimo aprašyme)</w:t>
            </w:r>
            <w:r w:rsidR="00F30EC1" w:rsidRPr="00B86BF8">
              <w:rPr>
                <w:rFonts w:ascii="Times New Roman" w:hAnsi="Times New Roman" w:cs="Times New Roman"/>
              </w:rPr>
              <w:t xml:space="preserve">, iš kurių būtų galima įsitikinti, kad FT yra finansų įstaiga ir turi teisę teikti </w:t>
            </w:r>
            <w:r w:rsidRPr="00B86BF8">
              <w:rPr>
                <w:rFonts w:ascii="Times New Roman" w:hAnsi="Times New Roman" w:cs="Times New Roman"/>
              </w:rPr>
              <w:t xml:space="preserve">finansavimo </w:t>
            </w:r>
            <w:r w:rsidR="00F30EC1" w:rsidRPr="00B86BF8">
              <w:rPr>
                <w:rFonts w:ascii="Times New Roman" w:hAnsi="Times New Roman" w:cs="Times New Roman"/>
              </w:rPr>
              <w:t>paslaugas</w:t>
            </w:r>
          </w:p>
        </w:tc>
      </w:tr>
      <w:tr w:rsidR="00A3031C" w:rsidRPr="00B86BF8" w14:paraId="217EBDD5" w14:textId="77777777" w:rsidTr="009167F4">
        <w:tc>
          <w:tcPr>
            <w:tcW w:w="2972" w:type="dxa"/>
          </w:tcPr>
          <w:p w14:paraId="7A4BA3A0" w14:textId="77777777" w:rsidR="00F30EC1" w:rsidRPr="00B86BF8" w:rsidRDefault="00F30EC1" w:rsidP="003929B4">
            <w:pPr>
              <w:spacing w:after="0"/>
              <w:jc w:val="both"/>
              <w:rPr>
                <w:rFonts w:ascii="Times New Roman" w:hAnsi="Times New Roman" w:cs="Times New Roman"/>
                <w:b/>
                <w:bCs/>
              </w:rPr>
            </w:pPr>
            <w:r w:rsidRPr="00B86BF8">
              <w:rPr>
                <w:rFonts w:ascii="Times New Roman" w:hAnsi="Times New Roman" w:cs="Times New Roman"/>
                <w:b/>
                <w:bCs/>
              </w:rPr>
              <w:t>FT ir jo grupės valdymo struktūra</w:t>
            </w:r>
          </w:p>
        </w:tc>
        <w:tc>
          <w:tcPr>
            <w:tcW w:w="3402" w:type="dxa"/>
          </w:tcPr>
          <w:p w14:paraId="42D11A40" w14:textId="77777777" w:rsidR="00F30EC1" w:rsidRPr="00B86BF8" w:rsidRDefault="00F30EC1" w:rsidP="003929B4">
            <w:pPr>
              <w:spacing w:after="0"/>
              <w:jc w:val="both"/>
              <w:rPr>
                <w:rFonts w:ascii="Times New Roman" w:hAnsi="Times New Roman" w:cs="Times New Roman"/>
              </w:rPr>
            </w:pPr>
            <w:r w:rsidRPr="00B86BF8">
              <w:rPr>
                <w:rFonts w:ascii="Times New Roman" w:hAnsi="Times New Roman" w:cs="Times New Roman"/>
              </w:rPr>
              <w:t>Nereikia pateikti</w:t>
            </w:r>
          </w:p>
        </w:tc>
        <w:tc>
          <w:tcPr>
            <w:tcW w:w="3724" w:type="dxa"/>
          </w:tcPr>
          <w:p w14:paraId="6AE8DD18" w14:textId="77777777" w:rsidR="00F30EC1" w:rsidRPr="00B86BF8" w:rsidRDefault="00F30EC1" w:rsidP="003929B4">
            <w:pPr>
              <w:spacing w:after="0"/>
              <w:jc w:val="both"/>
              <w:rPr>
                <w:rFonts w:ascii="Times New Roman" w:hAnsi="Times New Roman" w:cs="Times New Roman"/>
              </w:rPr>
            </w:pPr>
            <w:r w:rsidRPr="00B86BF8">
              <w:rPr>
                <w:rFonts w:ascii="Times New Roman" w:hAnsi="Times New Roman" w:cs="Times New Roman"/>
              </w:rPr>
              <w:t>Privaloma pateikti</w:t>
            </w:r>
          </w:p>
        </w:tc>
        <w:tc>
          <w:tcPr>
            <w:tcW w:w="5206" w:type="dxa"/>
          </w:tcPr>
          <w:p w14:paraId="0276C561" w14:textId="77777777" w:rsidR="00F30EC1" w:rsidRPr="00B86BF8" w:rsidRDefault="00962812" w:rsidP="00962812">
            <w:pPr>
              <w:spacing w:after="0"/>
              <w:jc w:val="both"/>
              <w:rPr>
                <w:rFonts w:ascii="Times New Roman" w:hAnsi="Times New Roman"/>
              </w:rPr>
            </w:pPr>
            <w:r w:rsidRPr="00B86BF8">
              <w:rPr>
                <w:rFonts w:ascii="Times New Roman" w:hAnsi="Times New Roman"/>
              </w:rPr>
              <w:t xml:space="preserve">Informacija pateikiama </w:t>
            </w:r>
            <w:r w:rsidR="00E03451" w:rsidRPr="00B86BF8">
              <w:rPr>
                <w:rFonts w:ascii="Times New Roman" w:hAnsi="Times New Roman"/>
              </w:rPr>
              <w:t>P</w:t>
            </w:r>
            <w:r w:rsidR="0038367D" w:rsidRPr="00B86BF8">
              <w:rPr>
                <w:rFonts w:ascii="Times New Roman" w:hAnsi="Times New Roman" w:cs="Times New Roman"/>
              </w:rPr>
              <w:t xml:space="preserve">riemonės </w:t>
            </w:r>
            <w:r w:rsidR="00E03451" w:rsidRPr="00B86BF8">
              <w:rPr>
                <w:rFonts w:ascii="Times New Roman" w:hAnsi="Times New Roman" w:cs="Times New Roman"/>
              </w:rPr>
              <w:t xml:space="preserve">„Alternatyva“ </w:t>
            </w:r>
            <w:r w:rsidR="0038367D" w:rsidRPr="00B86BF8">
              <w:rPr>
                <w:rFonts w:ascii="Times New Roman" w:hAnsi="Times New Roman" w:cs="Times New Roman"/>
              </w:rPr>
              <w:t>įgyvendinimo aprašyme</w:t>
            </w:r>
          </w:p>
        </w:tc>
      </w:tr>
      <w:tr w:rsidR="00A3031C" w:rsidRPr="00B86BF8" w14:paraId="480C7174" w14:textId="77777777" w:rsidTr="009167F4">
        <w:trPr>
          <w:trHeight w:val="1833"/>
        </w:trPr>
        <w:tc>
          <w:tcPr>
            <w:tcW w:w="2972" w:type="dxa"/>
            <w:vMerge w:val="restart"/>
          </w:tcPr>
          <w:p w14:paraId="16455293" w14:textId="77777777" w:rsidR="00F30EC1" w:rsidRPr="00B86BF8" w:rsidRDefault="00F30EC1" w:rsidP="003929B4">
            <w:pPr>
              <w:spacing w:after="0"/>
              <w:jc w:val="both"/>
              <w:rPr>
                <w:rFonts w:ascii="Times New Roman" w:hAnsi="Times New Roman" w:cs="Times New Roman"/>
                <w:b/>
                <w:bCs/>
              </w:rPr>
            </w:pPr>
            <w:r w:rsidRPr="00B86BF8">
              <w:rPr>
                <w:rFonts w:ascii="Times New Roman" w:hAnsi="Times New Roman" w:cs="Times New Roman"/>
                <w:b/>
                <w:bCs/>
              </w:rPr>
              <w:t>Patirtis ir reputacija</w:t>
            </w:r>
          </w:p>
        </w:tc>
        <w:tc>
          <w:tcPr>
            <w:tcW w:w="3402" w:type="dxa"/>
          </w:tcPr>
          <w:p w14:paraId="7C7D92BD" w14:textId="77777777" w:rsidR="00F30EC1" w:rsidRPr="00B86BF8" w:rsidRDefault="00350D4E" w:rsidP="003929B4">
            <w:pPr>
              <w:spacing w:after="0"/>
              <w:jc w:val="both"/>
              <w:rPr>
                <w:rFonts w:ascii="Times New Roman" w:hAnsi="Times New Roman" w:cs="Times New Roman"/>
              </w:rPr>
            </w:pPr>
            <w:r w:rsidRPr="00B86BF8">
              <w:rPr>
                <w:rFonts w:ascii="Times New Roman" w:hAnsi="Times New Roman" w:cs="Times New Roman"/>
              </w:rPr>
              <w:t>Neturi būti taikomos Lietuvos banko poveikio priemonės, išskyrus įspėjimą, ar veiklos apribojimai remiantis Lietuvos banko duomenimis*</w:t>
            </w:r>
          </w:p>
        </w:tc>
        <w:tc>
          <w:tcPr>
            <w:tcW w:w="3724" w:type="dxa"/>
          </w:tcPr>
          <w:p w14:paraId="7873457B" w14:textId="77777777" w:rsidR="00F30EC1" w:rsidRPr="00B86BF8" w:rsidRDefault="00350D4E" w:rsidP="00DA151A">
            <w:pPr>
              <w:spacing w:after="0"/>
              <w:jc w:val="both"/>
              <w:rPr>
                <w:rFonts w:ascii="Times New Roman" w:hAnsi="Times New Roman" w:cs="Times New Roman"/>
              </w:rPr>
            </w:pPr>
            <w:r w:rsidRPr="00B86BF8">
              <w:rPr>
                <w:rFonts w:ascii="Times New Roman" w:hAnsi="Times New Roman"/>
              </w:rPr>
              <w:t>FT, su juo susiję asmenys*** ir 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793D8461" w14:textId="77777777" w:rsidR="00F30EC1" w:rsidRPr="00B86BF8" w:rsidRDefault="00D57E23" w:rsidP="000A3208">
            <w:pPr>
              <w:spacing w:after="0"/>
              <w:jc w:val="both"/>
              <w:rPr>
                <w:rFonts w:ascii="Times New Roman" w:hAnsi="Times New Roman"/>
              </w:rPr>
            </w:pPr>
            <w:r w:rsidRPr="00B86BF8">
              <w:rPr>
                <w:rFonts w:ascii="Times New Roman" w:hAnsi="Times New Roman"/>
              </w:rPr>
              <w:t xml:space="preserve">Informacija pateikiama </w:t>
            </w:r>
            <w:r w:rsidR="00D01B75" w:rsidRPr="00B86BF8">
              <w:rPr>
                <w:rFonts w:ascii="Times New Roman" w:hAnsi="Times New Roman"/>
              </w:rPr>
              <w:t>P</w:t>
            </w:r>
            <w:r w:rsidR="0038367D" w:rsidRPr="00B86BF8">
              <w:rPr>
                <w:rFonts w:ascii="Times New Roman" w:hAnsi="Times New Roman" w:cs="Times New Roman"/>
              </w:rPr>
              <w:t xml:space="preserve">riemonės </w:t>
            </w:r>
            <w:r w:rsidR="00D01B75" w:rsidRPr="00B86BF8">
              <w:rPr>
                <w:rFonts w:ascii="Times New Roman" w:hAnsi="Times New Roman" w:cs="Times New Roman"/>
              </w:rPr>
              <w:t xml:space="preserve">„Alternatyva“ </w:t>
            </w:r>
            <w:r w:rsidR="0038367D" w:rsidRPr="00B86BF8">
              <w:rPr>
                <w:rFonts w:ascii="Times New Roman" w:hAnsi="Times New Roman" w:cs="Times New Roman"/>
              </w:rPr>
              <w:t>įgyvendinimo aprašyme</w:t>
            </w:r>
            <w:r w:rsidR="004979CD" w:rsidRPr="00B86BF8">
              <w:rPr>
                <w:rFonts w:ascii="Times New Roman" w:hAnsi="Times New Roman"/>
              </w:rPr>
              <w:t xml:space="preserve"> </w:t>
            </w:r>
            <w:r w:rsidR="009763AC" w:rsidRPr="00B86BF8">
              <w:rPr>
                <w:rFonts w:ascii="Times New Roman" w:hAnsi="Times New Roman"/>
              </w:rPr>
              <w:t>ar kituose dokumentuose</w:t>
            </w:r>
          </w:p>
        </w:tc>
      </w:tr>
      <w:tr w:rsidR="00A3031C" w:rsidRPr="00B86BF8" w14:paraId="6FD37EA8" w14:textId="77777777" w:rsidTr="009167F4">
        <w:tc>
          <w:tcPr>
            <w:tcW w:w="2972" w:type="dxa"/>
            <w:vMerge/>
          </w:tcPr>
          <w:p w14:paraId="20693E7E" w14:textId="77777777" w:rsidR="00F30EC1" w:rsidRPr="00B86BF8" w:rsidRDefault="00F30EC1" w:rsidP="003929B4">
            <w:pPr>
              <w:spacing w:after="0"/>
              <w:jc w:val="both"/>
              <w:rPr>
                <w:rFonts w:ascii="Times New Roman" w:hAnsi="Times New Roman" w:cs="Times New Roman"/>
                <w:b/>
                <w:bCs/>
              </w:rPr>
            </w:pPr>
          </w:p>
        </w:tc>
        <w:tc>
          <w:tcPr>
            <w:tcW w:w="3402" w:type="dxa"/>
          </w:tcPr>
          <w:p w14:paraId="008F28F7" w14:textId="77777777" w:rsidR="00F30EC1" w:rsidRPr="00B86BF8" w:rsidRDefault="00B43A94" w:rsidP="00B43A94">
            <w:pPr>
              <w:spacing w:after="0"/>
              <w:jc w:val="both"/>
              <w:rPr>
                <w:rFonts w:ascii="Times New Roman" w:hAnsi="Times New Roman" w:cs="Times New Roman"/>
              </w:rPr>
            </w:pPr>
            <w:r w:rsidRPr="00B86BF8">
              <w:rPr>
                <w:rFonts w:ascii="Times New Roman" w:hAnsi="Times New Roman" w:cs="Times New Roman"/>
              </w:rPr>
              <w:t>Vadovai ir kreditavimo sprendimus priimantys asmenys turi turėti atitinkamą kvalifikaciją ir patirtį, leidžiančią tinkamai eiti pareigas*</w:t>
            </w:r>
          </w:p>
        </w:tc>
        <w:tc>
          <w:tcPr>
            <w:tcW w:w="3724" w:type="dxa"/>
          </w:tcPr>
          <w:p w14:paraId="0F234042" w14:textId="77777777" w:rsidR="00F30EC1" w:rsidRPr="00B86BF8" w:rsidRDefault="00711D77" w:rsidP="003929B4">
            <w:pPr>
              <w:spacing w:after="0"/>
              <w:jc w:val="both"/>
              <w:rPr>
                <w:rFonts w:ascii="Times New Roman" w:hAnsi="Times New Roman" w:cs="Times New Roman"/>
              </w:rPr>
            </w:pPr>
            <w:r w:rsidRPr="00B86BF8">
              <w:rPr>
                <w:rFonts w:ascii="Times New Roman" w:hAnsi="Times New Roman" w:cs="Times New Roman"/>
              </w:rPr>
              <w:t>FT v</w:t>
            </w:r>
            <w:r w:rsidR="00F30EC1" w:rsidRPr="00B86BF8">
              <w:rPr>
                <w:rFonts w:ascii="Times New Roman" w:hAnsi="Times New Roman" w:cs="Times New Roman"/>
              </w:rPr>
              <w:t>adovai ir kreditavimo sprendimus priimantys asmenys turi turėti atitinkamą kvalifikaciją ir patirtį, leidžiančią tinkamai eiti pareigas</w:t>
            </w:r>
          </w:p>
          <w:p w14:paraId="5664E41E" w14:textId="77777777" w:rsidR="00336EA2" w:rsidRPr="00B86BF8" w:rsidRDefault="00336EA2" w:rsidP="003929B4">
            <w:pPr>
              <w:spacing w:after="0"/>
              <w:jc w:val="both"/>
              <w:rPr>
                <w:rFonts w:ascii="Times New Roman" w:hAnsi="Times New Roman" w:cs="Times New Roman"/>
              </w:rPr>
            </w:pPr>
          </w:p>
        </w:tc>
        <w:tc>
          <w:tcPr>
            <w:tcW w:w="5206" w:type="dxa"/>
          </w:tcPr>
          <w:p w14:paraId="77902474" w14:textId="77777777" w:rsidR="00F30EC1" w:rsidRPr="00B86BF8" w:rsidRDefault="00B43A94" w:rsidP="00B43A94">
            <w:pPr>
              <w:spacing w:after="0"/>
              <w:jc w:val="both"/>
              <w:rPr>
                <w:rFonts w:ascii="Times New Roman" w:hAnsi="Times New Roman"/>
              </w:rPr>
            </w:pPr>
            <w:r w:rsidRPr="00B86BF8">
              <w:rPr>
                <w:rFonts w:ascii="Times New Roman" w:hAnsi="Times New Roman" w:cs="Times New Roman"/>
              </w:rPr>
              <w:t xml:space="preserve">FT </w:t>
            </w:r>
            <w:r w:rsidR="000E56E8" w:rsidRPr="00B86BF8">
              <w:rPr>
                <w:rFonts w:ascii="Times New Roman" w:hAnsi="Times New Roman" w:cs="Times New Roman"/>
              </w:rPr>
              <w:t xml:space="preserve">vadovų </w:t>
            </w:r>
            <w:r w:rsidR="007368F8" w:rsidRPr="00B86BF8">
              <w:rPr>
                <w:rFonts w:ascii="Times New Roman" w:hAnsi="Times New Roman" w:cs="Times New Roman"/>
              </w:rPr>
              <w:t xml:space="preserve">ir kreditavimo sprendimus priimančių asmenų </w:t>
            </w:r>
            <w:r w:rsidR="000E56E8" w:rsidRPr="00B86BF8">
              <w:rPr>
                <w:rFonts w:ascii="Times New Roman" w:hAnsi="Times New Roman" w:cs="Times New Roman"/>
              </w:rPr>
              <w:t>kvalifikacija ir patirtis vertinama, atsižvelgiant į asmens išsilavinimo lygį ir pobūdį, kvalifikacijos tobulinimą, profesinės veiklos ar darbo patirties pobūdį ir trukmę bei į kitus veiksnius, kurie gali turėti įtakos asmens kvalifikacijai ir patirčiai.</w:t>
            </w:r>
            <w:r w:rsidR="00962812" w:rsidRPr="00B86BF8">
              <w:rPr>
                <w:rFonts w:ascii="Times New Roman" w:hAnsi="Times New Roman" w:cs="Times New Roman"/>
              </w:rPr>
              <w:t xml:space="preserve"> Informacija pateikiama </w:t>
            </w:r>
            <w:r w:rsidR="00D01B75" w:rsidRPr="00B86BF8">
              <w:rPr>
                <w:rFonts w:ascii="Times New Roman" w:hAnsi="Times New Roman" w:cs="Times New Roman"/>
              </w:rPr>
              <w:t>P</w:t>
            </w:r>
            <w:r w:rsidR="007368F8" w:rsidRPr="00B86BF8">
              <w:rPr>
                <w:rFonts w:ascii="Times New Roman" w:hAnsi="Times New Roman" w:cs="Times New Roman"/>
              </w:rPr>
              <w:t xml:space="preserve">riemonės </w:t>
            </w:r>
            <w:r w:rsidR="00D01B75" w:rsidRPr="00B86BF8">
              <w:rPr>
                <w:rFonts w:ascii="Times New Roman" w:hAnsi="Times New Roman" w:cs="Times New Roman"/>
              </w:rPr>
              <w:t xml:space="preserve">„Alternatyva“ </w:t>
            </w:r>
            <w:r w:rsidR="007368F8" w:rsidRPr="00B86BF8">
              <w:rPr>
                <w:rFonts w:ascii="Times New Roman" w:hAnsi="Times New Roman" w:cs="Times New Roman"/>
              </w:rPr>
              <w:t>įgyvendinimo aprašyme</w:t>
            </w:r>
          </w:p>
        </w:tc>
      </w:tr>
      <w:tr w:rsidR="00A3031C" w:rsidRPr="00B86BF8" w14:paraId="6BBE2607" w14:textId="77777777" w:rsidTr="009167F4">
        <w:tc>
          <w:tcPr>
            <w:tcW w:w="2972" w:type="dxa"/>
          </w:tcPr>
          <w:p w14:paraId="1FAEF170" w14:textId="77777777" w:rsidR="000E56E8" w:rsidRPr="00B86BF8" w:rsidRDefault="000E56E8" w:rsidP="003929B4">
            <w:pPr>
              <w:spacing w:after="0"/>
              <w:jc w:val="both"/>
              <w:rPr>
                <w:rFonts w:ascii="Times New Roman" w:hAnsi="Times New Roman"/>
                <w:b/>
                <w:bCs/>
              </w:rPr>
            </w:pPr>
          </w:p>
        </w:tc>
        <w:tc>
          <w:tcPr>
            <w:tcW w:w="3402" w:type="dxa"/>
          </w:tcPr>
          <w:p w14:paraId="157119A6" w14:textId="77777777" w:rsidR="000E56E8" w:rsidRPr="00B86BF8" w:rsidRDefault="00B43A94" w:rsidP="003929B4">
            <w:pPr>
              <w:spacing w:after="0"/>
              <w:jc w:val="both"/>
              <w:rPr>
                <w:rFonts w:ascii="Times New Roman" w:hAnsi="Times New Roman"/>
              </w:rPr>
            </w:pPr>
            <w:r w:rsidRPr="00B86BF8">
              <w:rPr>
                <w:rFonts w:ascii="Times New Roman" w:hAnsi="Times New Roman" w:cs="Times New Roman"/>
              </w:rPr>
              <w:t xml:space="preserve">Administracijos, valdymo ir (ar) priežiūros organų nariai, turintys FT </w:t>
            </w:r>
            <w:r w:rsidRPr="00B86BF8">
              <w:rPr>
                <w:rFonts w:ascii="Times New Roman" w:hAnsi="Times New Roman" w:cs="Times New Roman"/>
              </w:rPr>
              <w:lastRenderedPageBreak/>
              <w:t>atstovavimo, sprendimo ar kontrolės įgaliojimus, turi būti nepriekaištingos reputacijos*</w:t>
            </w:r>
          </w:p>
        </w:tc>
        <w:tc>
          <w:tcPr>
            <w:tcW w:w="3724" w:type="dxa"/>
          </w:tcPr>
          <w:p w14:paraId="2EF1C57B" w14:textId="77777777" w:rsidR="000E56E8" w:rsidRPr="00B86BF8" w:rsidRDefault="00350D4E" w:rsidP="00A71989">
            <w:pPr>
              <w:spacing w:after="0"/>
              <w:jc w:val="both"/>
              <w:rPr>
                <w:rFonts w:ascii="Times New Roman" w:hAnsi="Times New Roman"/>
                <w:strike/>
              </w:rPr>
            </w:pPr>
            <w:r w:rsidRPr="00B86BF8">
              <w:rPr>
                <w:rFonts w:ascii="Times New Roman" w:hAnsi="Times New Roman" w:cs="Times New Roman"/>
              </w:rPr>
              <w:lastRenderedPageBreak/>
              <w:t xml:space="preserve">FT administracijos, valdymo ir (ar) priežiūros organų nariai, turintys FT </w:t>
            </w:r>
            <w:r w:rsidRPr="00B86BF8">
              <w:rPr>
                <w:rFonts w:ascii="Times New Roman" w:hAnsi="Times New Roman" w:cs="Times New Roman"/>
              </w:rPr>
              <w:lastRenderedPageBreak/>
              <w:t>atstovavimo, sprendimo ar kontrolės įgaliojimus, turi būti nepriekaištingos reputacijos****</w:t>
            </w:r>
          </w:p>
        </w:tc>
        <w:tc>
          <w:tcPr>
            <w:tcW w:w="5206" w:type="dxa"/>
          </w:tcPr>
          <w:p w14:paraId="0C31C0CD" w14:textId="77777777" w:rsidR="000E56E8" w:rsidRPr="00B86BF8" w:rsidRDefault="000E56E8" w:rsidP="003929B4">
            <w:pPr>
              <w:spacing w:after="0"/>
              <w:jc w:val="both"/>
              <w:rPr>
                <w:rFonts w:ascii="Times New Roman" w:hAnsi="Times New Roman"/>
              </w:rPr>
            </w:pPr>
            <w:r w:rsidRPr="00B86BF8">
              <w:rPr>
                <w:rFonts w:ascii="Times New Roman" w:hAnsi="Times New Roman" w:cs="Times New Roman"/>
              </w:rPr>
              <w:lastRenderedPageBreak/>
              <w:t xml:space="preserve">Reputacija vertinama pagal FT </w:t>
            </w:r>
            <w:r w:rsidR="00576E68" w:rsidRPr="00B86BF8">
              <w:rPr>
                <w:rFonts w:ascii="Times New Roman" w:hAnsi="Times New Roman" w:cs="Times New Roman"/>
              </w:rPr>
              <w:t xml:space="preserve">prašymo 1 priede ir </w:t>
            </w:r>
            <w:r w:rsidR="00D01B75" w:rsidRPr="00B86BF8">
              <w:rPr>
                <w:rFonts w:ascii="Times New Roman" w:hAnsi="Times New Roman" w:cs="Times New Roman"/>
              </w:rPr>
              <w:t>P</w:t>
            </w:r>
            <w:r w:rsidR="00576E68" w:rsidRPr="00B86BF8">
              <w:rPr>
                <w:rFonts w:ascii="Times New Roman" w:hAnsi="Times New Roman" w:cs="Times New Roman"/>
              </w:rPr>
              <w:t xml:space="preserve">riemonės </w:t>
            </w:r>
            <w:r w:rsidR="00D01B75" w:rsidRPr="00B86BF8">
              <w:rPr>
                <w:rFonts w:ascii="Times New Roman" w:hAnsi="Times New Roman" w:cs="Times New Roman"/>
              </w:rPr>
              <w:t xml:space="preserve">„Alternatyva“ </w:t>
            </w:r>
            <w:r w:rsidR="00576E68" w:rsidRPr="00B86BF8">
              <w:rPr>
                <w:rFonts w:ascii="Times New Roman" w:hAnsi="Times New Roman" w:cs="Times New Roman"/>
              </w:rPr>
              <w:t>įgyvendinimo aprašyme</w:t>
            </w:r>
            <w:r w:rsidRPr="00B86BF8">
              <w:rPr>
                <w:rFonts w:ascii="Times New Roman" w:hAnsi="Times New Roman" w:cs="Times New Roman"/>
              </w:rPr>
              <w:t xml:space="preserve"> </w:t>
            </w:r>
            <w:r w:rsidR="00576E68" w:rsidRPr="00B86BF8">
              <w:rPr>
                <w:rFonts w:ascii="Times New Roman" w:hAnsi="Times New Roman" w:cs="Times New Roman"/>
              </w:rPr>
              <w:lastRenderedPageBreak/>
              <w:t>pateiktą informacija</w:t>
            </w:r>
            <w:r w:rsidRPr="00B86BF8">
              <w:rPr>
                <w:rFonts w:ascii="Times New Roman" w:hAnsi="Times New Roman" w:cs="Times New Roman"/>
              </w:rPr>
              <w:t xml:space="preserve">, taip pat informaciją, skelbiamą Lietuvos banko internetinėje svetainėje. </w:t>
            </w:r>
            <w:r w:rsidR="009763AC" w:rsidRPr="00B86BF8">
              <w:rPr>
                <w:rFonts w:ascii="Times New Roman" w:hAnsi="Times New Roman" w:cs="Times New Roman"/>
              </w:rPr>
              <w:t>Gali</w:t>
            </w:r>
            <w:r w:rsidRPr="00B86BF8">
              <w:rPr>
                <w:rFonts w:ascii="Times New Roman" w:hAnsi="Times New Roman" w:cs="Times New Roman"/>
              </w:rPr>
              <w:t xml:space="preserve"> būti vertinama internete, spaudoje ir kituose viešai prieinamuose informacijos šaltiniuose skelbiama informacija</w:t>
            </w:r>
          </w:p>
        </w:tc>
      </w:tr>
      <w:tr w:rsidR="00A3031C" w:rsidRPr="00B86BF8" w14:paraId="69CA82B0" w14:textId="77777777" w:rsidTr="009167F4">
        <w:tc>
          <w:tcPr>
            <w:tcW w:w="2972" w:type="dxa"/>
            <w:vMerge w:val="restart"/>
          </w:tcPr>
          <w:p w14:paraId="78C5C52A" w14:textId="77777777" w:rsidR="000E56E8" w:rsidRPr="00B86BF8" w:rsidRDefault="000E56E8" w:rsidP="003929B4">
            <w:pPr>
              <w:spacing w:after="0"/>
              <w:jc w:val="both"/>
              <w:rPr>
                <w:rFonts w:ascii="Times New Roman" w:hAnsi="Times New Roman" w:cs="Times New Roman"/>
                <w:b/>
                <w:bCs/>
              </w:rPr>
            </w:pPr>
            <w:r w:rsidRPr="00B86BF8">
              <w:rPr>
                <w:rFonts w:ascii="Times New Roman" w:hAnsi="Times New Roman" w:cs="Times New Roman"/>
                <w:b/>
                <w:bCs/>
              </w:rPr>
              <w:lastRenderedPageBreak/>
              <w:t>Finansiniai reikalavimai ir normatyvai</w:t>
            </w:r>
          </w:p>
        </w:tc>
        <w:tc>
          <w:tcPr>
            <w:tcW w:w="3402" w:type="dxa"/>
          </w:tcPr>
          <w:p w14:paraId="5629C861" w14:textId="77777777" w:rsidR="000E56E8" w:rsidRPr="00B86BF8" w:rsidRDefault="00204052" w:rsidP="007368F8">
            <w:pPr>
              <w:spacing w:after="0"/>
              <w:jc w:val="both"/>
              <w:rPr>
                <w:rFonts w:ascii="Times New Roman" w:hAnsi="Times New Roman" w:cs="Times New Roman"/>
              </w:rPr>
            </w:pPr>
            <w:r w:rsidRPr="00B86BF8">
              <w:rPr>
                <w:rFonts w:ascii="Times New Roman" w:hAnsi="Times New Roman" w:cs="Times New Roman"/>
              </w:rPr>
              <w:t>L</w:t>
            </w:r>
            <w:r w:rsidR="007368F8" w:rsidRPr="00B86BF8">
              <w:rPr>
                <w:rFonts w:ascii="Times New Roman" w:hAnsi="Times New Roman" w:cs="Times New Roman"/>
              </w:rPr>
              <w:t>ietuvos bankui</w:t>
            </w:r>
            <w:r w:rsidRPr="00B86BF8">
              <w:rPr>
                <w:rFonts w:ascii="Times New Roman" w:hAnsi="Times New Roman" w:cs="Times New Roman"/>
              </w:rPr>
              <w:t xml:space="preserve"> turi būti pateikta a</w:t>
            </w:r>
            <w:r w:rsidR="000E56E8" w:rsidRPr="00B86BF8">
              <w:rPr>
                <w:rFonts w:ascii="Times New Roman" w:hAnsi="Times New Roman" w:cs="Times New Roman"/>
              </w:rPr>
              <w:t>udituota metinė finansinė atskaitomybė</w:t>
            </w:r>
            <w:r w:rsidRPr="00B86BF8">
              <w:rPr>
                <w:rFonts w:ascii="Times New Roman" w:hAnsi="Times New Roman"/>
              </w:rPr>
              <w:t>*</w:t>
            </w:r>
          </w:p>
        </w:tc>
        <w:tc>
          <w:tcPr>
            <w:tcW w:w="3724" w:type="dxa"/>
          </w:tcPr>
          <w:p w14:paraId="1BF90F47" w14:textId="77777777" w:rsidR="000E56E8" w:rsidRPr="00B86BF8" w:rsidRDefault="000E56E8" w:rsidP="003929B4">
            <w:pPr>
              <w:spacing w:after="0"/>
              <w:jc w:val="both"/>
              <w:rPr>
                <w:rFonts w:ascii="Times New Roman" w:hAnsi="Times New Roman" w:cs="Times New Roman"/>
              </w:rPr>
            </w:pPr>
            <w:r w:rsidRPr="00B86BF8">
              <w:rPr>
                <w:rFonts w:ascii="Times New Roman" w:hAnsi="Times New Roman" w:cs="Times New Roman"/>
              </w:rPr>
              <w:t>Audituota metinė finansinė atskaitomybė</w:t>
            </w:r>
          </w:p>
        </w:tc>
        <w:tc>
          <w:tcPr>
            <w:tcW w:w="5206" w:type="dxa"/>
            <w:vMerge w:val="restart"/>
          </w:tcPr>
          <w:p w14:paraId="3CCBC8B2" w14:textId="77777777" w:rsidR="000F2F49" w:rsidRPr="00B86BF8" w:rsidRDefault="000E56E8" w:rsidP="003929B4">
            <w:pPr>
              <w:spacing w:after="0"/>
              <w:jc w:val="both"/>
              <w:rPr>
                <w:rFonts w:ascii="Times New Roman" w:hAnsi="Times New Roman"/>
              </w:rPr>
            </w:pPr>
            <w:r w:rsidRPr="00B86BF8">
              <w:rPr>
                <w:rFonts w:ascii="Times New Roman" w:hAnsi="Times New Roman"/>
              </w:rPr>
              <w:t>Atitikimas normatyvams vertinamas remiantis FT pateiktais duomenimis: finansinių ataskaitų rinkiniu ir (ar) ataskaitomis bei kitais dokumentais</w:t>
            </w:r>
            <w:r w:rsidR="00204052" w:rsidRPr="00B86BF8">
              <w:rPr>
                <w:rFonts w:ascii="Times New Roman" w:hAnsi="Times New Roman"/>
              </w:rPr>
              <w:t>.</w:t>
            </w:r>
            <w:r w:rsidR="000F2F49" w:rsidRPr="00B86BF8">
              <w:rPr>
                <w:rFonts w:ascii="Times New Roman" w:hAnsi="Times New Roman"/>
              </w:rPr>
              <w:t xml:space="preserve"> </w:t>
            </w:r>
          </w:p>
          <w:p w14:paraId="70DF2D74" w14:textId="77777777" w:rsidR="000E56E8" w:rsidRPr="00B86BF8" w:rsidRDefault="000E56E8" w:rsidP="003929B4">
            <w:pPr>
              <w:spacing w:after="0"/>
              <w:jc w:val="both"/>
              <w:rPr>
                <w:rFonts w:ascii="Times New Roman" w:hAnsi="Times New Roman"/>
              </w:rPr>
            </w:pPr>
          </w:p>
          <w:p w14:paraId="3CDF9E59" w14:textId="77777777" w:rsidR="00204052" w:rsidRPr="00B86BF8" w:rsidRDefault="00D01B75" w:rsidP="003929B4">
            <w:pPr>
              <w:spacing w:after="0"/>
              <w:jc w:val="both"/>
              <w:rPr>
                <w:rFonts w:ascii="Times New Roman" w:hAnsi="Times New Roman"/>
              </w:rPr>
            </w:pPr>
            <w:r w:rsidRPr="00B86BF8">
              <w:rPr>
                <w:rFonts w:ascii="Times New Roman" w:hAnsi="Times New Roman" w:cs="Times New Roman"/>
              </w:rPr>
              <w:t>P</w:t>
            </w:r>
            <w:r w:rsidR="00DA151A" w:rsidRPr="00B86BF8">
              <w:rPr>
                <w:rFonts w:ascii="Times New Roman" w:hAnsi="Times New Roman" w:cs="Times New Roman"/>
              </w:rPr>
              <w:t>riemonės</w:t>
            </w:r>
            <w:r w:rsidR="001256C8" w:rsidRPr="00B86BF8">
              <w:rPr>
                <w:rFonts w:ascii="Times New Roman" w:hAnsi="Times New Roman" w:cs="Times New Roman"/>
              </w:rPr>
              <w:t xml:space="preserve"> „Alternatyva“</w:t>
            </w:r>
            <w:r w:rsidR="00DA151A" w:rsidRPr="00B86BF8">
              <w:rPr>
                <w:rFonts w:ascii="Times New Roman" w:hAnsi="Times New Roman" w:cs="Times New Roman"/>
              </w:rPr>
              <w:t xml:space="preserve"> įgyvendinimo aprašyme</w:t>
            </w:r>
            <w:r w:rsidR="00204052" w:rsidRPr="00B86BF8">
              <w:rPr>
                <w:rFonts w:ascii="Times New Roman" w:hAnsi="Times New Roman"/>
              </w:rPr>
              <w:t xml:space="preserve"> pateikiama informacija apie pajamų iš finansavimo veiklos dydį, jeigu ši informacija neišskiriama finansinėse ataskaitose</w:t>
            </w:r>
            <w:r w:rsidR="00350D4E" w:rsidRPr="00B86BF8">
              <w:rPr>
                <w:rFonts w:ascii="Times New Roman" w:hAnsi="Times New Roman"/>
              </w:rPr>
              <w:t>, pateikiami kiti atitikimą reikalavimui patvirtinantys įrodymai</w:t>
            </w:r>
          </w:p>
        </w:tc>
      </w:tr>
      <w:tr w:rsidR="00350D4E" w:rsidRPr="00B86BF8" w14:paraId="2E684A63" w14:textId="77777777" w:rsidTr="009167F4">
        <w:trPr>
          <w:trHeight w:val="2253"/>
        </w:trPr>
        <w:tc>
          <w:tcPr>
            <w:tcW w:w="2972" w:type="dxa"/>
            <w:vMerge/>
          </w:tcPr>
          <w:p w14:paraId="19048949" w14:textId="77777777" w:rsidR="00350D4E" w:rsidRPr="00B86BF8" w:rsidRDefault="00350D4E" w:rsidP="00350D4E">
            <w:pPr>
              <w:spacing w:after="0"/>
              <w:jc w:val="both"/>
              <w:rPr>
                <w:rFonts w:ascii="Times New Roman" w:hAnsi="Times New Roman" w:cs="Times New Roman"/>
                <w:b/>
                <w:bCs/>
              </w:rPr>
            </w:pPr>
          </w:p>
        </w:tc>
        <w:tc>
          <w:tcPr>
            <w:tcW w:w="3402" w:type="dxa"/>
          </w:tcPr>
          <w:p w14:paraId="5E1365D9" w14:textId="77777777" w:rsidR="00350D4E" w:rsidRPr="00B86BF8" w:rsidRDefault="00350D4E" w:rsidP="00350D4E">
            <w:pPr>
              <w:spacing w:after="0"/>
              <w:jc w:val="both"/>
              <w:rPr>
                <w:rFonts w:ascii="Times New Roman" w:hAnsi="Times New Roman"/>
              </w:rPr>
            </w:pPr>
            <w:r w:rsidRPr="00B86BF8">
              <w:rPr>
                <w:rFonts w:ascii="Times New Roman" w:hAnsi="Times New Roman" w:cs="Times New Roman"/>
              </w:rPr>
              <w:t>FT nėra taikomos Lietuvos banko poveikio priemonės, išskyrus įspėjimą</w:t>
            </w:r>
            <w:r w:rsidRPr="00B86BF8">
              <w:rPr>
                <w:rFonts w:ascii="Times New Roman" w:hAnsi="Times New Roman"/>
              </w:rPr>
              <w:t>*</w:t>
            </w:r>
          </w:p>
          <w:p w14:paraId="293715BE" w14:textId="77777777" w:rsidR="00350D4E" w:rsidRPr="00B86BF8" w:rsidRDefault="00350D4E" w:rsidP="00350D4E">
            <w:pPr>
              <w:spacing w:after="0"/>
              <w:jc w:val="both"/>
              <w:rPr>
                <w:rFonts w:ascii="Times New Roman" w:hAnsi="Times New Roman" w:cs="Times New Roman"/>
              </w:rPr>
            </w:pPr>
          </w:p>
        </w:tc>
        <w:tc>
          <w:tcPr>
            <w:tcW w:w="3724" w:type="dxa"/>
          </w:tcPr>
          <w:p w14:paraId="4149E0AE" w14:textId="77777777" w:rsidR="00350D4E" w:rsidRPr="00B86BF8" w:rsidRDefault="00350D4E" w:rsidP="00350D4E">
            <w:pPr>
              <w:spacing w:after="0"/>
              <w:jc w:val="both"/>
              <w:rPr>
                <w:rFonts w:ascii="Times New Roman" w:hAnsi="Times New Roman" w:cs="Times New Roman"/>
              </w:rPr>
            </w:pPr>
            <w:r w:rsidRPr="00B86BF8">
              <w:rPr>
                <w:rFonts w:ascii="Times New Roman" w:hAnsi="Times New Roman" w:cs="Times New Roman"/>
              </w:rPr>
              <w:t xml:space="preserve">Minimalios metinės pajamos – ne mažiau kaip 100 000 EUR, iš jų ne mažiau kaip 50 proc. pajamų iš finansavimo veiklos. </w:t>
            </w:r>
          </w:p>
        </w:tc>
        <w:tc>
          <w:tcPr>
            <w:tcW w:w="5206" w:type="dxa"/>
            <w:vMerge/>
          </w:tcPr>
          <w:p w14:paraId="4A3D5810" w14:textId="77777777" w:rsidR="00350D4E" w:rsidRPr="00B86BF8" w:rsidRDefault="00350D4E" w:rsidP="00350D4E">
            <w:pPr>
              <w:spacing w:after="0"/>
              <w:jc w:val="both"/>
              <w:rPr>
                <w:rFonts w:ascii="Times New Roman" w:hAnsi="Times New Roman"/>
              </w:rPr>
            </w:pPr>
          </w:p>
        </w:tc>
      </w:tr>
      <w:tr w:rsidR="00A3031C" w:rsidRPr="00B86BF8" w14:paraId="148B1E60" w14:textId="77777777" w:rsidTr="009167F4">
        <w:tc>
          <w:tcPr>
            <w:tcW w:w="2972" w:type="dxa"/>
            <w:vMerge/>
          </w:tcPr>
          <w:p w14:paraId="71FA7301" w14:textId="77777777" w:rsidR="000E56E8" w:rsidRPr="00B86BF8" w:rsidRDefault="000E56E8" w:rsidP="003929B4">
            <w:pPr>
              <w:spacing w:after="0"/>
              <w:jc w:val="both"/>
              <w:rPr>
                <w:rFonts w:ascii="Times New Roman" w:hAnsi="Times New Roman" w:cs="Times New Roman"/>
                <w:b/>
                <w:bCs/>
              </w:rPr>
            </w:pPr>
          </w:p>
        </w:tc>
        <w:tc>
          <w:tcPr>
            <w:tcW w:w="3402" w:type="dxa"/>
          </w:tcPr>
          <w:p w14:paraId="301AF2A9" w14:textId="77777777" w:rsidR="000E56E8" w:rsidRPr="00B86BF8" w:rsidRDefault="000E56E8" w:rsidP="003929B4">
            <w:pPr>
              <w:spacing w:after="0"/>
              <w:jc w:val="both"/>
              <w:rPr>
                <w:rFonts w:ascii="Times New Roman" w:hAnsi="Times New Roman" w:cs="Times New Roman"/>
              </w:rPr>
            </w:pPr>
            <w:r w:rsidRPr="00B86BF8">
              <w:rPr>
                <w:rFonts w:ascii="Times New Roman" w:hAnsi="Times New Roman" w:cs="Times New Roman"/>
              </w:rPr>
              <w:t xml:space="preserve">Jeigu Lietuvos bankas netaiko </w:t>
            </w:r>
            <w:r w:rsidR="007368F8" w:rsidRPr="00B86BF8">
              <w:rPr>
                <w:rFonts w:ascii="Times New Roman" w:hAnsi="Times New Roman" w:cs="Times New Roman"/>
              </w:rPr>
              <w:t xml:space="preserve">FT </w:t>
            </w:r>
            <w:r w:rsidRPr="00B86BF8">
              <w:rPr>
                <w:rFonts w:ascii="Times New Roman" w:hAnsi="Times New Roman" w:cs="Times New Roman"/>
              </w:rPr>
              <w:t>veiklos riziką ribojančių normatyvų, tokiu atveju taikomi Lietuvos banko neprižiūrimiems FT nustatyti normatyvai</w:t>
            </w:r>
          </w:p>
        </w:tc>
        <w:tc>
          <w:tcPr>
            <w:tcW w:w="3724" w:type="dxa"/>
          </w:tcPr>
          <w:p w14:paraId="14DC1CA2" w14:textId="77777777" w:rsidR="00350D4E" w:rsidRPr="00B86BF8" w:rsidRDefault="00350D4E" w:rsidP="00C30CDB">
            <w:pPr>
              <w:spacing w:after="0"/>
              <w:jc w:val="both"/>
              <w:rPr>
                <w:rFonts w:ascii="Times New Roman" w:hAnsi="Times New Roman" w:cs="Times New Roman"/>
              </w:rPr>
            </w:pPr>
            <w:r w:rsidRPr="00B86BF8">
              <w:rPr>
                <w:rFonts w:ascii="Times New Roman" w:hAnsi="Times New Roman" w:cs="Times New Roman"/>
              </w:rPr>
              <w:t>FT nuosavo kapitalo suma (įstatinio kapitalo, jo priedų, rezervų ir nepaskirstyto pelno suma) turi būti ne mažesnė nei 0,</w:t>
            </w:r>
            <w:r w:rsidR="004D2599" w:rsidRPr="00B86BF8">
              <w:rPr>
                <w:rFonts w:ascii="Times New Roman" w:hAnsi="Times New Roman" w:cs="Times New Roman"/>
              </w:rPr>
              <w:t>2</w:t>
            </w:r>
            <w:r w:rsidRPr="00B86BF8">
              <w:rPr>
                <w:rFonts w:ascii="Times New Roman" w:hAnsi="Times New Roman" w:cs="Times New Roman"/>
              </w:rPr>
              <w:t xml:space="preserve">5 mln. EUR. FT koreguoto nuosavo kapitalo suma** negali būti mažesnė kaip 0,2 mln. EUR. </w:t>
            </w:r>
          </w:p>
          <w:p w14:paraId="5B432128" w14:textId="77777777" w:rsidR="001256C8" w:rsidRPr="00B86BF8" w:rsidRDefault="001256C8" w:rsidP="001256C8">
            <w:pPr>
              <w:rPr>
                <w:rFonts w:ascii="Times New Roman" w:hAnsi="Times New Roman"/>
              </w:rPr>
            </w:pPr>
          </w:p>
        </w:tc>
        <w:tc>
          <w:tcPr>
            <w:tcW w:w="5206" w:type="dxa"/>
            <w:vMerge/>
          </w:tcPr>
          <w:p w14:paraId="395BDF1D" w14:textId="77777777" w:rsidR="000E56E8" w:rsidRPr="00B86BF8" w:rsidRDefault="000E56E8" w:rsidP="003929B4">
            <w:pPr>
              <w:spacing w:after="0"/>
              <w:jc w:val="both"/>
              <w:rPr>
                <w:rFonts w:ascii="Times New Roman" w:hAnsi="Times New Roman"/>
              </w:rPr>
            </w:pPr>
          </w:p>
        </w:tc>
      </w:tr>
      <w:tr w:rsidR="004A3DE3" w:rsidRPr="00B86BF8" w14:paraId="720CA299" w14:textId="77777777" w:rsidTr="009167F4">
        <w:tc>
          <w:tcPr>
            <w:tcW w:w="2972" w:type="dxa"/>
          </w:tcPr>
          <w:p w14:paraId="3818FD40" w14:textId="77777777" w:rsidR="004A3DE3" w:rsidRPr="00B86BF8" w:rsidRDefault="00A91FD3" w:rsidP="003929B4">
            <w:pPr>
              <w:spacing w:after="0"/>
              <w:jc w:val="both"/>
              <w:rPr>
                <w:rFonts w:ascii="Times New Roman" w:hAnsi="Times New Roman"/>
                <w:b/>
                <w:bCs/>
              </w:rPr>
            </w:pPr>
            <w:r w:rsidRPr="00B86BF8">
              <w:rPr>
                <w:rFonts w:ascii="Times New Roman" w:hAnsi="Times New Roman"/>
                <w:b/>
                <w:bCs/>
              </w:rPr>
              <w:t xml:space="preserve">FT prašymo pateikimo metu yra įvykdžiusi su mokesčių ir socialinio draudimo įmokų mokėjimu susijusius </w:t>
            </w:r>
            <w:r w:rsidRPr="00B86BF8">
              <w:rPr>
                <w:rFonts w:ascii="Times New Roman" w:hAnsi="Times New Roman"/>
                <w:b/>
                <w:bCs/>
              </w:rPr>
              <w:lastRenderedPageBreak/>
              <w:t>įsipareigojimus pagal FT veiklai taikomus teisės aktus</w:t>
            </w:r>
          </w:p>
        </w:tc>
        <w:tc>
          <w:tcPr>
            <w:tcW w:w="3402" w:type="dxa"/>
          </w:tcPr>
          <w:p w14:paraId="31B858D1" w14:textId="77777777" w:rsidR="004A3DE3" w:rsidRPr="00B86BF8" w:rsidRDefault="00A91FD3" w:rsidP="003929B4">
            <w:pPr>
              <w:spacing w:after="0"/>
              <w:jc w:val="both"/>
              <w:rPr>
                <w:rFonts w:ascii="Times New Roman" w:hAnsi="Times New Roman"/>
              </w:rPr>
            </w:pPr>
            <w:r w:rsidRPr="00B86BF8">
              <w:rPr>
                <w:rFonts w:ascii="Times New Roman" w:hAnsi="Times New Roman" w:cs="Times New Roman"/>
              </w:rPr>
              <w:lastRenderedPageBreak/>
              <w:t>Nereikia pateikti</w:t>
            </w:r>
          </w:p>
        </w:tc>
        <w:tc>
          <w:tcPr>
            <w:tcW w:w="3724" w:type="dxa"/>
          </w:tcPr>
          <w:p w14:paraId="0834183B" w14:textId="77777777" w:rsidR="004A3DE3" w:rsidRPr="00B86BF8" w:rsidRDefault="00A91FD3" w:rsidP="00DA151A">
            <w:pPr>
              <w:spacing w:after="0"/>
              <w:jc w:val="both"/>
              <w:rPr>
                <w:rFonts w:ascii="Times New Roman" w:hAnsi="Times New Roman"/>
              </w:rPr>
            </w:pPr>
            <w:r w:rsidRPr="00B86BF8">
              <w:rPr>
                <w:rFonts w:ascii="Times New Roman" w:hAnsi="Times New Roman" w:cs="Times New Roman"/>
              </w:rPr>
              <w:t>Nereikia pateikti</w:t>
            </w:r>
          </w:p>
        </w:tc>
        <w:tc>
          <w:tcPr>
            <w:tcW w:w="5206" w:type="dxa"/>
          </w:tcPr>
          <w:p w14:paraId="51923BCA" w14:textId="77777777" w:rsidR="004A3DE3" w:rsidRPr="00B86BF8" w:rsidRDefault="004A3DE3" w:rsidP="003929B4">
            <w:pPr>
              <w:spacing w:after="0"/>
              <w:jc w:val="both"/>
              <w:rPr>
                <w:rFonts w:ascii="Times New Roman" w:hAnsi="Times New Roman"/>
              </w:rPr>
            </w:pPr>
            <w:r w:rsidRPr="00B86BF8">
              <w:rPr>
                <w:rFonts w:ascii="Times New Roman" w:hAnsi="Times New Roman"/>
              </w:rPr>
              <w:t>Tikrinami valstybės registruose viešai prieinama duomenys ir informacija</w:t>
            </w:r>
          </w:p>
        </w:tc>
      </w:tr>
      <w:tr w:rsidR="00A3031C" w:rsidRPr="00B86BF8" w14:paraId="426B32BB" w14:textId="77777777" w:rsidTr="009167F4">
        <w:tc>
          <w:tcPr>
            <w:tcW w:w="2972" w:type="dxa"/>
          </w:tcPr>
          <w:p w14:paraId="69C6CF33" w14:textId="77777777" w:rsidR="00711D77" w:rsidRPr="00B86BF8" w:rsidRDefault="00711D77" w:rsidP="00DA151A">
            <w:pPr>
              <w:spacing w:after="0"/>
              <w:jc w:val="both"/>
              <w:rPr>
                <w:rFonts w:ascii="Times New Roman" w:hAnsi="Times New Roman" w:cs="Times New Roman"/>
                <w:b/>
                <w:bCs/>
              </w:rPr>
            </w:pPr>
            <w:r w:rsidRPr="00B86BF8">
              <w:rPr>
                <w:rFonts w:ascii="Times New Roman" w:hAnsi="Times New Roman" w:cs="Times New Roman"/>
                <w:b/>
                <w:bCs/>
              </w:rPr>
              <w:t>Minimali veiklos vykdymo trukmė 12 mėn.</w:t>
            </w:r>
            <w:r w:rsidR="00DE2CFA" w:rsidRPr="00B86BF8">
              <w:rPr>
                <w:rFonts w:ascii="Times New Roman" w:hAnsi="Times New Roman" w:cs="Times New Roman"/>
                <w:b/>
                <w:bCs/>
              </w:rPr>
              <w:t xml:space="preserve"> </w:t>
            </w:r>
          </w:p>
        </w:tc>
        <w:tc>
          <w:tcPr>
            <w:tcW w:w="3402" w:type="dxa"/>
          </w:tcPr>
          <w:p w14:paraId="0B07CF0B" w14:textId="77777777" w:rsidR="00711D77" w:rsidRPr="00B86BF8" w:rsidRDefault="00711D77" w:rsidP="00204052">
            <w:pPr>
              <w:spacing w:after="0"/>
              <w:jc w:val="both"/>
              <w:rPr>
                <w:rFonts w:ascii="Times New Roman" w:hAnsi="Times New Roman" w:cs="Times New Roman"/>
              </w:rPr>
            </w:pPr>
          </w:p>
        </w:tc>
        <w:tc>
          <w:tcPr>
            <w:tcW w:w="3724" w:type="dxa"/>
          </w:tcPr>
          <w:p w14:paraId="459E819B" w14:textId="77777777" w:rsidR="00711D77" w:rsidRPr="00B86BF8" w:rsidRDefault="00711D77" w:rsidP="00204052">
            <w:pPr>
              <w:spacing w:after="0"/>
              <w:jc w:val="both"/>
              <w:rPr>
                <w:rFonts w:ascii="Times New Roman" w:hAnsi="Times New Roman" w:cs="Times New Roman"/>
              </w:rPr>
            </w:pPr>
          </w:p>
        </w:tc>
        <w:tc>
          <w:tcPr>
            <w:tcW w:w="5206" w:type="dxa"/>
          </w:tcPr>
          <w:p w14:paraId="6CDF0261" w14:textId="77777777" w:rsidR="00711D77" w:rsidRPr="00B86BF8" w:rsidRDefault="00DA151A" w:rsidP="00DA151A">
            <w:pPr>
              <w:spacing w:after="0"/>
              <w:jc w:val="both"/>
              <w:rPr>
                <w:rFonts w:ascii="Times New Roman" w:hAnsi="Times New Roman"/>
              </w:rPr>
            </w:pPr>
            <w:r w:rsidRPr="00B86BF8">
              <w:rPr>
                <w:rFonts w:ascii="Times New Roman" w:hAnsi="Times New Roman" w:cs="Times New Roman"/>
              </w:rPr>
              <w:t xml:space="preserve">Informacija pateikiama </w:t>
            </w:r>
            <w:r w:rsidR="001256C8" w:rsidRPr="00B86BF8">
              <w:rPr>
                <w:rFonts w:ascii="Times New Roman" w:hAnsi="Times New Roman" w:cs="Times New Roman"/>
              </w:rPr>
              <w:t>P</w:t>
            </w:r>
            <w:r w:rsidRPr="00B86BF8">
              <w:rPr>
                <w:rFonts w:ascii="Times New Roman" w:hAnsi="Times New Roman" w:cs="Times New Roman"/>
              </w:rPr>
              <w:t>riemonės</w:t>
            </w:r>
            <w:r w:rsidR="001256C8" w:rsidRPr="00B86BF8">
              <w:rPr>
                <w:rFonts w:ascii="Times New Roman" w:hAnsi="Times New Roman" w:cs="Times New Roman"/>
              </w:rPr>
              <w:t xml:space="preserve"> „Alternatyva“</w:t>
            </w:r>
            <w:r w:rsidRPr="00B86BF8">
              <w:rPr>
                <w:rFonts w:ascii="Times New Roman" w:hAnsi="Times New Roman" w:cs="Times New Roman"/>
              </w:rPr>
              <w:t xml:space="preserve"> įgyvendinimo aprašyme</w:t>
            </w:r>
            <w:r w:rsidRPr="00B86BF8" w:rsidDel="00DA151A">
              <w:rPr>
                <w:rFonts w:ascii="Times New Roman" w:hAnsi="Times New Roman" w:cs="Times New Roman"/>
              </w:rPr>
              <w:t xml:space="preserve"> </w:t>
            </w:r>
          </w:p>
        </w:tc>
      </w:tr>
      <w:tr w:rsidR="00A3031C" w:rsidRPr="00B86BF8" w14:paraId="0B0AC378" w14:textId="77777777" w:rsidTr="009167F4">
        <w:tc>
          <w:tcPr>
            <w:tcW w:w="2972" w:type="dxa"/>
          </w:tcPr>
          <w:p w14:paraId="25861490" w14:textId="77777777" w:rsidR="00711D77" w:rsidRPr="00B86BF8" w:rsidRDefault="001256C8" w:rsidP="0079450B">
            <w:pPr>
              <w:spacing w:after="0" w:line="240" w:lineRule="auto"/>
              <w:rPr>
                <w:rFonts w:ascii="Times New Roman" w:hAnsi="Times New Roman" w:cs="Times New Roman"/>
                <w:b/>
                <w:bCs/>
              </w:rPr>
            </w:pPr>
            <w:r w:rsidRPr="00B86BF8">
              <w:rPr>
                <w:rFonts w:ascii="Times New Roman" w:hAnsi="Times New Roman"/>
                <w:b/>
                <w:bCs/>
              </w:rPr>
              <w:t xml:space="preserve">FT turi pagrįsti, kad Lietuvoje per paskutinius 12 mėnesių tinkamai suteikė ne mažiau kaip 50 vnt. Paskolų   verslo subjektams), kurių kiekvieno vertė ne didesnė kaip </w:t>
            </w:r>
            <w:r w:rsidR="007E0FF4" w:rsidRPr="00B86BF8">
              <w:rPr>
                <w:rFonts w:ascii="Times New Roman" w:hAnsi="Times New Roman"/>
                <w:b/>
                <w:bCs/>
              </w:rPr>
              <w:t>5</w:t>
            </w:r>
            <w:r w:rsidRPr="00B86BF8">
              <w:rPr>
                <w:rFonts w:ascii="Times New Roman" w:hAnsi="Times New Roman"/>
                <w:b/>
                <w:bCs/>
              </w:rPr>
              <w:t>0</w:t>
            </w:r>
            <w:r w:rsidR="0079450B" w:rsidRPr="00B86BF8">
              <w:rPr>
                <w:rFonts w:ascii="Times New Roman" w:hAnsi="Times New Roman"/>
                <w:b/>
                <w:bCs/>
              </w:rPr>
              <w:t>0</w:t>
            </w:r>
            <w:r w:rsidRPr="00B86BF8">
              <w:rPr>
                <w:rFonts w:ascii="Times New Roman" w:hAnsi="Times New Roman"/>
                <w:b/>
                <w:bCs/>
              </w:rPr>
              <w:t xml:space="preserve">  000 Eur</w:t>
            </w:r>
            <w:r w:rsidRPr="00B86BF8">
              <w:rPr>
                <w:rFonts w:ascii="Times New Roman" w:hAnsi="Times New Roman" w:cs="Times New Roman"/>
                <w:b/>
                <w:bCs/>
              </w:rPr>
              <w:t xml:space="preserve"> </w:t>
            </w:r>
          </w:p>
        </w:tc>
        <w:tc>
          <w:tcPr>
            <w:tcW w:w="3402" w:type="dxa"/>
          </w:tcPr>
          <w:p w14:paraId="23CFAFFB" w14:textId="77777777" w:rsidR="00711D77" w:rsidRPr="00B86BF8" w:rsidRDefault="00711D77" w:rsidP="00204052">
            <w:pPr>
              <w:spacing w:after="0"/>
              <w:jc w:val="both"/>
              <w:rPr>
                <w:rFonts w:ascii="Times New Roman" w:hAnsi="Times New Roman" w:cs="Times New Roman"/>
              </w:rPr>
            </w:pPr>
          </w:p>
        </w:tc>
        <w:tc>
          <w:tcPr>
            <w:tcW w:w="3724" w:type="dxa"/>
          </w:tcPr>
          <w:p w14:paraId="719EF796" w14:textId="77777777" w:rsidR="00711D77" w:rsidRPr="00B86BF8" w:rsidRDefault="00711D77" w:rsidP="00204052">
            <w:pPr>
              <w:spacing w:after="0"/>
              <w:jc w:val="both"/>
              <w:rPr>
                <w:rFonts w:ascii="Times New Roman" w:hAnsi="Times New Roman" w:cs="Times New Roman"/>
              </w:rPr>
            </w:pPr>
          </w:p>
        </w:tc>
        <w:tc>
          <w:tcPr>
            <w:tcW w:w="5206" w:type="dxa"/>
          </w:tcPr>
          <w:p w14:paraId="7A8D39AA" w14:textId="77777777" w:rsidR="001256C8" w:rsidRPr="00B86BF8" w:rsidRDefault="001256C8" w:rsidP="001256C8">
            <w:pPr>
              <w:spacing w:after="0"/>
              <w:jc w:val="both"/>
              <w:rPr>
                <w:rFonts w:ascii="Times New Roman" w:hAnsi="Times New Roman"/>
              </w:rPr>
            </w:pPr>
            <w:r w:rsidRPr="00B86BF8">
              <w:rPr>
                <w:rFonts w:ascii="Times New Roman" w:hAnsi="Times New Roman"/>
              </w:rPr>
              <w:t xml:space="preserve">Patvirtinanti informacija pateikiama Priemonės „Alternatyva“ įgyvendinimo aprašyme, FT pažymoje, kituose atitikimą šiam reikalavimui patvirtinančiuose dokumentuose. </w:t>
            </w:r>
          </w:p>
          <w:p w14:paraId="16EA187C" w14:textId="77777777" w:rsidR="001256C8" w:rsidRPr="00B86BF8" w:rsidRDefault="001256C8" w:rsidP="001256C8">
            <w:pPr>
              <w:spacing w:after="0"/>
              <w:jc w:val="both"/>
              <w:rPr>
                <w:rFonts w:ascii="Times New Roman" w:hAnsi="Times New Roman" w:cs="Times New Roman"/>
              </w:rPr>
            </w:pPr>
          </w:p>
          <w:p w14:paraId="2DBA0BEA" w14:textId="77777777" w:rsidR="001256C8" w:rsidRPr="00B86BF8" w:rsidRDefault="001256C8" w:rsidP="001256C8">
            <w:pPr>
              <w:spacing w:after="0"/>
              <w:jc w:val="both"/>
              <w:rPr>
                <w:rFonts w:ascii="Times New Roman" w:hAnsi="Times New Roman"/>
              </w:rPr>
            </w:pPr>
          </w:p>
          <w:p w14:paraId="5567D2B1" w14:textId="77777777" w:rsidR="00711D77" w:rsidRPr="00B86BF8" w:rsidRDefault="00711D77" w:rsidP="00204052">
            <w:pPr>
              <w:spacing w:after="0"/>
              <w:jc w:val="both"/>
              <w:rPr>
                <w:rFonts w:ascii="Times New Roman" w:hAnsi="Times New Roman"/>
              </w:rPr>
            </w:pPr>
          </w:p>
        </w:tc>
      </w:tr>
      <w:tr w:rsidR="00BD63B8" w:rsidRPr="00B86BF8" w14:paraId="7D038E5D" w14:textId="77777777" w:rsidTr="009167F4">
        <w:tc>
          <w:tcPr>
            <w:tcW w:w="2972" w:type="dxa"/>
          </w:tcPr>
          <w:p w14:paraId="36F98D0A" w14:textId="77777777" w:rsidR="00BD63B8" w:rsidRPr="00B86BF8" w:rsidRDefault="00BD63B8" w:rsidP="00B1254B">
            <w:pPr>
              <w:spacing w:after="0" w:line="240" w:lineRule="auto"/>
              <w:jc w:val="both"/>
              <w:rPr>
                <w:rFonts w:ascii="Times New Roman" w:hAnsi="Times New Roman"/>
                <w:b/>
                <w:bCs/>
                <w:sz w:val="24"/>
                <w:szCs w:val="24"/>
              </w:rPr>
            </w:pPr>
            <w:r w:rsidRPr="00B86BF8">
              <w:rPr>
                <w:rFonts w:ascii="Times New Roman" w:hAnsi="Times New Roman"/>
                <w:b/>
                <w:bCs/>
              </w:rPr>
              <w:t>FT turi pateikti informaciją apie paskutinius penkis sudarytus skolinimosi sandorius (skolinimosi sandoriai sudaryti tarp FT ir susijusių asmenų*** nevertinami)</w:t>
            </w:r>
            <w:r w:rsidR="00D51A62" w:rsidRPr="00B86BF8">
              <w:rPr>
                <w:rFonts w:ascii="Times New Roman" w:hAnsi="Times New Roman"/>
                <w:b/>
                <w:bCs/>
              </w:rPr>
              <w:t>, kurių vertė</w:t>
            </w:r>
            <w:r w:rsidR="00702BE2" w:rsidRPr="00B86BF8">
              <w:rPr>
                <w:rFonts w:ascii="Times New Roman" w:hAnsi="Times New Roman"/>
                <w:b/>
                <w:bCs/>
              </w:rPr>
              <w:t xml:space="preserve"> </w:t>
            </w:r>
            <w:r w:rsidR="00B1254B" w:rsidRPr="00B86BF8">
              <w:rPr>
                <w:rFonts w:ascii="Times New Roman" w:hAnsi="Times New Roman"/>
                <w:b/>
                <w:bCs/>
              </w:rPr>
              <w:t xml:space="preserve">ne </w:t>
            </w:r>
            <w:r w:rsidRPr="00B86BF8">
              <w:rPr>
                <w:rFonts w:ascii="Times New Roman" w:hAnsi="Times New Roman"/>
                <w:b/>
                <w:bCs/>
              </w:rPr>
              <w:t>mažesn</w:t>
            </w:r>
            <w:r w:rsidR="00D51A62" w:rsidRPr="00B86BF8">
              <w:rPr>
                <w:rFonts w:ascii="Times New Roman" w:hAnsi="Times New Roman"/>
                <w:b/>
                <w:bCs/>
              </w:rPr>
              <w:t>ė</w:t>
            </w:r>
            <w:r w:rsidRPr="00B86BF8">
              <w:rPr>
                <w:rFonts w:ascii="Times New Roman" w:hAnsi="Times New Roman"/>
                <w:b/>
                <w:bCs/>
              </w:rPr>
              <w:t xml:space="preserve"> kaip 100 000 Eur</w:t>
            </w:r>
            <w:r w:rsidRPr="00B86BF8">
              <w:rPr>
                <w:rFonts w:ascii="Times New Roman" w:hAnsi="Times New Roman"/>
                <w:b/>
                <w:bCs/>
                <w:sz w:val="24"/>
                <w:szCs w:val="24"/>
              </w:rPr>
              <w:t xml:space="preserve"> </w:t>
            </w:r>
            <w:r w:rsidR="0065200E" w:rsidRPr="00B86BF8">
              <w:rPr>
                <w:rFonts w:ascii="Times New Roman" w:hAnsi="Times New Roman"/>
                <w:b/>
                <w:bCs/>
                <w:sz w:val="24"/>
                <w:szCs w:val="24"/>
              </w:rPr>
              <w:t xml:space="preserve">arba informaciją </w:t>
            </w:r>
            <w:r w:rsidR="0065200E" w:rsidRPr="00B86BF8">
              <w:rPr>
                <w:rFonts w:ascii="Times New Roman" w:hAnsi="Times New Roman"/>
                <w:b/>
                <w:bCs/>
              </w:rPr>
              <w:t>apie FT arba FT 100 proc. valdančios įmonės paskutinę viešai išplatintą obligacijų emisiją</w:t>
            </w:r>
          </w:p>
          <w:p w14:paraId="1EA48630" w14:textId="77777777" w:rsidR="00D45271" w:rsidRPr="00B86BF8" w:rsidRDefault="00D45271" w:rsidP="00B1254B">
            <w:pPr>
              <w:spacing w:after="0" w:line="240" w:lineRule="auto"/>
              <w:jc w:val="both"/>
              <w:rPr>
                <w:rFonts w:ascii="Times New Roman" w:hAnsi="Times New Roman"/>
                <w:b/>
                <w:bCs/>
              </w:rPr>
            </w:pPr>
          </w:p>
        </w:tc>
        <w:tc>
          <w:tcPr>
            <w:tcW w:w="3402" w:type="dxa"/>
          </w:tcPr>
          <w:p w14:paraId="28BC92D7" w14:textId="77777777" w:rsidR="00BD63B8" w:rsidRPr="00B86BF8" w:rsidRDefault="00BD63B8" w:rsidP="00204052">
            <w:pPr>
              <w:spacing w:after="0"/>
              <w:jc w:val="both"/>
              <w:rPr>
                <w:rFonts w:ascii="Times New Roman" w:hAnsi="Times New Roman"/>
              </w:rPr>
            </w:pPr>
          </w:p>
        </w:tc>
        <w:tc>
          <w:tcPr>
            <w:tcW w:w="3724" w:type="dxa"/>
          </w:tcPr>
          <w:p w14:paraId="655A0CCF" w14:textId="77777777" w:rsidR="00BD63B8" w:rsidRPr="00B86BF8" w:rsidRDefault="00BD63B8" w:rsidP="00204052">
            <w:pPr>
              <w:spacing w:after="0"/>
              <w:jc w:val="both"/>
              <w:rPr>
                <w:rFonts w:ascii="Times New Roman" w:hAnsi="Times New Roman"/>
              </w:rPr>
            </w:pPr>
          </w:p>
        </w:tc>
        <w:tc>
          <w:tcPr>
            <w:tcW w:w="5206" w:type="dxa"/>
          </w:tcPr>
          <w:p w14:paraId="4AAA3EB6" w14:textId="77777777" w:rsidR="00BD63B8" w:rsidRPr="00B86BF8" w:rsidRDefault="00BD63B8" w:rsidP="001256C8">
            <w:pPr>
              <w:spacing w:after="0"/>
              <w:jc w:val="both"/>
              <w:rPr>
                <w:rFonts w:ascii="Times New Roman" w:hAnsi="Times New Roman"/>
              </w:rPr>
            </w:pPr>
            <w:r w:rsidRPr="00B86BF8">
              <w:rPr>
                <w:rFonts w:ascii="Times New Roman" w:hAnsi="Times New Roman"/>
              </w:rPr>
              <w:t>Informacija pateikiama Priemonės „Alternatyva“ įgyvendinimo aprašyme. Tai pat pateikiama informacija apie sand</w:t>
            </w:r>
            <w:r w:rsidR="00F83AED" w:rsidRPr="00B86BF8">
              <w:rPr>
                <w:rFonts w:ascii="Times New Roman" w:hAnsi="Times New Roman"/>
              </w:rPr>
              <w:t>o</w:t>
            </w:r>
            <w:r w:rsidRPr="00B86BF8">
              <w:rPr>
                <w:rFonts w:ascii="Times New Roman" w:hAnsi="Times New Roman"/>
              </w:rPr>
              <w:t>rius</w:t>
            </w:r>
            <w:r w:rsidR="00435E4F" w:rsidRPr="00B86BF8">
              <w:rPr>
                <w:rFonts w:ascii="Times New Roman" w:hAnsi="Times New Roman"/>
              </w:rPr>
              <w:t xml:space="preserve"> ar viešai platiną obligacijų emisiją</w:t>
            </w:r>
            <w:r w:rsidRPr="00B86BF8">
              <w:rPr>
                <w:rFonts w:ascii="Times New Roman" w:hAnsi="Times New Roman"/>
              </w:rPr>
              <w:t xml:space="preserve">. Jeigu FT </w:t>
            </w:r>
            <w:r w:rsidR="00BC30FA" w:rsidRPr="00B86BF8">
              <w:rPr>
                <w:rFonts w:ascii="Times New Roman" w:hAnsi="Times New Roman"/>
              </w:rPr>
              <w:t>neturi</w:t>
            </w:r>
            <w:r w:rsidR="00F83AED" w:rsidRPr="00B86BF8">
              <w:rPr>
                <w:rFonts w:ascii="Times New Roman" w:hAnsi="Times New Roman"/>
              </w:rPr>
              <w:t xml:space="preserve"> nustatyto skaičiaus sandorių</w:t>
            </w:r>
            <w:r w:rsidRPr="00B86BF8">
              <w:rPr>
                <w:rFonts w:ascii="Times New Roman" w:hAnsi="Times New Roman"/>
              </w:rPr>
              <w:t>, kurių vertė ne mažesnė kaip 100 000 Eur</w:t>
            </w:r>
            <w:r w:rsidR="00B1254B" w:rsidRPr="00B86BF8">
              <w:rPr>
                <w:rFonts w:ascii="Times New Roman" w:hAnsi="Times New Roman"/>
              </w:rPr>
              <w:t>,</w:t>
            </w:r>
            <w:r w:rsidR="00F83AED" w:rsidRPr="00B86BF8">
              <w:rPr>
                <w:rFonts w:ascii="Times New Roman" w:hAnsi="Times New Roman"/>
              </w:rPr>
              <w:t xml:space="preserve"> skirtų palūkanų normai apskaičiuoti</w:t>
            </w:r>
            <w:r w:rsidR="00435E4F" w:rsidRPr="00B86BF8">
              <w:rPr>
                <w:rFonts w:ascii="Times New Roman" w:hAnsi="Times New Roman"/>
              </w:rPr>
              <w:t xml:space="preserve"> arba viešai neplatino obligacijų emisijos, </w:t>
            </w:r>
            <w:r w:rsidR="00BC30FA" w:rsidRPr="00B86BF8">
              <w:rPr>
                <w:rFonts w:ascii="Times New Roman" w:hAnsi="Times New Roman"/>
              </w:rPr>
              <w:t xml:space="preserve">laikoma, kad FT neatitinka </w:t>
            </w:r>
            <w:r w:rsidR="00D51A62" w:rsidRPr="00B86BF8">
              <w:rPr>
                <w:rFonts w:ascii="Times New Roman" w:hAnsi="Times New Roman"/>
              </w:rPr>
              <w:t xml:space="preserve">šio </w:t>
            </w:r>
            <w:r w:rsidR="00BC30FA" w:rsidRPr="00B86BF8">
              <w:rPr>
                <w:rFonts w:ascii="Times New Roman" w:hAnsi="Times New Roman"/>
              </w:rPr>
              <w:t xml:space="preserve">tinkamumo </w:t>
            </w:r>
            <w:r w:rsidR="00F83AED" w:rsidRPr="00B86BF8">
              <w:rPr>
                <w:rFonts w:ascii="Times New Roman" w:hAnsi="Times New Roman"/>
              </w:rPr>
              <w:t>reikalavimo</w:t>
            </w:r>
            <w:r w:rsidR="007D6410" w:rsidRPr="00B86BF8">
              <w:rPr>
                <w:rFonts w:ascii="Times New Roman" w:hAnsi="Times New Roman"/>
              </w:rPr>
              <w:t xml:space="preserve">, </w:t>
            </w:r>
            <w:r w:rsidR="00247CED" w:rsidRPr="00B86BF8">
              <w:rPr>
                <w:rFonts w:ascii="Times New Roman" w:hAnsi="Times New Roman"/>
              </w:rPr>
              <w:t>išskyrus kolektyvinio investavimo subjektus, ar valdymo įmonės, jei kolektyvinio investavimo subjektų valdymas perduotas valdymo įmonėms</w:t>
            </w:r>
          </w:p>
          <w:p w14:paraId="003499F9" w14:textId="77777777" w:rsidR="002A449D" w:rsidRPr="00B86BF8" w:rsidRDefault="002A449D" w:rsidP="001256C8">
            <w:pPr>
              <w:spacing w:after="0"/>
              <w:jc w:val="both"/>
              <w:rPr>
                <w:rFonts w:ascii="Times New Roman" w:hAnsi="Times New Roman"/>
              </w:rPr>
            </w:pPr>
          </w:p>
        </w:tc>
      </w:tr>
      <w:tr w:rsidR="00E36323" w:rsidRPr="00B86BF8" w14:paraId="6A6EB005" w14:textId="77777777" w:rsidTr="00E36323">
        <w:trPr>
          <w:trHeight w:val="1266"/>
        </w:trPr>
        <w:tc>
          <w:tcPr>
            <w:tcW w:w="2972" w:type="dxa"/>
            <w:vMerge w:val="restart"/>
          </w:tcPr>
          <w:p w14:paraId="0C798CBC" w14:textId="77777777" w:rsidR="00E36323" w:rsidRPr="00B86BF8" w:rsidRDefault="00E36323" w:rsidP="007B06EA">
            <w:pPr>
              <w:jc w:val="both"/>
              <w:rPr>
                <w:rFonts w:ascii="Times New Roman" w:hAnsi="Times New Roman"/>
                <w:b/>
                <w:bCs/>
              </w:rPr>
            </w:pPr>
            <w:r w:rsidRPr="00B86BF8">
              <w:rPr>
                <w:rFonts w:ascii="Times New Roman" w:hAnsi="Times New Roman" w:cs="Times New Roman"/>
                <w:b/>
                <w:bCs/>
              </w:rPr>
              <w:t>Vidaus kontrolės sistema</w:t>
            </w:r>
          </w:p>
          <w:p w14:paraId="2E18CF68" w14:textId="77777777" w:rsidR="00E36323" w:rsidRPr="00B86BF8" w:rsidRDefault="00E36323" w:rsidP="00E36323">
            <w:pPr>
              <w:spacing w:after="0"/>
              <w:jc w:val="both"/>
              <w:rPr>
                <w:rFonts w:ascii="Times New Roman" w:hAnsi="Times New Roman"/>
                <w:b/>
                <w:bCs/>
              </w:rPr>
            </w:pPr>
          </w:p>
        </w:tc>
        <w:tc>
          <w:tcPr>
            <w:tcW w:w="3402" w:type="dxa"/>
            <w:tcBorders>
              <w:bottom w:val="single" w:sz="4" w:space="0" w:color="auto"/>
            </w:tcBorders>
          </w:tcPr>
          <w:p w14:paraId="08D98AB9" w14:textId="77777777" w:rsidR="00E36323" w:rsidRPr="00B86BF8" w:rsidRDefault="00350D4E" w:rsidP="00204052">
            <w:pPr>
              <w:spacing w:after="0"/>
              <w:jc w:val="both"/>
              <w:rPr>
                <w:rFonts w:ascii="Times New Roman" w:hAnsi="Times New Roman"/>
              </w:rPr>
            </w:pPr>
            <w:r w:rsidRPr="00B86BF8">
              <w:rPr>
                <w:rFonts w:ascii="Times New Roman" w:hAnsi="Times New Roman" w:cs="Times New Roman"/>
              </w:rPr>
              <w:t>Neturi būti taikomos Lietuvos banko poveikio priemonės, išskyrus įspėjimą, ar veiklos apribojimai, remiantis Lietuvos banko duomenimis*</w:t>
            </w:r>
          </w:p>
        </w:tc>
        <w:tc>
          <w:tcPr>
            <w:tcW w:w="3724" w:type="dxa"/>
            <w:tcBorders>
              <w:bottom w:val="single" w:sz="4" w:space="0" w:color="auto"/>
            </w:tcBorders>
          </w:tcPr>
          <w:p w14:paraId="1CAB88B1" w14:textId="77777777" w:rsidR="00E36323" w:rsidRPr="00B86BF8" w:rsidRDefault="00E36323" w:rsidP="00204052">
            <w:pPr>
              <w:spacing w:after="0"/>
              <w:jc w:val="both"/>
              <w:rPr>
                <w:rFonts w:ascii="Times New Roman" w:hAnsi="Times New Roman"/>
              </w:rPr>
            </w:pPr>
            <w:r w:rsidRPr="00B86BF8">
              <w:rPr>
                <w:rFonts w:ascii="Times New Roman" w:hAnsi="Times New Roman" w:cs="Times New Roman"/>
              </w:rPr>
              <w:t>FT turi turėti saugią ir patikimą jo veiklą užtikrinančią vidaus kontrolės sistemą, kaip tai nustatyta LR finansų įstaigų įstatyme</w:t>
            </w:r>
          </w:p>
        </w:tc>
        <w:tc>
          <w:tcPr>
            <w:tcW w:w="5206" w:type="dxa"/>
          </w:tcPr>
          <w:p w14:paraId="7BA7AB97" w14:textId="77777777" w:rsidR="00E36323" w:rsidRPr="00B86BF8" w:rsidRDefault="00E36323" w:rsidP="00204052">
            <w:pPr>
              <w:spacing w:after="0"/>
              <w:jc w:val="both"/>
              <w:rPr>
                <w:rFonts w:ascii="Times New Roman" w:hAnsi="Times New Roman"/>
              </w:rPr>
            </w:pPr>
            <w:r w:rsidRPr="00B86BF8">
              <w:rPr>
                <w:rFonts w:ascii="Times New Roman" w:hAnsi="Times New Roman"/>
              </w:rPr>
              <w:t>Pateikiami patvirtinimai FT prašyme ir (ar) P</w:t>
            </w:r>
            <w:r w:rsidRPr="00B86BF8">
              <w:rPr>
                <w:rFonts w:ascii="Times New Roman" w:hAnsi="Times New Roman" w:cs="Times New Roman"/>
              </w:rPr>
              <w:t xml:space="preserve">riemonės „Alternatyva“ įgyvendinimo aprašyme </w:t>
            </w:r>
          </w:p>
        </w:tc>
      </w:tr>
      <w:tr w:rsidR="0046052E" w:rsidRPr="00B86BF8" w14:paraId="1545B049" w14:textId="77777777" w:rsidTr="00E36323">
        <w:trPr>
          <w:trHeight w:val="1266"/>
        </w:trPr>
        <w:tc>
          <w:tcPr>
            <w:tcW w:w="2972" w:type="dxa"/>
            <w:vMerge/>
          </w:tcPr>
          <w:p w14:paraId="3363ACDF" w14:textId="77777777" w:rsidR="0046052E" w:rsidRPr="00B86BF8" w:rsidRDefault="0046052E" w:rsidP="007B06EA">
            <w:pPr>
              <w:jc w:val="both"/>
              <w:rPr>
                <w:rFonts w:ascii="Times New Roman" w:hAnsi="Times New Roman"/>
                <w:b/>
                <w:bCs/>
              </w:rPr>
            </w:pPr>
          </w:p>
        </w:tc>
        <w:tc>
          <w:tcPr>
            <w:tcW w:w="3402" w:type="dxa"/>
            <w:tcBorders>
              <w:bottom w:val="single" w:sz="4" w:space="0" w:color="auto"/>
            </w:tcBorders>
          </w:tcPr>
          <w:p w14:paraId="11EBC6EC" w14:textId="77777777" w:rsidR="0046052E" w:rsidRPr="00B86BF8" w:rsidRDefault="0046052E" w:rsidP="00204052">
            <w:pPr>
              <w:spacing w:after="0"/>
              <w:jc w:val="both"/>
              <w:rPr>
                <w:rFonts w:ascii="Times New Roman" w:hAnsi="Times New Roman"/>
              </w:rPr>
            </w:pPr>
          </w:p>
        </w:tc>
        <w:tc>
          <w:tcPr>
            <w:tcW w:w="3724" w:type="dxa"/>
            <w:tcBorders>
              <w:bottom w:val="single" w:sz="4" w:space="0" w:color="auto"/>
            </w:tcBorders>
          </w:tcPr>
          <w:p w14:paraId="1D3B1265" w14:textId="77777777" w:rsidR="0046052E" w:rsidRPr="00B86BF8" w:rsidRDefault="0046052E" w:rsidP="00204052">
            <w:pPr>
              <w:spacing w:after="0"/>
              <w:jc w:val="both"/>
              <w:rPr>
                <w:rFonts w:ascii="Times New Roman" w:hAnsi="Times New Roman"/>
              </w:rPr>
            </w:pPr>
            <w:r w:rsidRPr="00B86BF8">
              <w:rPr>
                <w:rFonts w:ascii="Times New Roman" w:hAnsi="Times New Roman" w:cs="Times New Roman"/>
              </w:rPr>
              <w:t>FT turi turėti nustatytas procedūras, skirtas vertinti pinigų plovimo ir (ar) teroristų finansavimo rizikos pasireiškimą bei ją valdyti</w:t>
            </w:r>
          </w:p>
        </w:tc>
        <w:tc>
          <w:tcPr>
            <w:tcW w:w="5206" w:type="dxa"/>
          </w:tcPr>
          <w:p w14:paraId="7E3D6B2E" w14:textId="77777777" w:rsidR="0046052E" w:rsidRPr="00B86BF8" w:rsidRDefault="0046052E" w:rsidP="00204052">
            <w:pPr>
              <w:spacing w:after="0"/>
              <w:jc w:val="both"/>
              <w:rPr>
                <w:rFonts w:ascii="Times New Roman" w:hAnsi="Times New Roman"/>
              </w:rPr>
            </w:pPr>
          </w:p>
        </w:tc>
      </w:tr>
      <w:tr w:rsidR="00E36323" w:rsidRPr="00B86BF8" w14:paraId="4BD96A64" w14:textId="77777777" w:rsidTr="0050014D">
        <w:trPr>
          <w:trHeight w:val="690"/>
        </w:trPr>
        <w:tc>
          <w:tcPr>
            <w:tcW w:w="2972" w:type="dxa"/>
            <w:vMerge/>
          </w:tcPr>
          <w:p w14:paraId="2D889BA4" w14:textId="77777777" w:rsidR="00E36323" w:rsidRPr="00B86BF8" w:rsidRDefault="00E36323" w:rsidP="00E36323">
            <w:pPr>
              <w:spacing w:after="0"/>
              <w:jc w:val="both"/>
              <w:rPr>
                <w:rFonts w:ascii="Times New Roman" w:hAnsi="Times New Roman" w:cs="Times New Roman"/>
                <w:b/>
                <w:bCs/>
              </w:rPr>
            </w:pPr>
          </w:p>
        </w:tc>
        <w:tc>
          <w:tcPr>
            <w:tcW w:w="3402" w:type="dxa"/>
          </w:tcPr>
          <w:p w14:paraId="6CC7A21D" w14:textId="77777777" w:rsidR="00E36323" w:rsidRPr="00B86BF8" w:rsidRDefault="00E36323" w:rsidP="00E36323">
            <w:pPr>
              <w:spacing w:after="0"/>
              <w:jc w:val="both"/>
              <w:rPr>
                <w:rFonts w:ascii="Times New Roman" w:hAnsi="Times New Roman" w:cs="Times New Roman"/>
              </w:rPr>
            </w:pPr>
            <w:r w:rsidRPr="00B86BF8">
              <w:rPr>
                <w:rFonts w:ascii="Times New Roman" w:hAnsi="Times New Roman" w:cs="Times New Roman"/>
              </w:rPr>
              <w:t>-</w:t>
            </w:r>
          </w:p>
        </w:tc>
        <w:tc>
          <w:tcPr>
            <w:tcW w:w="3724" w:type="dxa"/>
          </w:tcPr>
          <w:p w14:paraId="41A333F0" w14:textId="77777777" w:rsidR="00E36323" w:rsidRPr="00B86BF8" w:rsidRDefault="00E36323" w:rsidP="00E36323">
            <w:pPr>
              <w:spacing w:after="0"/>
              <w:jc w:val="both"/>
              <w:rPr>
                <w:rFonts w:ascii="Times New Roman" w:hAnsi="Times New Roman" w:cs="Times New Roman"/>
              </w:rPr>
            </w:pPr>
            <w:r w:rsidRPr="00B86BF8">
              <w:rPr>
                <w:rFonts w:ascii="Times New Roman" w:hAnsi="Times New Roman" w:cs="Times New Roman"/>
              </w:rPr>
              <w:t>FT turi užtikrinti informacijos saugumą pagal BDAR reikalavimus</w:t>
            </w:r>
          </w:p>
        </w:tc>
        <w:tc>
          <w:tcPr>
            <w:tcW w:w="5206" w:type="dxa"/>
            <w:vMerge w:val="restart"/>
          </w:tcPr>
          <w:p w14:paraId="2D0C4C57" w14:textId="77777777" w:rsidR="00E36323" w:rsidRPr="00B86BF8" w:rsidRDefault="00E36323" w:rsidP="00E36323">
            <w:pPr>
              <w:spacing w:after="0"/>
              <w:jc w:val="both"/>
              <w:rPr>
                <w:rFonts w:ascii="Times New Roman" w:hAnsi="Times New Roman"/>
              </w:rPr>
            </w:pPr>
          </w:p>
        </w:tc>
      </w:tr>
      <w:tr w:rsidR="00E36323" w:rsidRPr="00B86BF8" w14:paraId="688B38D5" w14:textId="77777777" w:rsidTr="0050014D">
        <w:trPr>
          <w:trHeight w:val="752"/>
        </w:trPr>
        <w:tc>
          <w:tcPr>
            <w:tcW w:w="2972" w:type="dxa"/>
            <w:vMerge/>
          </w:tcPr>
          <w:p w14:paraId="6ED34E6D" w14:textId="77777777" w:rsidR="00E36323" w:rsidRPr="00B86BF8" w:rsidRDefault="00E36323" w:rsidP="00E36323">
            <w:pPr>
              <w:spacing w:after="0"/>
              <w:jc w:val="both"/>
              <w:rPr>
                <w:rFonts w:ascii="Times New Roman" w:hAnsi="Times New Roman" w:cs="Times New Roman"/>
                <w:b/>
                <w:bCs/>
              </w:rPr>
            </w:pPr>
          </w:p>
        </w:tc>
        <w:tc>
          <w:tcPr>
            <w:tcW w:w="3402" w:type="dxa"/>
          </w:tcPr>
          <w:p w14:paraId="3B748C1B" w14:textId="77777777" w:rsidR="00E36323" w:rsidRPr="00B86BF8" w:rsidRDefault="00E36323" w:rsidP="00E36323">
            <w:pPr>
              <w:spacing w:after="0"/>
              <w:jc w:val="both"/>
              <w:rPr>
                <w:rFonts w:ascii="Times New Roman" w:hAnsi="Times New Roman" w:cs="Times New Roman"/>
              </w:rPr>
            </w:pPr>
            <w:r w:rsidRPr="00B86BF8">
              <w:rPr>
                <w:rFonts w:ascii="Times New Roman" w:hAnsi="Times New Roman" w:cs="Times New Roman"/>
              </w:rPr>
              <w:t>-</w:t>
            </w:r>
          </w:p>
        </w:tc>
        <w:tc>
          <w:tcPr>
            <w:tcW w:w="3724" w:type="dxa"/>
          </w:tcPr>
          <w:p w14:paraId="012FBFDA" w14:textId="77777777" w:rsidR="00E36323" w:rsidRPr="00B86BF8" w:rsidRDefault="00E36323" w:rsidP="00E36323">
            <w:pPr>
              <w:spacing w:after="0"/>
              <w:jc w:val="both"/>
              <w:rPr>
                <w:rFonts w:ascii="Times New Roman" w:hAnsi="Times New Roman" w:cs="Times New Roman"/>
              </w:rPr>
            </w:pPr>
            <w:r w:rsidRPr="00B86BF8">
              <w:rPr>
                <w:rFonts w:ascii="Times New Roman" w:hAnsi="Times New Roman" w:cs="Times New Roman"/>
              </w:rPr>
              <w:t>FT turi turėti galimų interesų konfliktų valdymo tvarkas ir procedūras</w:t>
            </w:r>
          </w:p>
        </w:tc>
        <w:tc>
          <w:tcPr>
            <w:tcW w:w="5206" w:type="dxa"/>
            <w:vMerge/>
          </w:tcPr>
          <w:p w14:paraId="1FDFD215" w14:textId="77777777" w:rsidR="00E36323" w:rsidRPr="00B86BF8" w:rsidRDefault="00E36323" w:rsidP="00E36323">
            <w:pPr>
              <w:spacing w:after="0"/>
              <w:jc w:val="both"/>
              <w:rPr>
                <w:rFonts w:ascii="Times New Roman" w:hAnsi="Times New Roman"/>
              </w:rPr>
            </w:pPr>
          </w:p>
        </w:tc>
      </w:tr>
      <w:tr w:rsidR="00E36323" w:rsidRPr="00B86BF8" w14:paraId="46F00EE8" w14:textId="77777777" w:rsidTr="009167F4">
        <w:tc>
          <w:tcPr>
            <w:tcW w:w="2972" w:type="dxa"/>
            <w:vMerge/>
          </w:tcPr>
          <w:p w14:paraId="40103A7A" w14:textId="77777777" w:rsidR="00E36323" w:rsidRPr="00B86BF8" w:rsidRDefault="00E36323" w:rsidP="00E36323">
            <w:pPr>
              <w:spacing w:after="0"/>
              <w:jc w:val="both"/>
              <w:rPr>
                <w:rFonts w:ascii="Times New Roman" w:hAnsi="Times New Roman" w:cs="Times New Roman"/>
                <w:b/>
                <w:bCs/>
              </w:rPr>
            </w:pPr>
          </w:p>
        </w:tc>
        <w:tc>
          <w:tcPr>
            <w:tcW w:w="3402" w:type="dxa"/>
          </w:tcPr>
          <w:p w14:paraId="49A03C7A" w14:textId="77777777" w:rsidR="00E36323" w:rsidRPr="00B86BF8" w:rsidRDefault="00E36323" w:rsidP="00E36323">
            <w:pPr>
              <w:spacing w:after="0"/>
              <w:jc w:val="both"/>
              <w:rPr>
                <w:rFonts w:ascii="Times New Roman" w:hAnsi="Times New Roman" w:cs="Times New Roman"/>
              </w:rPr>
            </w:pPr>
          </w:p>
        </w:tc>
        <w:tc>
          <w:tcPr>
            <w:tcW w:w="3724" w:type="dxa"/>
          </w:tcPr>
          <w:p w14:paraId="233CEC37" w14:textId="77777777" w:rsidR="00E36323" w:rsidRPr="00B86BF8" w:rsidRDefault="00E36323" w:rsidP="00E36323">
            <w:pPr>
              <w:spacing w:after="0"/>
              <w:jc w:val="both"/>
              <w:rPr>
                <w:rFonts w:ascii="Times New Roman" w:hAnsi="Times New Roman" w:cs="Times New Roman"/>
              </w:rPr>
            </w:pPr>
            <w:r w:rsidRPr="00B86BF8">
              <w:rPr>
                <w:rFonts w:ascii="Times New Roman" w:hAnsi="Times New Roman" w:cs="Times New Roman"/>
              </w:rPr>
              <w:t xml:space="preserve">FT turi </w:t>
            </w:r>
            <w:r w:rsidRPr="00B86BF8">
              <w:rPr>
                <w:rFonts w:ascii="Times New Roman" w:hAnsi="Times New Roman"/>
              </w:rPr>
              <w:t>turėti elektroninių duomenų apdorojimo kontrolės ir apsaugos priemones</w:t>
            </w:r>
          </w:p>
        </w:tc>
        <w:tc>
          <w:tcPr>
            <w:tcW w:w="5206" w:type="dxa"/>
            <w:vMerge/>
          </w:tcPr>
          <w:p w14:paraId="733EAFED" w14:textId="77777777" w:rsidR="00E36323" w:rsidRPr="00B86BF8" w:rsidRDefault="00E36323" w:rsidP="00E36323">
            <w:pPr>
              <w:spacing w:after="0"/>
              <w:jc w:val="both"/>
              <w:rPr>
                <w:rFonts w:ascii="Times New Roman" w:hAnsi="Times New Roman"/>
              </w:rPr>
            </w:pPr>
          </w:p>
        </w:tc>
      </w:tr>
      <w:tr w:rsidR="00E36323" w:rsidRPr="00B86BF8" w14:paraId="1B6A1D70" w14:textId="77777777" w:rsidTr="009167F4">
        <w:tc>
          <w:tcPr>
            <w:tcW w:w="2972" w:type="dxa"/>
            <w:vMerge/>
          </w:tcPr>
          <w:p w14:paraId="0278C535" w14:textId="77777777" w:rsidR="00E36323" w:rsidRPr="00B86BF8" w:rsidRDefault="00E36323" w:rsidP="00E36323">
            <w:pPr>
              <w:spacing w:after="0"/>
              <w:jc w:val="both"/>
              <w:rPr>
                <w:rFonts w:ascii="Times New Roman" w:hAnsi="Times New Roman" w:cs="Times New Roman"/>
                <w:b/>
                <w:bCs/>
              </w:rPr>
            </w:pPr>
          </w:p>
        </w:tc>
        <w:tc>
          <w:tcPr>
            <w:tcW w:w="3402" w:type="dxa"/>
          </w:tcPr>
          <w:p w14:paraId="6E323D72" w14:textId="77777777" w:rsidR="00E36323" w:rsidRPr="00B86BF8" w:rsidRDefault="00E36323" w:rsidP="00E36323">
            <w:pPr>
              <w:spacing w:after="0"/>
              <w:jc w:val="both"/>
              <w:rPr>
                <w:rFonts w:ascii="Times New Roman" w:hAnsi="Times New Roman" w:cs="Times New Roman"/>
              </w:rPr>
            </w:pPr>
          </w:p>
        </w:tc>
        <w:tc>
          <w:tcPr>
            <w:tcW w:w="3724" w:type="dxa"/>
          </w:tcPr>
          <w:p w14:paraId="186C2B4A" w14:textId="77777777" w:rsidR="00E36323" w:rsidRPr="00B86BF8" w:rsidRDefault="00E36323" w:rsidP="00E36323">
            <w:pPr>
              <w:spacing w:after="0"/>
              <w:jc w:val="both"/>
              <w:rPr>
                <w:rFonts w:ascii="Times New Roman" w:hAnsi="Times New Roman" w:cs="Times New Roman"/>
              </w:rPr>
            </w:pPr>
            <w:r w:rsidRPr="00B86BF8">
              <w:rPr>
                <w:rFonts w:ascii="Times New Roman" w:hAnsi="Times New Roman" w:cs="Times New Roman"/>
              </w:rPr>
              <w:t xml:space="preserve">FT turi </w:t>
            </w:r>
            <w:r w:rsidRPr="00B86BF8">
              <w:rPr>
                <w:rFonts w:ascii="Times New Roman" w:hAnsi="Times New Roman"/>
              </w:rPr>
              <w:t>turėti patikimą dokumentų saugojimo sistemą</w:t>
            </w:r>
            <w:r w:rsidRPr="00B86BF8">
              <w:rPr>
                <w:rFonts w:ascii="Times New Roman" w:hAnsi="Times New Roman" w:cs="Times New Roman"/>
              </w:rPr>
              <w:t xml:space="preserve"> ir duomenų, susijusių su Faktoringo sandorių teikimu MVĮ, kaupimo bei valdymo sistemą</w:t>
            </w:r>
          </w:p>
        </w:tc>
        <w:tc>
          <w:tcPr>
            <w:tcW w:w="5206" w:type="dxa"/>
            <w:vMerge/>
          </w:tcPr>
          <w:p w14:paraId="08C57D71" w14:textId="77777777" w:rsidR="00E36323" w:rsidRPr="00B86BF8" w:rsidRDefault="00E36323" w:rsidP="00E36323">
            <w:pPr>
              <w:spacing w:after="0"/>
              <w:jc w:val="both"/>
              <w:rPr>
                <w:rFonts w:ascii="Times New Roman" w:hAnsi="Times New Roman"/>
              </w:rPr>
            </w:pPr>
          </w:p>
        </w:tc>
      </w:tr>
      <w:tr w:rsidR="009B1448" w:rsidRPr="00B86BF8" w14:paraId="533A3BA0" w14:textId="77777777" w:rsidTr="00E85CE0">
        <w:trPr>
          <w:trHeight w:val="841"/>
        </w:trPr>
        <w:tc>
          <w:tcPr>
            <w:tcW w:w="2972" w:type="dxa"/>
            <w:vMerge w:val="restart"/>
          </w:tcPr>
          <w:p w14:paraId="50F80CCE" w14:textId="77777777" w:rsidR="009B1448" w:rsidRPr="00B86BF8" w:rsidRDefault="009B1448" w:rsidP="009B1448">
            <w:pPr>
              <w:spacing w:after="0"/>
              <w:jc w:val="both"/>
              <w:rPr>
                <w:rFonts w:ascii="Times New Roman" w:hAnsi="Times New Roman"/>
                <w:b/>
                <w:bCs/>
              </w:rPr>
            </w:pPr>
            <w:r w:rsidRPr="00B86BF8">
              <w:rPr>
                <w:rFonts w:ascii="Times New Roman" w:hAnsi="Times New Roman" w:cs="Times New Roman"/>
                <w:b/>
                <w:bCs/>
              </w:rPr>
              <w:t>Kreditavimo tvarkos ir procedūros</w:t>
            </w:r>
          </w:p>
        </w:tc>
        <w:tc>
          <w:tcPr>
            <w:tcW w:w="3402" w:type="dxa"/>
            <w:tcBorders>
              <w:top w:val="nil"/>
              <w:bottom w:val="single" w:sz="4" w:space="0" w:color="auto"/>
            </w:tcBorders>
          </w:tcPr>
          <w:p w14:paraId="571020BD" w14:textId="77777777" w:rsidR="009B1448" w:rsidRPr="00B86BF8" w:rsidRDefault="009B1448" w:rsidP="009B1448">
            <w:pPr>
              <w:spacing w:after="0"/>
              <w:jc w:val="both"/>
              <w:rPr>
                <w:rFonts w:ascii="Times New Roman" w:hAnsi="Times New Roman"/>
              </w:rPr>
            </w:pPr>
            <w:r w:rsidRPr="00B86BF8">
              <w:rPr>
                <w:rFonts w:ascii="Times New Roman" w:hAnsi="Times New Roman" w:cs="Times New Roman"/>
              </w:rPr>
              <w:t>Turėti kreditavimo procesą ir su juo susijusias rizikas reglamentuojančias tvarkas, procedūras ir (ar) politikas*</w:t>
            </w:r>
          </w:p>
        </w:tc>
        <w:tc>
          <w:tcPr>
            <w:tcW w:w="3724" w:type="dxa"/>
            <w:tcBorders>
              <w:top w:val="nil"/>
              <w:bottom w:val="single" w:sz="4" w:space="0" w:color="auto"/>
            </w:tcBorders>
          </w:tcPr>
          <w:p w14:paraId="20C4CDB3" w14:textId="77777777" w:rsidR="009B1448" w:rsidRPr="00B86BF8" w:rsidRDefault="009B1448" w:rsidP="009B1448">
            <w:pPr>
              <w:spacing w:after="0"/>
              <w:jc w:val="both"/>
              <w:rPr>
                <w:rFonts w:ascii="Times New Roman" w:hAnsi="Times New Roman"/>
              </w:rPr>
            </w:pPr>
            <w:r w:rsidRPr="00B86BF8">
              <w:rPr>
                <w:rFonts w:ascii="Times New Roman" w:hAnsi="Times New Roman" w:cs="Times New Roman"/>
              </w:rPr>
              <w:t>Turėti kreditavimo procesą ir su juo susijusias rizikas reglamentuojančias tvarkas, procedūras ir (ar) politikas</w:t>
            </w:r>
          </w:p>
        </w:tc>
        <w:tc>
          <w:tcPr>
            <w:tcW w:w="5206" w:type="dxa"/>
            <w:vMerge w:val="restart"/>
          </w:tcPr>
          <w:p w14:paraId="39141A1A" w14:textId="77777777" w:rsidR="009B1448" w:rsidRPr="00B86BF8" w:rsidRDefault="009B1448" w:rsidP="009B1448">
            <w:pPr>
              <w:spacing w:after="0"/>
              <w:jc w:val="both"/>
              <w:rPr>
                <w:rFonts w:ascii="Times New Roman" w:hAnsi="Times New Roman"/>
              </w:rPr>
            </w:pPr>
            <w:r w:rsidRPr="00B86BF8">
              <w:rPr>
                <w:rFonts w:ascii="Times New Roman" w:hAnsi="Times New Roman"/>
              </w:rPr>
              <w:t>Pateikiami patvirtinimai FT prašyme ir (ar) P</w:t>
            </w:r>
            <w:r w:rsidRPr="00B86BF8">
              <w:rPr>
                <w:rFonts w:ascii="Times New Roman" w:hAnsi="Times New Roman" w:cs="Times New Roman"/>
              </w:rPr>
              <w:t>riemonės „Alternatyva“ įgyvendinimo aprašyme</w:t>
            </w:r>
          </w:p>
        </w:tc>
      </w:tr>
      <w:tr w:rsidR="009B1448" w:rsidRPr="00B86BF8" w14:paraId="2471AC91" w14:textId="77777777" w:rsidTr="00E85CE0">
        <w:trPr>
          <w:trHeight w:val="841"/>
        </w:trPr>
        <w:tc>
          <w:tcPr>
            <w:tcW w:w="2972" w:type="dxa"/>
            <w:vMerge/>
            <w:tcBorders>
              <w:bottom w:val="single" w:sz="4" w:space="0" w:color="auto"/>
            </w:tcBorders>
          </w:tcPr>
          <w:p w14:paraId="7C0E3D57" w14:textId="77777777" w:rsidR="009B1448" w:rsidRPr="00B86BF8" w:rsidRDefault="009B1448" w:rsidP="009B1448">
            <w:pPr>
              <w:spacing w:after="0"/>
              <w:jc w:val="both"/>
              <w:rPr>
                <w:rFonts w:ascii="Times New Roman" w:hAnsi="Times New Roman"/>
                <w:b/>
                <w:bCs/>
              </w:rPr>
            </w:pPr>
          </w:p>
        </w:tc>
        <w:tc>
          <w:tcPr>
            <w:tcW w:w="3402" w:type="dxa"/>
            <w:tcBorders>
              <w:top w:val="nil"/>
              <w:bottom w:val="single" w:sz="4" w:space="0" w:color="auto"/>
            </w:tcBorders>
          </w:tcPr>
          <w:p w14:paraId="4954391A" w14:textId="77777777" w:rsidR="009B1448" w:rsidRPr="00B86BF8" w:rsidRDefault="009B1448" w:rsidP="009B1448">
            <w:pPr>
              <w:spacing w:after="0"/>
              <w:jc w:val="both"/>
              <w:rPr>
                <w:rFonts w:ascii="Times New Roman" w:hAnsi="Times New Roman"/>
              </w:rPr>
            </w:pPr>
            <w:r w:rsidRPr="00B86BF8">
              <w:rPr>
                <w:rFonts w:ascii="Times New Roman" w:hAnsi="Times New Roman" w:cs="Times New Roman"/>
              </w:rPr>
              <w:t xml:space="preserve">Sprendimai dėl projekto finansavimo suteikimo turi būti priimami tik atlikus rizikos vertinimą, vadovaujantis FT patvirtintomis procedūromis ir tvarkomis, užtikrinančiomis tinkamą projekto rizikos ir kredito gavėjo mokumo įvertinimą bei </w:t>
            </w:r>
            <w:r w:rsidRPr="00B86BF8">
              <w:rPr>
                <w:rFonts w:ascii="Times New Roman" w:hAnsi="Times New Roman" w:cs="Times New Roman"/>
              </w:rPr>
              <w:lastRenderedPageBreak/>
              <w:t>užkertančiomis galimybę prisiimti pernelyg didelę kredito riziką</w:t>
            </w:r>
            <w:r w:rsidRPr="00B86BF8">
              <w:rPr>
                <w:rFonts w:ascii="Times New Roman" w:hAnsi="Times New Roman"/>
              </w:rPr>
              <w:t>*</w:t>
            </w:r>
          </w:p>
        </w:tc>
        <w:tc>
          <w:tcPr>
            <w:tcW w:w="3724" w:type="dxa"/>
            <w:tcBorders>
              <w:top w:val="nil"/>
              <w:bottom w:val="single" w:sz="4" w:space="0" w:color="auto"/>
            </w:tcBorders>
          </w:tcPr>
          <w:p w14:paraId="3F1F7615" w14:textId="77777777" w:rsidR="009B1448" w:rsidRPr="00B86BF8" w:rsidRDefault="009B1448" w:rsidP="009B1448">
            <w:pPr>
              <w:spacing w:after="0"/>
              <w:jc w:val="both"/>
              <w:rPr>
                <w:rFonts w:ascii="Times New Roman" w:hAnsi="Times New Roman"/>
              </w:rPr>
            </w:pPr>
            <w:r w:rsidRPr="00B86BF8">
              <w:rPr>
                <w:rFonts w:ascii="Times New Roman" w:hAnsi="Times New Roman" w:cs="Times New Roman"/>
              </w:rPr>
              <w:lastRenderedPageBreak/>
              <w:t xml:space="preserve">Sprendimai dėl projekto finansavimo suteikimo turi būti priimami tik atlikus rizikos vertinimą, vadovaujantis FT patvirtintomis procedūromis ir tvarkomis, užtikrinančiomis tinkamą projekto rizikos ir kredito gavėjo mokumo įvertinimą bei užkertančiomis </w:t>
            </w:r>
            <w:r w:rsidRPr="00B86BF8">
              <w:rPr>
                <w:rFonts w:ascii="Times New Roman" w:hAnsi="Times New Roman" w:cs="Times New Roman"/>
              </w:rPr>
              <w:lastRenderedPageBreak/>
              <w:t>galimybę prisiimti pernelyg didelę kredito riziką</w:t>
            </w:r>
          </w:p>
        </w:tc>
        <w:tc>
          <w:tcPr>
            <w:tcW w:w="5206" w:type="dxa"/>
            <w:vMerge/>
            <w:tcBorders>
              <w:bottom w:val="single" w:sz="4" w:space="0" w:color="auto"/>
            </w:tcBorders>
          </w:tcPr>
          <w:p w14:paraId="3501E317" w14:textId="77777777" w:rsidR="009B1448" w:rsidRPr="00B86BF8" w:rsidRDefault="009B1448" w:rsidP="009B1448">
            <w:pPr>
              <w:spacing w:after="0"/>
              <w:jc w:val="both"/>
              <w:rPr>
                <w:rFonts w:ascii="Times New Roman" w:hAnsi="Times New Roman"/>
              </w:rPr>
            </w:pPr>
          </w:p>
        </w:tc>
      </w:tr>
      <w:tr w:rsidR="009B1448" w:rsidRPr="00B86BF8" w14:paraId="079C4024" w14:textId="77777777" w:rsidTr="0050014D">
        <w:trPr>
          <w:trHeight w:val="1257"/>
        </w:trPr>
        <w:tc>
          <w:tcPr>
            <w:tcW w:w="2972" w:type="dxa"/>
            <w:vMerge w:val="restart"/>
            <w:tcBorders>
              <w:top w:val="single" w:sz="4" w:space="0" w:color="auto"/>
              <w:bottom w:val="single" w:sz="4" w:space="0" w:color="auto"/>
            </w:tcBorders>
          </w:tcPr>
          <w:p w14:paraId="37F60DE5" w14:textId="77777777" w:rsidR="009B1448" w:rsidRPr="00B86BF8" w:rsidRDefault="009B1448" w:rsidP="009B1448">
            <w:pPr>
              <w:spacing w:after="0"/>
              <w:jc w:val="both"/>
              <w:rPr>
                <w:rFonts w:ascii="Times New Roman" w:hAnsi="Times New Roman" w:cs="Times New Roman"/>
                <w:b/>
                <w:bCs/>
              </w:rPr>
            </w:pPr>
            <w:bookmarkStart w:id="5" w:name="_Hlk37747523"/>
            <w:r w:rsidRPr="00B86BF8">
              <w:rPr>
                <w:rFonts w:ascii="Times New Roman" w:hAnsi="Times New Roman"/>
                <w:b/>
                <w:bCs/>
              </w:rPr>
              <w:t>Tvarkos ir procedūros tinkamam Sutarties įgyvendinimui ir administravimui</w:t>
            </w:r>
          </w:p>
          <w:p w14:paraId="757FCE26" w14:textId="77777777" w:rsidR="009B1448" w:rsidRPr="00B86BF8" w:rsidRDefault="009B1448" w:rsidP="009B1448">
            <w:pPr>
              <w:spacing w:after="0"/>
              <w:jc w:val="both"/>
              <w:rPr>
                <w:rFonts w:ascii="Times New Roman" w:hAnsi="Times New Roman" w:cs="Times New Roman"/>
                <w:b/>
                <w:bCs/>
              </w:rPr>
            </w:pPr>
          </w:p>
        </w:tc>
        <w:tc>
          <w:tcPr>
            <w:tcW w:w="3402" w:type="dxa"/>
            <w:tcBorders>
              <w:top w:val="single" w:sz="4" w:space="0" w:color="auto"/>
              <w:bottom w:val="single" w:sz="4" w:space="0" w:color="auto"/>
            </w:tcBorders>
          </w:tcPr>
          <w:p w14:paraId="43147E57" w14:textId="77777777" w:rsidR="009B1448" w:rsidRPr="00B86BF8" w:rsidRDefault="009B1448" w:rsidP="009B1448">
            <w:pPr>
              <w:spacing w:after="0"/>
              <w:jc w:val="both"/>
              <w:rPr>
                <w:rFonts w:ascii="Times New Roman" w:hAnsi="Times New Roman" w:cs="Times New Roman"/>
              </w:rPr>
            </w:pPr>
            <w:r w:rsidRPr="00B86BF8">
              <w:rPr>
                <w:rFonts w:ascii="Times New Roman" w:hAnsi="Times New Roman"/>
              </w:rPr>
              <w:t xml:space="preserve">Paskolų ir (ar) </w:t>
            </w:r>
            <w:r w:rsidR="000238E3" w:rsidRPr="00B86BF8">
              <w:rPr>
                <w:rFonts w:ascii="Times New Roman" w:hAnsi="Times New Roman"/>
              </w:rPr>
              <w:t>Paskolų</w:t>
            </w:r>
            <w:r w:rsidRPr="00B86BF8">
              <w:rPr>
                <w:rFonts w:ascii="Times New Roman" w:hAnsi="Times New Roman"/>
              </w:rPr>
              <w:t xml:space="preserve"> gavėjų rizikos įvertinimo ir reitingavimo procedūros</w:t>
            </w:r>
          </w:p>
        </w:tc>
        <w:tc>
          <w:tcPr>
            <w:tcW w:w="3724" w:type="dxa"/>
            <w:tcBorders>
              <w:top w:val="single" w:sz="4" w:space="0" w:color="auto"/>
              <w:bottom w:val="single" w:sz="4" w:space="0" w:color="auto"/>
            </w:tcBorders>
          </w:tcPr>
          <w:p w14:paraId="043FB73C" w14:textId="77777777" w:rsidR="009B1448" w:rsidRPr="00B86BF8" w:rsidRDefault="009B1448" w:rsidP="009B1448">
            <w:pPr>
              <w:spacing w:after="0"/>
              <w:jc w:val="both"/>
              <w:rPr>
                <w:rFonts w:ascii="Times New Roman" w:hAnsi="Times New Roman" w:cs="Times New Roman"/>
              </w:rPr>
            </w:pPr>
            <w:r w:rsidRPr="00B86BF8">
              <w:rPr>
                <w:rFonts w:ascii="Times New Roman" w:hAnsi="Times New Roman"/>
              </w:rPr>
              <w:t xml:space="preserve">Paskolų ir (ar) </w:t>
            </w:r>
            <w:r w:rsidR="000238E3" w:rsidRPr="00B86BF8">
              <w:rPr>
                <w:rFonts w:ascii="Times New Roman" w:hAnsi="Times New Roman"/>
              </w:rPr>
              <w:t>Paskolų</w:t>
            </w:r>
            <w:r w:rsidRPr="00B86BF8">
              <w:rPr>
                <w:rFonts w:ascii="Times New Roman" w:hAnsi="Times New Roman"/>
              </w:rPr>
              <w:t xml:space="preserve"> gavėjų rizikos įvertinimo ir reitingavimo procedūros</w:t>
            </w:r>
          </w:p>
        </w:tc>
        <w:tc>
          <w:tcPr>
            <w:tcW w:w="5206" w:type="dxa"/>
            <w:vMerge w:val="restart"/>
            <w:tcBorders>
              <w:bottom w:val="single" w:sz="4" w:space="0" w:color="auto"/>
            </w:tcBorders>
          </w:tcPr>
          <w:p w14:paraId="1B65344B" w14:textId="77777777" w:rsidR="009B1448" w:rsidRPr="00B86BF8" w:rsidRDefault="009B1448" w:rsidP="009B1448">
            <w:pPr>
              <w:spacing w:after="0"/>
              <w:jc w:val="both"/>
              <w:rPr>
                <w:rFonts w:ascii="Times New Roman" w:hAnsi="Times New Roman"/>
              </w:rPr>
            </w:pPr>
            <w:r w:rsidRPr="00B86BF8">
              <w:rPr>
                <w:rFonts w:ascii="Times New Roman" w:hAnsi="Times New Roman"/>
              </w:rPr>
              <w:t>Pateikiama Paskolos gavėjų ir (ar) Paskolų rizikos vertinimo  metodika</w:t>
            </w:r>
          </w:p>
          <w:p w14:paraId="1493DD44" w14:textId="77777777" w:rsidR="009B1448" w:rsidRPr="00B86BF8" w:rsidRDefault="009B1448" w:rsidP="009B1448">
            <w:pPr>
              <w:spacing w:after="0"/>
              <w:jc w:val="both"/>
              <w:rPr>
                <w:rFonts w:ascii="Times New Roman" w:hAnsi="Times New Roman"/>
              </w:rPr>
            </w:pPr>
          </w:p>
        </w:tc>
      </w:tr>
      <w:tr w:rsidR="009B1448" w:rsidRPr="00B86BF8" w14:paraId="0A73AFEC" w14:textId="77777777" w:rsidTr="00E85CE0">
        <w:tc>
          <w:tcPr>
            <w:tcW w:w="2972" w:type="dxa"/>
            <w:vMerge/>
            <w:tcBorders>
              <w:top w:val="single" w:sz="4" w:space="0" w:color="auto"/>
              <w:bottom w:val="single" w:sz="4" w:space="0" w:color="auto"/>
            </w:tcBorders>
          </w:tcPr>
          <w:p w14:paraId="10554EAB" w14:textId="77777777" w:rsidR="009B1448" w:rsidRPr="00B86BF8" w:rsidRDefault="009B1448" w:rsidP="009B1448">
            <w:pPr>
              <w:spacing w:after="0"/>
              <w:jc w:val="both"/>
              <w:rPr>
                <w:rFonts w:ascii="Times New Roman" w:hAnsi="Times New Roman" w:cs="Times New Roman"/>
                <w:b/>
                <w:bCs/>
              </w:rPr>
            </w:pPr>
            <w:bookmarkStart w:id="6" w:name="_Hlk37747576"/>
            <w:bookmarkEnd w:id="5"/>
          </w:p>
        </w:tc>
        <w:tc>
          <w:tcPr>
            <w:tcW w:w="3402" w:type="dxa"/>
            <w:tcBorders>
              <w:top w:val="single" w:sz="4" w:space="0" w:color="auto"/>
              <w:bottom w:val="single" w:sz="4" w:space="0" w:color="auto"/>
            </w:tcBorders>
          </w:tcPr>
          <w:p w14:paraId="33B7A254" w14:textId="77777777" w:rsidR="009B1448" w:rsidRPr="00B86BF8" w:rsidRDefault="009B1448" w:rsidP="0046052E">
            <w:pPr>
              <w:spacing w:after="0"/>
              <w:jc w:val="both"/>
              <w:rPr>
                <w:rFonts w:ascii="Times New Roman" w:hAnsi="Times New Roman"/>
              </w:rPr>
            </w:pPr>
            <w:r w:rsidRPr="00B86BF8">
              <w:rPr>
                <w:rFonts w:ascii="Times New Roman" w:hAnsi="Times New Roman"/>
              </w:rPr>
              <w:t xml:space="preserve">Turėti Paskolų teikimo, Paskolų stebėsenos procedūras, Paskolų portfelio rizikos valdymo, skolų išieškojimo metodikas* </w:t>
            </w:r>
          </w:p>
        </w:tc>
        <w:tc>
          <w:tcPr>
            <w:tcW w:w="3724" w:type="dxa"/>
            <w:tcBorders>
              <w:top w:val="single" w:sz="4" w:space="0" w:color="auto"/>
              <w:bottom w:val="single" w:sz="4" w:space="0" w:color="auto"/>
            </w:tcBorders>
          </w:tcPr>
          <w:p w14:paraId="26DB50CD" w14:textId="77777777" w:rsidR="009B1448" w:rsidRPr="00B86BF8" w:rsidRDefault="009B1448" w:rsidP="0046052E">
            <w:pPr>
              <w:spacing w:after="0"/>
              <w:jc w:val="both"/>
              <w:rPr>
                <w:rFonts w:ascii="Times New Roman" w:hAnsi="Times New Roman" w:cs="Times New Roman"/>
              </w:rPr>
            </w:pPr>
            <w:r w:rsidRPr="00B86BF8">
              <w:rPr>
                <w:rFonts w:ascii="Times New Roman" w:hAnsi="Times New Roman"/>
              </w:rPr>
              <w:t xml:space="preserve">Turėti Paskolų teikimo, Paskolų stebėsenos procedūras, Paskolų portfelio rizikos valdymo, skolų išieškojimo metodikas </w:t>
            </w:r>
          </w:p>
        </w:tc>
        <w:tc>
          <w:tcPr>
            <w:tcW w:w="5206" w:type="dxa"/>
            <w:vMerge/>
            <w:tcBorders>
              <w:top w:val="single" w:sz="4" w:space="0" w:color="auto"/>
              <w:bottom w:val="single" w:sz="4" w:space="0" w:color="auto"/>
            </w:tcBorders>
          </w:tcPr>
          <w:p w14:paraId="46B78B9C" w14:textId="77777777" w:rsidR="009B1448" w:rsidRPr="00B86BF8" w:rsidRDefault="009B1448" w:rsidP="009B1448">
            <w:pPr>
              <w:spacing w:after="0"/>
              <w:jc w:val="both"/>
              <w:rPr>
                <w:rFonts w:ascii="Times New Roman" w:hAnsi="Times New Roman"/>
              </w:rPr>
            </w:pPr>
          </w:p>
        </w:tc>
      </w:tr>
      <w:bookmarkEnd w:id="6"/>
      <w:tr w:rsidR="009B1448" w:rsidRPr="00B86BF8" w14:paraId="20575BFF" w14:textId="77777777" w:rsidTr="00E85CE0">
        <w:tc>
          <w:tcPr>
            <w:tcW w:w="2972" w:type="dxa"/>
            <w:tcBorders>
              <w:top w:val="single" w:sz="4" w:space="0" w:color="auto"/>
              <w:bottom w:val="single" w:sz="4" w:space="0" w:color="auto"/>
            </w:tcBorders>
          </w:tcPr>
          <w:p w14:paraId="1330B8D2" w14:textId="77777777" w:rsidR="009B1448" w:rsidRPr="00B86BF8" w:rsidRDefault="009B1448" w:rsidP="009B1448">
            <w:pPr>
              <w:spacing w:after="0"/>
              <w:jc w:val="both"/>
              <w:rPr>
                <w:rFonts w:ascii="Times New Roman" w:hAnsi="Times New Roman"/>
                <w:b/>
                <w:bCs/>
              </w:rPr>
            </w:pPr>
          </w:p>
        </w:tc>
        <w:tc>
          <w:tcPr>
            <w:tcW w:w="3402" w:type="dxa"/>
            <w:tcBorders>
              <w:top w:val="single" w:sz="4" w:space="0" w:color="auto"/>
              <w:bottom w:val="single" w:sz="4" w:space="0" w:color="auto"/>
            </w:tcBorders>
          </w:tcPr>
          <w:p w14:paraId="4F2EF9B9" w14:textId="77777777" w:rsidR="009B1448" w:rsidRPr="00B86BF8" w:rsidRDefault="009B1448" w:rsidP="009B1448">
            <w:pPr>
              <w:spacing w:after="0"/>
              <w:jc w:val="both"/>
              <w:rPr>
                <w:rFonts w:ascii="Times New Roman" w:hAnsi="Times New Roman"/>
              </w:rPr>
            </w:pPr>
            <w:r w:rsidRPr="00B86BF8">
              <w:rPr>
                <w:rFonts w:ascii="Times New Roman" w:hAnsi="Times New Roman"/>
              </w:rPr>
              <w:t>Turėti administracines ir apskaitos procedūras, elektroninių duomenų apdorojimo kontrolės ir apsaugos priemones, kurios yra patikimos ir gali pateikti informaciją apie visas paskolas, jų turinį, laiką ir vietą, kad būtų galima nustatyti, ar finansavimas suteiktas pagal nustatytus reikalavimus</w:t>
            </w:r>
          </w:p>
          <w:p w14:paraId="582F1934" w14:textId="77777777" w:rsidR="009B1448" w:rsidRPr="00B86BF8" w:rsidRDefault="009B1448" w:rsidP="009B1448">
            <w:pPr>
              <w:spacing w:after="0"/>
              <w:jc w:val="both"/>
              <w:rPr>
                <w:rFonts w:ascii="Times New Roman" w:hAnsi="Times New Roman"/>
              </w:rPr>
            </w:pPr>
          </w:p>
        </w:tc>
        <w:tc>
          <w:tcPr>
            <w:tcW w:w="3724" w:type="dxa"/>
            <w:tcBorders>
              <w:top w:val="single" w:sz="4" w:space="0" w:color="auto"/>
              <w:bottom w:val="single" w:sz="4" w:space="0" w:color="auto"/>
            </w:tcBorders>
          </w:tcPr>
          <w:p w14:paraId="21E6C86B" w14:textId="77777777" w:rsidR="009B1448" w:rsidRPr="00B86BF8" w:rsidRDefault="009B1448" w:rsidP="009B1448">
            <w:pPr>
              <w:spacing w:after="0"/>
              <w:jc w:val="both"/>
              <w:rPr>
                <w:rFonts w:ascii="Times New Roman" w:hAnsi="Times New Roman"/>
              </w:rPr>
            </w:pPr>
            <w:r w:rsidRPr="00B86BF8">
              <w:rPr>
                <w:rFonts w:ascii="Times New Roman" w:hAnsi="Times New Roman"/>
              </w:rPr>
              <w:t>Turėti administracines ir apskaitos procedūras, elektroninių duomenų apdorojimo kontrolės ir apsaugos priemones, kurios yra patikimos ir gali pateikti informaciją apie visas paskolas,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2DA37342" w14:textId="77777777" w:rsidR="009B1448" w:rsidRPr="00B86BF8" w:rsidRDefault="009B1448" w:rsidP="009B1448">
            <w:pPr>
              <w:spacing w:after="0"/>
              <w:jc w:val="both"/>
              <w:rPr>
                <w:rFonts w:ascii="Times New Roman" w:hAnsi="Times New Roman"/>
              </w:rPr>
            </w:pPr>
            <w:r w:rsidRPr="00B86BF8">
              <w:rPr>
                <w:rFonts w:ascii="Times New Roman" w:hAnsi="Times New Roman"/>
              </w:rPr>
              <w:t>Pateikiami patvirtinimai FT prašyme ir (ar) P</w:t>
            </w:r>
            <w:r w:rsidRPr="00B86BF8">
              <w:rPr>
                <w:rFonts w:ascii="Times New Roman" w:hAnsi="Times New Roman" w:cs="Times New Roman"/>
              </w:rPr>
              <w:t>riemonės „Alternatyva“ įgyvendinimo aprašyme</w:t>
            </w:r>
          </w:p>
          <w:p w14:paraId="72898244" w14:textId="77777777" w:rsidR="009B1448" w:rsidRPr="00B86BF8" w:rsidRDefault="009B1448" w:rsidP="009B1448">
            <w:pPr>
              <w:spacing w:after="0"/>
              <w:jc w:val="both"/>
              <w:rPr>
                <w:rFonts w:ascii="Times New Roman" w:hAnsi="Times New Roman"/>
              </w:rPr>
            </w:pPr>
          </w:p>
        </w:tc>
      </w:tr>
    </w:tbl>
    <w:p w14:paraId="527111B0" w14:textId="77777777" w:rsidR="00350D4E" w:rsidRPr="00B86BF8" w:rsidRDefault="00DE2CFA" w:rsidP="00350D4E">
      <w:pPr>
        <w:tabs>
          <w:tab w:val="left" w:pos="709"/>
        </w:tabs>
        <w:autoSpaceDE w:val="0"/>
        <w:autoSpaceDN w:val="0"/>
        <w:adjustRightInd w:val="0"/>
        <w:spacing w:after="0" w:line="240" w:lineRule="auto"/>
        <w:rPr>
          <w:rFonts w:ascii="Times New Roman" w:hAnsi="Times New Roman"/>
          <w:sz w:val="20"/>
          <w:szCs w:val="20"/>
        </w:rPr>
      </w:pPr>
      <w:r w:rsidRPr="00B86BF8">
        <w:rPr>
          <w:rFonts w:ascii="Times New Roman" w:hAnsi="Times New Roman"/>
          <w:sz w:val="20"/>
          <w:szCs w:val="20"/>
        </w:rPr>
        <w:t>PAAIŠKINIMAI:</w:t>
      </w:r>
    </w:p>
    <w:p w14:paraId="56C074C9"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xml:space="preserve">* Tais atvejais, kai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 kokių veiksmų buvo imtasi, kad  pažeidimai, dėl kurių taikytos Lietuvos banko poveikio priemonės ar veiklos ribojimai  būtų ištaisyti ar panaikinti  ir neturės įtakos tinkamam </w:t>
      </w:r>
      <w:r w:rsidR="001336B0" w:rsidRPr="00B86BF8">
        <w:rPr>
          <w:rFonts w:ascii="Times New Roman" w:hAnsi="Times New Roman"/>
          <w:sz w:val="20"/>
          <w:szCs w:val="20"/>
        </w:rPr>
        <w:t>P</w:t>
      </w:r>
      <w:r w:rsidRPr="00B86BF8">
        <w:rPr>
          <w:rFonts w:ascii="Times New Roman" w:hAnsi="Times New Roman"/>
          <w:sz w:val="20"/>
          <w:szCs w:val="20"/>
        </w:rPr>
        <w:t xml:space="preserve">riemonės </w:t>
      </w:r>
      <w:r w:rsidR="001336B0" w:rsidRPr="00B86BF8">
        <w:rPr>
          <w:rFonts w:ascii="Times New Roman" w:hAnsi="Times New Roman"/>
          <w:sz w:val="20"/>
          <w:szCs w:val="20"/>
        </w:rPr>
        <w:t xml:space="preserve">„Alternatyva“ </w:t>
      </w:r>
      <w:r w:rsidRPr="00B86BF8">
        <w:rPr>
          <w:rFonts w:ascii="Times New Roman" w:hAnsi="Times New Roman"/>
          <w:sz w:val="20"/>
          <w:szCs w:val="20"/>
        </w:rPr>
        <w:t xml:space="preserve">įgyvendinimui. Papildomų paaiškinimų iš FT neprašoma, kai Lietuvos banko taikyta poveikio priemonė - įspėjimas. </w:t>
      </w:r>
    </w:p>
    <w:p w14:paraId="304D39C8" w14:textId="5EE69CCF" w:rsidR="00667838" w:rsidRPr="00B86BF8" w:rsidRDefault="00350D4E" w:rsidP="00667838">
      <w:pPr>
        <w:autoSpaceDE w:val="0"/>
        <w:autoSpaceDN w:val="0"/>
        <w:adjustRightInd w:val="0"/>
        <w:spacing w:after="0" w:line="240" w:lineRule="auto"/>
        <w:jc w:val="both"/>
        <w:rPr>
          <w:rFonts w:ascii="Times New Roman" w:hAnsi="Times New Roman" w:cs="SimSun"/>
          <w:sz w:val="20"/>
          <w:szCs w:val="20"/>
        </w:rPr>
      </w:pPr>
      <w:bookmarkStart w:id="7" w:name="_Hlk37339291"/>
      <w:r w:rsidRPr="00B86BF8">
        <w:rPr>
          <w:rFonts w:ascii="Times New Roman" w:hAnsi="Times New Roman"/>
          <w:sz w:val="20"/>
          <w:szCs w:val="20"/>
        </w:rPr>
        <w:t>**</w:t>
      </w:r>
      <w:r w:rsidRPr="00B86BF8">
        <w:t xml:space="preserve"> </w:t>
      </w:r>
      <w:r w:rsidRPr="00B86BF8">
        <w:rPr>
          <w:rFonts w:ascii="Times New Roman" w:hAnsi="Times New Roman"/>
          <w:sz w:val="20"/>
          <w:szCs w:val="20"/>
        </w:rPr>
        <w:t xml:space="preserve">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 (pavyzdžiui, gautinomis sumomis, dėl kurių susigrąžinimo galimybių paskolos gavėjas auditoriams nepateikė pakankamų įrodymų). Koreguotas kapitalas gali būti didinamas FT akcininkų ar trečiųjų asmenų FT suteiktų paskolų suma, jeigu šios paskolos bus </w:t>
      </w:r>
      <w:r w:rsidRPr="00B86BF8">
        <w:rPr>
          <w:rFonts w:ascii="Times New Roman" w:hAnsi="Times New Roman"/>
          <w:sz w:val="20"/>
          <w:szCs w:val="20"/>
        </w:rPr>
        <w:lastRenderedPageBreak/>
        <w:t>subordinuotos „Invegos“ atžvilgiu visu Sutarties galiojimo laikotarpiu (turi būti pasirašyti trišaliai susitarimai tarp “Invegos“, FT ir lėšas paskolinusių asmenų arba pateikti kiti tinkami patvirtinimai dėl šio reikalavimo įvykdymo)</w:t>
      </w:r>
      <w:bookmarkEnd w:id="7"/>
      <w:r w:rsidRPr="00B86BF8">
        <w:rPr>
          <w:rFonts w:ascii="Times New Roman" w:hAnsi="Times New Roman"/>
          <w:sz w:val="20"/>
          <w:szCs w:val="20"/>
        </w:rPr>
        <w:t>.</w:t>
      </w:r>
      <w:r w:rsidR="00667838" w:rsidRPr="00B86BF8">
        <w:rPr>
          <w:rFonts w:ascii="Times New Roman" w:hAnsi="Times New Roman"/>
          <w:sz w:val="20"/>
          <w:szCs w:val="20"/>
        </w:rPr>
        <w:t xml:space="preserve"> </w:t>
      </w:r>
      <w:r w:rsidR="00667838" w:rsidRPr="00B86BF8">
        <w:rPr>
          <w:rFonts w:ascii="Times New Roman" w:hAnsi="Times New Roman" w:cs="SimSun"/>
          <w:sz w:val="20"/>
          <w:szCs w:val="20"/>
        </w:rPr>
        <w:t>Atliekant Kolektyvinio investavimo subjektų vertinimą laikoma, kad Kolektyvinio investavimo subjekto valdomo fondo grynųjų aktyvų vertė atitinka nuosavo kapitalo sąvoką;</w:t>
      </w:r>
    </w:p>
    <w:p w14:paraId="1DAE83AD"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bookmarkStart w:id="8" w:name="_Hlk37339650"/>
      <w:r w:rsidRPr="00B86BF8">
        <w:rPr>
          <w:rFonts w:ascii="Times New Roman" w:hAnsi="Times New Roman"/>
          <w:sz w:val="20"/>
          <w:szCs w:val="20"/>
        </w:rPr>
        <w:t>*** Su FT susijusiais asmenimis laikomi:</w:t>
      </w:r>
    </w:p>
    <w:p w14:paraId="4AFE4B67"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asmenys, turintys FT kvalifikuotąją įstatinio kapitalo ir (arba) balsavimo teisių</w:t>
      </w:r>
      <w:r w:rsidR="00C90920" w:rsidRPr="00B86BF8">
        <w:rPr>
          <w:rFonts w:ascii="Times New Roman" w:hAnsi="Times New Roman"/>
          <w:sz w:val="20"/>
          <w:szCs w:val="20"/>
        </w:rPr>
        <w:t xml:space="preserve"> daugumos</w:t>
      </w:r>
      <w:r w:rsidRPr="00B86BF8">
        <w:rPr>
          <w:rFonts w:ascii="Times New Roman" w:hAnsi="Times New Roman"/>
          <w:sz w:val="20"/>
          <w:szCs w:val="20"/>
        </w:rPr>
        <w:t xml:space="preserve"> dalį ir jų kontroliuojamos įmonės;</w:t>
      </w:r>
    </w:p>
    <w:p w14:paraId="189F9A2B"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xml:space="preserve">-  juridiniai asmenys, kurių kvalifikuotąją įstatinio kapitalo ir (arba) balsavimo teisių </w:t>
      </w:r>
      <w:r w:rsidR="00C90920" w:rsidRPr="00B86BF8">
        <w:rPr>
          <w:rFonts w:ascii="Times New Roman" w:hAnsi="Times New Roman"/>
          <w:sz w:val="20"/>
          <w:szCs w:val="20"/>
        </w:rPr>
        <w:t xml:space="preserve">daugumos </w:t>
      </w:r>
      <w:r w:rsidRPr="00B86BF8">
        <w:rPr>
          <w:rFonts w:ascii="Times New Roman" w:hAnsi="Times New Roman"/>
          <w:sz w:val="20"/>
          <w:szCs w:val="20"/>
        </w:rPr>
        <w:t>dalį turi FT;</w:t>
      </w:r>
    </w:p>
    <w:p w14:paraId="3DEA1EBD"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aukščiau nurodytų juridinių asmenų vadovai ir su jais artimos giminystės, taip pat svainystės ryšiais susiję asmenys;</w:t>
      </w:r>
    </w:p>
    <w:p w14:paraId="59AA1E90"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fiziniai asmenys, artimos giminystės, taip pat svainystės ryšiais susiję su FT kvalifikuotąją įstatinio kapitalo ir (arba) balsavimo teisių</w:t>
      </w:r>
      <w:r w:rsidR="00B65036" w:rsidRPr="00B86BF8">
        <w:rPr>
          <w:rFonts w:ascii="Times New Roman" w:hAnsi="Times New Roman"/>
          <w:sz w:val="20"/>
          <w:szCs w:val="20"/>
        </w:rPr>
        <w:t xml:space="preserve"> daugumos</w:t>
      </w:r>
      <w:r w:rsidRPr="00B86BF8">
        <w:rPr>
          <w:rFonts w:ascii="Times New Roman" w:hAnsi="Times New Roman"/>
          <w:sz w:val="20"/>
          <w:szCs w:val="20"/>
        </w:rPr>
        <w:t xml:space="preserve"> dalį turinčiais fiziniais asmenimis;</w:t>
      </w:r>
    </w:p>
    <w:bookmarkEnd w:id="8"/>
    <w:p w14:paraId="6E635559"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Asmuo negali būti laikomas nepriekaištingos reputacijos, jeigu:</w:t>
      </w:r>
    </w:p>
    <w:p w14:paraId="73CE2BC5"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477208E5"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7CCC1B6B"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3D44DD18"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jis piktnaudžiauja psichotropinėmis, narkotinėmis, kitomis psichiką veikiančiomis medžiagomis ar alkoholiu;</w:t>
      </w:r>
    </w:p>
    <w:p w14:paraId="15E2BA10" w14:textId="77777777" w:rsidR="00350D4E" w:rsidRPr="00B86BF8" w:rsidRDefault="00350D4E" w:rsidP="00350D4E">
      <w:pPr>
        <w:autoSpaceDE w:val="0"/>
        <w:autoSpaceDN w:val="0"/>
        <w:adjustRightInd w:val="0"/>
        <w:spacing w:after="0" w:line="240" w:lineRule="auto"/>
        <w:ind w:firstLine="851"/>
        <w:jc w:val="both"/>
        <w:rPr>
          <w:rFonts w:ascii="Times New Roman" w:hAnsi="Times New Roman"/>
          <w:sz w:val="20"/>
          <w:szCs w:val="20"/>
        </w:rPr>
      </w:pPr>
      <w:r w:rsidRPr="00B86BF8">
        <w:rPr>
          <w:rFonts w:ascii="Times New Roman" w:hAnsi="Times New Roman"/>
          <w:sz w:val="20"/>
          <w:szCs w:val="20"/>
        </w:rPr>
        <w:t>- yra kitų reikšmingų aplinkybių, kurios leidžia pagrįstai abejoti asmens gebėjimu užtikrinti patikimą ir apdairų finansų įstaigos valdymą arba tinkamą kitų nustatytų funkcijų atlikimą.</w:t>
      </w:r>
    </w:p>
    <w:p w14:paraId="3608B135" w14:textId="77777777" w:rsidR="0000159D" w:rsidRPr="00B86BF8" w:rsidRDefault="0000159D">
      <w:pPr>
        <w:spacing w:after="0" w:line="240" w:lineRule="auto"/>
        <w:rPr>
          <w:rFonts w:ascii="Times New Roman" w:hAnsi="Times New Roman"/>
        </w:rPr>
      </w:pPr>
      <w:r w:rsidRPr="00B86BF8">
        <w:rPr>
          <w:rFonts w:ascii="Times New Roman" w:hAnsi="Times New Roman"/>
        </w:rPr>
        <w:br w:type="page"/>
      </w:r>
    </w:p>
    <w:p w14:paraId="06831D57" w14:textId="77777777" w:rsidR="001C6716" w:rsidRPr="00B86BF8" w:rsidRDefault="001C6716" w:rsidP="00EB3B06">
      <w:pPr>
        <w:autoSpaceDE w:val="0"/>
        <w:autoSpaceDN w:val="0"/>
        <w:adjustRightInd w:val="0"/>
        <w:spacing w:after="0" w:line="240" w:lineRule="auto"/>
        <w:ind w:firstLine="851"/>
        <w:jc w:val="both"/>
        <w:rPr>
          <w:rFonts w:ascii="Times New Roman" w:hAnsi="Times New Roman"/>
        </w:rPr>
        <w:sectPr w:rsidR="001C6716" w:rsidRPr="00B86BF8" w:rsidSect="00A71989">
          <w:pgSz w:w="16838" w:h="11906" w:orient="landscape"/>
          <w:pgMar w:top="1701" w:right="993" w:bottom="709" w:left="851" w:header="454" w:footer="567" w:gutter="0"/>
          <w:cols w:space="1296"/>
          <w:titlePg/>
          <w:docGrid w:linePitch="360"/>
        </w:sectPr>
      </w:pPr>
    </w:p>
    <w:p w14:paraId="6F095956" w14:textId="77777777" w:rsidR="00B06B29" w:rsidRPr="00B86BF8" w:rsidRDefault="00B06B29" w:rsidP="00B06B29">
      <w:pPr>
        <w:pStyle w:val="ListParagraph"/>
        <w:tabs>
          <w:tab w:val="left" w:pos="284"/>
        </w:tabs>
        <w:autoSpaceDE w:val="0"/>
        <w:autoSpaceDN w:val="0"/>
        <w:adjustRightInd w:val="0"/>
        <w:spacing w:after="0" w:line="240" w:lineRule="auto"/>
        <w:ind w:left="0"/>
        <w:rPr>
          <w:rFonts w:ascii="Times New Roman" w:hAnsi="Times New Roman"/>
          <w:b/>
          <w:sz w:val="24"/>
          <w:szCs w:val="24"/>
        </w:rPr>
      </w:pPr>
    </w:p>
    <w:p w14:paraId="54B52410" w14:textId="77777777" w:rsidR="00DB04D2" w:rsidRPr="00B86BF8" w:rsidRDefault="00DB04D2"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B86BF8">
        <w:rPr>
          <w:rFonts w:ascii="Times New Roman" w:hAnsi="Times New Roman"/>
          <w:b/>
          <w:sz w:val="24"/>
          <w:szCs w:val="24"/>
        </w:rPr>
        <w:t>PRIEMONĖS</w:t>
      </w:r>
      <w:r w:rsidR="000E270D" w:rsidRPr="00B86BF8">
        <w:rPr>
          <w:rFonts w:ascii="Times New Roman" w:hAnsi="Times New Roman"/>
          <w:b/>
          <w:sz w:val="24"/>
          <w:szCs w:val="24"/>
        </w:rPr>
        <w:t xml:space="preserve"> ALTERNATYVA</w:t>
      </w:r>
      <w:r w:rsidRPr="00B86BF8">
        <w:rPr>
          <w:rFonts w:ascii="Times New Roman" w:hAnsi="Times New Roman"/>
          <w:b/>
          <w:sz w:val="24"/>
          <w:szCs w:val="24"/>
        </w:rPr>
        <w:t xml:space="preserve"> LĖŠŲ PASKIRSTYMAS </w:t>
      </w:r>
    </w:p>
    <w:p w14:paraId="44356256" w14:textId="77777777" w:rsidR="001E7CC0" w:rsidRPr="00B86BF8" w:rsidRDefault="001E7CC0" w:rsidP="001E7CC0">
      <w:pPr>
        <w:pStyle w:val="ListParagraph"/>
        <w:autoSpaceDE w:val="0"/>
        <w:autoSpaceDN w:val="0"/>
        <w:adjustRightInd w:val="0"/>
        <w:spacing w:after="0" w:line="240" w:lineRule="auto"/>
        <w:ind w:left="1211"/>
        <w:rPr>
          <w:rFonts w:ascii="Times New Roman" w:hAnsi="Times New Roman"/>
          <w:bCs/>
        </w:rPr>
      </w:pPr>
    </w:p>
    <w:p w14:paraId="4F0A65FE" w14:textId="77777777" w:rsidR="00AD7924" w:rsidRPr="00B86BF8" w:rsidRDefault="00D51A62" w:rsidP="00BC6CBD">
      <w:pPr>
        <w:pStyle w:val="Heading1"/>
        <w:numPr>
          <w:ilvl w:val="1"/>
          <w:numId w:val="11"/>
        </w:numPr>
        <w:tabs>
          <w:tab w:val="left" w:pos="851"/>
        </w:tabs>
        <w:spacing w:before="0" w:after="0"/>
        <w:ind w:left="0" w:firstLine="426"/>
        <w:jc w:val="both"/>
        <w:rPr>
          <w:rFonts w:ascii="Times New Roman" w:hAnsi="Times New Roman"/>
          <w:b w:val="0"/>
          <w:sz w:val="24"/>
          <w:szCs w:val="24"/>
        </w:rPr>
      </w:pPr>
      <w:r w:rsidRPr="00B86BF8">
        <w:rPr>
          <w:rFonts w:ascii="Times New Roman" w:hAnsi="Times New Roman"/>
          <w:b w:val="0"/>
          <w:sz w:val="24"/>
          <w:szCs w:val="24"/>
        </w:rPr>
        <w:t>P</w:t>
      </w:r>
      <w:r w:rsidR="00E9278C" w:rsidRPr="00B86BF8">
        <w:rPr>
          <w:rFonts w:ascii="Times New Roman" w:hAnsi="Times New Roman"/>
          <w:b w:val="0"/>
          <w:sz w:val="24"/>
          <w:szCs w:val="24"/>
        </w:rPr>
        <w:t xml:space="preserve">riemonės </w:t>
      </w:r>
      <w:r w:rsidR="00B1254B" w:rsidRPr="00B86BF8">
        <w:rPr>
          <w:rFonts w:ascii="Times New Roman" w:hAnsi="Times New Roman"/>
          <w:b w:val="0"/>
          <w:sz w:val="24"/>
          <w:szCs w:val="24"/>
        </w:rPr>
        <w:t xml:space="preserve">„Alternatyva“ </w:t>
      </w:r>
      <w:r w:rsidR="00E9278C" w:rsidRPr="00B86BF8">
        <w:rPr>
          <w:rFonts w:ascii="Times New Roman" w:hAnsi="Times New Roman"/>
          <w:b w:val="0"/>
          <w:sz w:val="24"/>
          <w:szCs w:val="24"/>
        </w:rPr>
        <w:t xml:space="preserve">lėšos skiriamos FT, </w:t>
      </w:r>
      <w:r w:rsidR="0020029F" w:rsidRPr="00B86BF8">
        <w:rPr>
          <w:rFonts w:ascii="Times New Roman" w:hAnsi="Times New Roman"/>
          <w:b w:val="0"/>
          <w:sz w:val="24"/>
          <w:szCs w:val="24"/>
        </w:rPr>
        <w:t>atitinkantiems</w:t>
      </w:r>
      <w:r w:rsidR="00E9278C" w:rsidRPr="00B86BF8">
        <w:rPr>
          <w:rFonts w:ascii="Times New Roman" w:hAnsi="Times New Roman"/>
          <w:b w:val="0"/>
          <w:sz w:val="24"/>
          <w:szCs w:val="24"/>
        </w:rPr>
        <w:t xml:space="preserve"> Apraše nustatytus </w:t>
      </w:r>
      <w:r w:rsidR="0020029F" w:rsidRPr="00B86BF8">
        <w:rPr>
          <w:rFonts w:ascii="Times New Roman" w:hAnsi="Times New Roman"/>
          <w:b w:val="0"/>
          <w:sz w:val="24"/>
          <w:szCs w:val="24"/>
        </w:rPr>
        <w:t>t</w:t>
      </w:r>
      <w:r w:rsidR="00E930F2" w:rsidRPr="00B86BF8">
        <w:rPr>
          <w:rFonts w:ascii="Times New Roman" w:hAnsi="Times New Roman"/>
          <w:b w:val="0"/>
          <w:sz w:val="24"/>
          <w:szCs w:val="24"/>
        </w:rPr>
        <w:t xml:space="preserve">inkamumo </w:t>
      </w:r>
      <w:r w:rsidR="00E9278C" w:rsidRPr="00B86BF8">
        <w:rPr>
          <w:rFonts w:ascii="Times New Roman" w:hAnsi="Times New Roman"/>
          <w:b w:val="0"/>
          <w:sz w:val="24"/>
          <w:szCs w:val="24"/>
        </w:rPr>
        <w:t>reikalavimus</w:t>
      </w:r>
      <w:r w:rsidR="00E371CE" w:rsidRPr="00B86BF8">
        <w:rPr>
          <w:rFonts w:ascii="Times New Roman" w:hAnsi="Times New Roman"/>
          <w:b w:val="0"/>
          <w:sz w:val="24"/>
          <w:szCs w:val="24"/>
        </w:rPr>
        <w:t>.</w:t>
      </w:r>
    </w:p>
    <w:p w14:paraId="5CF79890" w14:textId="77777777" w:rsidR="00E7285F" w:rsidRPr="00B86BF8" w:rsidRDefault="00E7285F" w:rsidP="00E7285F">
      <w:pPr>
        <w:pStyle w:val="Heading1"/>
        <w:numPr>
          <w:ilvl w:val="1"/>
          <w:numId w:val="11"/>
        </w:numPr>
        <w:tabs>
          <w:tab w:val="left" w:pos="851"/>
        </w:tabs>
        <w:spacing w:before="0" w:after="0"/>
        <w:ind w:left="0" w:firstLine="426"/>
        <w:jc w:val="both"/>
        <w:rPr>
          <w:rFonts w:ascii="Times New Roman" w:hAnsi="Times New Roman"/>
          <w:b w:val="0"/>
          <w:sz w:val="24"/>
          <w:szCs w:val="24"/>
        </w:rPr>
      </w:pPr>
      <w:r w:rsidRPr="00B86BF8">
        <w:rPr>
          <w:rFonts w:ascii="Times New Roman" w:hAnsi="Times New Roman"/>
          <w:b w:val="0"/>
          <w:sz w:val="24"/>
          <w:szCs w:val="24"/>
        </w:rPr>
        <w:t>FT skiriamos Priemonės „Alternatyva“ lėšos laikantis Aprašo 1 priede (Pagrindinės sąlygos) nustatytų sąlygų tol, kol Sutartis sudariusiems FT paskolinamos visos Priemonės „Alternatyva“ lėšos.</w:t>
      </w:r>
    </w:p>
    <w:p w14:paraId="21A4BD9B" w14:textId="01FE1CA6" w:rsidR="00AD7924" w:rsidRPr="00B86BF8" w:rsidRDefault="00D51A62" w:rsidP="00BC6CBD">
      <w:pPr>
        <w:pStyle w:val="Heading1"/>
        <w:numPr>
          <w:ilvl w:val="1"/>
          <w:numId w:val="11"/>
        </w:numPr>
        <w:tabs>
          <w:tab w:val="left" w:pos="851"/>
        </w:tabs>
        <w:spacing w:before="0" w:after="0"/>
        <w:ind w:left="0" w:firstLine="426"/>
        <w:jc w:val="both"/>
        <w:rPr>
          <w:rFonts w:ascii="Times New Roman" w:hAnsi="Times New Roman"/>
          <w:b w:val="0"/>
          <w:sz w:val="24"/>
          <w:szCs w:val="24"/>
        </w:rPr>
      </w:pPr>
      <w:bookmarkStart w:id="9" w:name="_Hlk37274258"/>
      <w:r w:rsidRPr="00B86BF8">
        <w:rPr>
          <w:rFonts w:ascii="Times New Roman" w:hAnsi="Times New Roman"/>
          <w:b w:val="0"/>
          <w:sz w:val="24"/>
          <w:szCs w:val="24"/>
        </w:rPr>
        <w:t xml:space="preserve">Priemonei </w:t>
      </w:r>
      <w:r w:rsidR="00E371CE" w:rsidRPr="00B86BF8">
        <w:rPr>
          <w:rFonts w:ascii="Times New Roman" w:hAnsi="Times New Roman"/>
          <w:b w:val="0"/>
          <w:sz w:val="24"/>
          <w:szCs w:val="24"/>
        </w:rPr>
        <w:t xml:space="preserve">„Alternatyva“ </w:t>
      </w:r>
      <w:r w:rsidRPr="00B86BF8">
        <w:rPr>
          <w:rFonts w:ascii="Times New Roman" w:hAnsi="Times New Roman"/>
          <w:b w:val="0"/>
          <w:sz w:val="24"/>
          <w:szCs w:val="24"/>
        </w:rPr>
        <w:t>įgyvendinti</w:t>
      </w:r>
      <w:r w:rsidRPr="00B86BF8" w:rsidDel="00D51A62">
        <w:rPr>
          <w:rFonts w:ascii="Times New Roman" w:hAnsi="Times New Roman"/>
          <w:b w:val="0"/>
          <w:sz w:val="24"/>
          <w:szCs w:val="24"/>
        </w:rPr>
        <w:t xml:space="preserve"> </w:t>
      </w:r>
      <w:r w:rsidR="00A7001D" w:rsidRPr="00B86BF8">
        <w:rPr>
          <w:rFonts w:ascii="Times New Roman" w:hAnsi="Times New Roman"/>
          <w:b w:val="0"/>
          <w:sz w:val="24"/>
          <w:szCs w:val="24"/>
        </w:rPr>
        <w:t xml:space="preserve">vienam </w:t>
      </w:r>
      <w:r w:rsidRPr="00B86BF8">
        <w:rPr>
          <w:rFonts w:ascii="Times New Roman" w:hAnsi="Times New Roman"/>
          <w:b w:val="0"/>
          <w:sz w:val="24"/>
          <w:szCs w:val="24"/>
        </w:rPr>
        <w:t>FT</w:t>
      </w:r>
      <w:r w:rsidR="00AD7924" w:rsidRPr="00B86BF8">
        <w:rPr>
          <w:rFonts w:ascii="Times New Roman" w:hAnsi="Times New Roman"/>
          <w:b w:val="0"/>
          <w:sz w:val="24"/>
          <w:szCs w:val="24"/>
        </w:rPr>
        <w:t xml:space="preserve"> gali </w:t>
      </w:r>
      <w:r w:rsidR="00A7001D" w:rsidRPr="00B86BF8">
        <w:rPr>
          <w:rFonts w:ascii="Times New Roman" w:hAnsi="Times New Roman"/>
          <w:b w:val="0"/>
          <w:sz w:val="24"/>
          <w:szCs w:val="24"/>
        </w:rPr>
        <w:t>būti skirta</w:t>
      </w:r>
      <w:r w:rsidR="00AD7924" w:rsidRPr="00B86BF8">
        <w:rPr>
          <w:rFonts w:ascii="Times New Roman" w:hAnsi="Times New Roman"/>
          <w:b w:val="0"/>
          <w:sz w:val="24"/>
          <w:szCs w:val="24"/>
        </w:rPr>
        <w:t xml:space="preserve"> </w:t>
      </w:r>
      <w:r w:rsidRPr="00B86BF8">
        <w:rPr>
          <w:rFonts w:ascii="Times New Roman" w:hAnsi="Times New Roman"/>
          <w:b w:val="0"/>
          <w:sz w:val="24"/>
          <w:szCs w:val="24"/>
        </w:rPr>
        <w:t>ne didesn</w:t>
      </w:r>
      <w:r w:rsidR="00A7001D" w:rsidRPr="00B86BF8">
        <w:rPr>
          <w:rFonts w:ascii="Times New Roman" w:hAnsi="Times New Roman"/>
          <w:b w:val="0"/>
          <w:sz w:val="24"/>
          <w:szCs w:val="24"/>
        </w:rPr>
        <w:t>ė</w:t>
      </w:r>
      <w:r w:rsidRPr="00B86BF8">
        <w:rPr>
          <w:rFonts w:ascii="Times New Roman" w:hAnsi="Times New Roman"/>
          <w:b w:val="0"/>
          <w:sz w:val="24"/>
          <w:szCs w:val="24"/>
        </w:rPr>
        <w:t xml:space="preserve"> kaip FT </w:t>
      </w:r>
      <w:r w:rsidR="00AD7924" w:rsidRPr="00B86BF8">
        <w:rPr>
          <w:rFonts w:ascii="Times New Roman" w:hAnsi="Times New Roman"/>
          <w:b w:val="0"/>
          <w:sz w:val="24"/>
          <w:szCs w:val="24"/>
        </w:rPr>
        <w:t>koreguot</w:t>
      </w:r>
      <w:r w:rsidRPr="00B86BF8">
        <w:rPr>
          <w:rFonts w:ascii="Times New Roman" w:hAnsi="Times New Roman"/>
          <w:b w:val="0"/>
          <w:sz w:val="24"/>
          <w:szCs w:val="24"/>
        </w:rPr>
        <w:t>o</w:t>
      </w:r>
      <w:r w:rsidR="00AD7924" w:rsidRPr="00B86BF8">
        <w:rPr>
          <w:rFonts w:ascii="Times New Roman" w:hAnsi="Times New Roman"/>
          <w:b w:val="0"/>
          <w:sz w:val="24"/>
          <w:szCs w:val="24"/>
        </w:rPr>
        <w:t xml:space="preserve"> kapital</w:t>
      </w:r>
      <w:r w:rsidRPr="00B86BF8">
        <w:rPr>
          <w:rFonts w:ascii="Times New Roman" w:hAnsi="Times New Roman"/>
          <w:b w:val="0"/>
          <w:sz w:val="24"/>
          <w:szCs w:val="24"/>
        </w:rPr>
        <w:t>o suma padauginta iš 20</w:t>
      </w:r>
      <w:r w:rsidR="00AD7924" w:rsidRPr="00B86BF8">
        <w:rPr>
          <w:rFonts w:ascii="Times New Roman" w:hAnsi="Times New Roman"/>
          <w:b w:val="0"/>
          <w:sz w:val="24"/>
          <w:szCs w:val="24"/>
        </w:rPr>
        <w:t>,</w:t>
      </w:r>
      <w:r w:rsidR="00A7001D" w:rsidRPr="00B86BF8">
        <w:rPr>
          <w:rFonts w:ascii="Times New Roman" w:hAnsi="Times New Roman"/>
          <w:b w:val="0"/>
          <w:sz w:val="24"/>
          <w:szCs w:val="24"/>
        </w:rPr>
        <w:t xml:space="preserve"> </w:t>
      </w:r>
      <w:r w:rsidR="00792698" w:rsidRPr="00B86BF8">
        <w:rPr>
          <w:rFonts w:ascii="Times New Roman" w:hAnsi="Times New Roman"/>
          <w:b w:val="0"/>
          <w:sz w:val="24"/>
          <w:szCs w:val="24"/>
        </w:rPr>
        <w:t>o jeigu FT yra Kolektyvinio investavimo subjektas –ne didesnė kaip Kolektyvinio investavimo subjekto valdomo fondo grynųjų aktyvų vertė padauginta i</w:t>
      </w:r>
      <w:r w:rsidR="00E175BD" w:rsidRPr="00B86BF8">
        <w:rPr>
          <w:rFonts w:ascii="Times New Roman" w:hAnsi="Times New Roman"/>
          <w:b w:val="0"/>
          <w:sz w:val="24"/>
          <w:szCs w:val="24"/>
        </w:rPr>
        <w:t>š</w:t>
      </w:r>
      <w:r w:rsidR="00792698" w:rsidRPr="00B86BF8">
        <w:rPr>
          <w:rFonts w:ascii="Times New Roman" w:hAnsi="Times New Roman"/>
          <w:b w:val="0"/>
          <w:sz w:val="24"/>
          <w:szCs w:val="24"/>
        </w:rPr>
        <w:t xml:space="preserve"> 4, </w:t>
      </w:r>
      <w:r w:rsidR="00A7001D" w:rsidRPr="00B86BF8">
        <w:rPr>
          <w:rFonts w:ascii="Times New Roman" w:hAnsi="Times New Roman"/>
          <w:b w:val="0"/>
          <w:sz w:val="24"/>
          <w:szCs w:val="24"/>
        </w:rPr>
        <w:t>tačiau</w:t>
      </w:r>
      <w:r w:rsidR="00792698" w:rsidRPr="00B86BF8">
        <w:rPr>
          <w:rFonts w:ascii="Times New Roman" w:hAnsi="Times New Roman"/>
          <w:b w:val="0"/>
          <w:sz w:val="24"/>
          <w:szCs w:val="24"/>
        </w:rPr>
        <w:t>,</w:t>
      </w:r>
      <w:r w:rsidR="00A7001D" w:rsidRPr="00B86BF8">
        <w:rPr>
          <w:rFonts w:ascii="Times New Roman" w:hAnsi="Times New Roman"/>
          <w:b w:val="0"/>
          <w:sz w:val="24"/>
          <w:szCs w:val="24"/>
        </w:rPr>
        <w:t xml:space="preserve"> bet kokiu </w:t>
      </w:r>
      <w:r w:rsidR="004C5F5D" w:rsidRPr="00B86BF8">
        <w:rPr>
          <w:rFonts w:ascii="Times New Roman" w:hAnsi="Times New Roman"/>
          <w:b w:val="0"/>
          <w:sz w:val="24"/>
          <w:szCs w:val="24"/>
        </w:rPr>
        <w:t>atveju</w:t>
      </w:r>
      <w:r w:rsidR="00792698" w:rsidRPr="00B86BF8">
        <w:rPr>
          <w:rFonts w:ascii="Times New Roman" w:hAnsi="Times New Roman"/>
          <w:b w:val="0"/>
          <w:sz w:val="24"/>
          <w:szCs w:val="24"/>
        </w:rPr>
        <w:t>,</w:t>
      </w:r>
      <w:r w:rsidR="004C5F5D" w:rsidRPr="00B86BF8">
        <w:rPr>
          <w:rFonts w:ascii="Times New Roman" w:hAnsi="Times New Roman"/>
          <w:b w:val="0"/>
          <w:sz w:val="24"/>
          <w:szCs w:val="24"/>
        </w:rPr>
        <w:t> </w:t>
      </w:r>
      <w:r w:rsidR="00AD7924" w:rsidRPr="00B86BF8">
        <w:rPr>
          <w:rFonts w:ascii="Times New Roman" w:hAnsi="Times New Roman"/>
          <w:b w:val="0"/>
          <w:sz w:val="24"/>
          <w:szCs w:val="24"/>
        </w:rPr>
        <w:t xml:space="preserve">ne daugiau kaip </w:t>
      </w:r>
      <w:r w:rsidR="002F26DF" w:rsidRPr="00B86BF8">
        <w:rPr>
          <w:rFonts w:ascii="Times New Roman" w:hAnsi="Times New Roman"/>
          <w:b w:val="0"/>
          <w:sz w:val="24"/>
          <w:szCs w:val="24"/>
        </w:rPr>
        <w:t>2</w:t>
      </w:r>
      <w:r w:rsidR="00E371CE" w:rsidRPr="00B86BF8">
        <w:rPr>
          <w:rFonts w:ascii="Times New Roman" w:hAnsi="Times New Roman"/>
          <w:b w:val="0"/>
          <w:sz w:val="24"/>
          <w:szCs w:val="24"/>
        </w:rPr>
        <w:t>0 </w:t>
      </w:r>
      <w:r w:rsidR="00AD7924" w:rsidRPr="00B86BF8">
        <w:rPr>
          <w:rFonts w:ascii="Times New Roman" w:hAnsi="Times New Roman"/>
          <w:b w:val="0"/>
          <w:sz w:val="24"/>
          <w:szCs w:val="24"/>
        </w:rPr>
        <w:t>mln</w:t>
      </w:r>
      <w:r w:rsidR="00E371CE" w:rsidRPr="00B86BF8">
        <w:rPr>
          <w:rFonts w:ascii="Times New Roman" w:hAnsi="Times New Roman"/>
          <w:b w:val="0"/>
          <w:sz w:val="24"/>
          <w:szCs w:val="24"/>
        </w:rPr>
        <w:t>. </w:t>
      </w:r>
      <w:r w:rsidR="00AD7924" w:rsidRPr="00B86BF8">
        <w:rPr>
          <w:rFonts w:ascii="Times New Roman" w:hAnsi="Times New Roman"/>
          <w:b w:val="0"/>
          <w:sz w:val="24"/>
          <w:szCs w:val="24"/>
        </w:rPr>
        <w:t>Eur</w:t>
      </w:r>
      <w:r w:rsidR="00B1254B" w:rsidRPr="00B86BF8">
        <w:rPr>
          <w:rFonts w:ascii="Times New Roman" w:hAnsi="Times New Roman"/>
          <w:b w:val="0"/>
          <w:sz w:val="24"/>
          <w:szCs w:val="24"/>
        </w:rPr>
        <w:t>.</w:t>
      </w:r>
      <w:r w:rsidR="00C65A10" w:rsidRPr="00B86BF8">
        <w:rPr>
          <w:rFonts w:ascii="Times New Roman" w:hAnsi="Times New Roman"/>
          <w:b w:val="0"/>
          <w:sz w:val="24"/>
          <w:szCs w:val="24"/>
        </w:rPr>
        <w:t xml:space="preserve"> Tai</w:t>
      </w:r>
      <w:r w:rsidR="008078DF" w:rsidRPr="00B86BF8">
        <w:rPr>
          <w:rFonts w:ascii="Times New Roman" w:hAnsi="Times New Roman"/>
          <w:b w:val="0"/>
          <w:sz w:val="24"/>
          <w:szCs w:val="24"/>
        </w:rPr>
        <w:t>s</w:t>
      </w:r>
      <w:r w:rsidR="00C65A10" w:rsidRPr="00B86BF8">
        <w:rPr>
          <w:rFonts w:ascii="Times New Roman" w:hAnsi="Times New Roman"/>
          <w:b w:val="0"/>
          <w:sz w:val="24"/>
          <w:szCs w:val="24"/>
        </w:rPr>
        <w:t xml:space="preserve"> atvejais, kai Sutartyje su FT numatyta mažesnė nei galima didžiausia paskolinti suma, </w:t>
      </w:r>
      <w:r w:rsidR="00563D86" w:rsidRPr="00B86BF8">
        <w:rPr>
          <w:rFonts w:ascii="Times New Roman" w:hAnsi="Times New Roman"/>
          <w:b w:val="0"/>
          <w:sz w:val="24"/>
          <w:szCs w:val="24"/>
        </w:rPr>
        <w:t xml:space="preserve">o </w:t>
      </w:r>
      <w:r w:rsidR="00C65A10" w:rsidRPr="00B86BF8">
        <w:rPr>
          <w:rFonts w:ascii="Times New Roman" w:hAnsi="Times New Roman"/>
          <w:b w:val="0"/>
          <w:sz w:val="24"/>
          <w:szCs w:val="24"/>
        </w:rPr>
        <w:t xml:space="preserve">FT atitinka koreguoto kapitalo tinkamumo reikalavimus, didžiausia galimai paskolinama suma </w:t>
      </w:r>
      <w:r w:rsidR="00AF2A6F" w:rsidRPr="00B86BF8">
        <w:rPr>
          <w:rFonts w:ascii="Times New Roman" w:hAnsi="Times New Roman"/>
          <w:b w:val="0"/>
          <w:sz w:val="24"/>
          <w:szCs w:val="24"/>
        </w:rPr>
        <w:t xml:space="preserve">FT prašymu </w:t>
      </w:r>
      <w:r w:rsidR="00C65A10" w:rsidRPr="00B86BF8">
        <w:rPr>
          <w:rFonts w:ascii="Times New Roman" w:hAnsi="Times New Roman"/>
          <w:b w:val="0"/>
          <w:sz w:val="24"/>
          <w:szCs w:val="24"/>
        </w:rPr>
        <w:t xml:space="preserve">gali būti padidinama, bet ne daugiau kaip iki 20 mln. </w:t>
      </w:r>
      <w:r w:rsidR="00C0559F" w:rsidRPr="00B86BF8">
        <w:rPr>
          <w:rFonts w:ascii="Times New Roman" w:hAnsi="Times New Roman"/>
          <w:b w:val="0"/>
          <w:sz w:val="24"/>
          <w:szCs w:val="24"/>
        </w:rPr>
        <w:t xml:space="preserve">Eur </w:t>
      </w:r>
      <w:r w:rsidR="00C65A10" w:rsidRPr="00B86BF8">
        <w:rPr>
          <w:rFonts w:ascii="Times New Roman" w:hAnsi="Times New Roman"/>
          <w:b w:val="0"/>
          <w:sz w:val="24"/>
          <w:szCs w:val="24"/>
        </w:rPr>
        <w:t>atitinkamai pakeičiant sudarytą Sutartį.</w:t>
      </w:r>
    </w:p>
    <w:bookmarkEnd w:id="9"/>
    <w:p w14:paraId="480AAF5C" w14:textId="77777777" w:rsidR="00944F72" w:rsidRPr="00B86BF8" w:rsidRDefault="00944F72" w:rsidP="00944F72"/>
    <w:p w14:paraId="5CF64445" w14:textId="77777777" w:rsidR="00FA2FDC" w:rsidRPr="00B86BF8" w:rsidRDefault="00227921"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B86BF8">
        <w:rPr>
          <w:rFonts w:ascii="Times New Roman" w:hAnsi="Times New Roman"/>
          <w:b/>
          <w:sz w:val="24"/>
          <w:szCs w:val="24"/>
        </w:rPr>
        <w:t>SU</w:t>
      </w:r>
      <w:r w:rsidR="0080154E" w:rsidRPr="00B86BF8">
        <w:rPr>
          <w:rFonts w:ascii="Times New Roman" w:hAnsi="Times New Roman"/>
          <w:b/>
          <w:sz w:val="24"/>
          <w:szCs w:val="24"/>
        </w:rPr>
        <w:t>DAROMOS SUTARTIES NUOSTATOS</w:t>
      </w:r>
    </w:p>
    <w:p w14:paraId="6EA601D3" w14:textId="77777777" w:rsidR="00AF5122" w:rsidRPr="00B86BF8" w:rsidRDefault="00AF5122" w:rsidP="00846730">
      <w:pPr>
        <w:pStyle w:val="ListParagraph"/>
        <w:tabs>
          <w:tab w:val="left" w:pos="851"/>
          <w:tab w:val="left" w:pos="993"/>
        </w:tabs>
        <w:spacing w:after="0"/>
        <w:ind w:left="792"/>
        <w:jc w:val="both"/>
        <w:rPr>
          <w:rFonts w:ascii="Times New Roman" w:hAnsi="Times New Roman"/>
          <w:sz w:val="24"/>
          <w:szCs w:val="24"/>
        </w:rPr>
      </w:pPr>
    </w:p>
    <w:p w14:paraId="71A0F808" w14:textId="2AD872A4" w:rsidR="00FA2FDC" w:rsidRPr="00B86BF8" w:rsidRDefault="00FA2FDC" w:rsidP="00846730">
      <w:pPr>
        <w:pStyle w:val="ListParagraph"/>
        <w:numPr>
          <w:ilvl w:val="1"/>
          <w:numId w:val="5"/>
        </w:numPr>
        <w:tabs>
          <w:tab w:val="left" w:pos="851"/>
          <w:tab w:val="left" w:pos="993"/>
        </w:tabs>
        <w:spacing w:after="0"/>
        <w:ind w:left="0" w:firstLine="426"/>
        <w:jc w:val="both"/>
        <w:rPr>
          <w:rFonts w:ascii="Times New Roman" w:hAnsi="Times New Roman"/>
          <w:sz w:val="24"/>
          <w:szCs w:val="24"/>
        </w:rPr>
      </w:pPr>
      <w:r w:rsidRPr="00B86BF8">
        <w:rPr>
          <w:rFonts w:ascii="Times New Roman" w:hAnsi="Times New Roman"/>
          <w:sz w:val="24"/>
          <w:szCs w:val="24"/>
        </w:rPr>
        <w:t>Sudarom</w:t>
      </w:r>
      <w:r w:rsidR="006E6CF4" w:rsidRPr="00B86BF8">
        <w:rPr>
          <w:rFonts w:ascii="Times New Roman" w:hAnsi="Times New Roman"/>
          <w:sz w:val="24"/>
          <w:szCs w:val="24"/>
        </w:rPr>
        <w:t>a</w:t>
      </w:r>
      <w:r w:rsidRPr="00B86BF8">
        <w:rPr>
          <w:rFonts w:ascii="Times New Roman" w:hAnsi="Times New Roman"/>
          <w:sz w:val="24"/>
          <w:szCs w:val="24"/>
        </w:rPr>
        <w:t xml:space="preserve"> </w:t>
      </w:r>
      <w:r w:rsidR="00E87AAE" w:rsidRPr="00B86BF8">
        <w:rPr>
          <w:rFonts w:ascii="Times New Roman" w:hAnsi="Times New Roman"/>
          <w:sz w:val="24"/>
          <w:szCs w:val="24"/>
        </w:rPr>
        <w:t>S</w:t>
      </w:r>
      <w:r w:rsidRPr="00B86BF8">
        <w:rPr>
          <w:rFonts w:ascii="Times New Roman" w:hAnsi="Times New Roman"/>
          <w:sz w:val="24"/>
          <w:szCs w:val="24"/>
        </w:rPr>
        <w:t xml:space="preserve">utartis </w:t>
      </w:r>
      <w:r w:rsidR="006E6CF4" w:rsidRPr="00B86BF8">
        <w:rPr>
          <w:rFonts w:ascii="Times New Roman" w:hAnsi="Times New Roman"/>
          <w:sz w:val="24"/>
          <w:szCs w:val="24"/>
        </w:rPr>
        <w:t>galioja</w:t>
      </w:r>
      <w:r w:rsidR="00CD0177" w:rsidRPr="00B86BF8">
        <w:rPr>
          <w:rFonts w:ascii="Times New Roman" w:hAnsi="Times New Roman"/>
          <w:sz w:val="24"/>
          <w:szCs w:val="24"/>
        </w:rPr>
        <w:t xml:space="preserve"> </w:t>
      </w:r>
      <w:r w:rsidR="00CA1B6D">
        <w:rPr>
          <w:rFonts w:ascii="Times New Roman" w:hAnsi="Times New Roman"/>
          <w:sz w:val="24"/>
          <w:szCs w:val="24"/>
        </w:rPr>
        <w:t>3 (t</w:t>
      </w:r>
      <w:r w:rsidR="00CA1B6D" w:rsidRPr="00CA1B6D">
        <w:rPr>
          <w:rFonts w:ascii="Times New Roman" w:hAnsi="Times New Roman"/>
          <w:sz w:val="24"/>
          <w:szCs w:val="24"/>
        </w:rPr>
        <w:t>rys</w:t>
      </w:r>
      <w:r w:rsidR="00CA1B6D">
        <w:rPr>
          <w:rFonts w:ascii="Times New Roman" w:hAnsi="Times New Roman"/>
          <w:sz w:val="24"/>
          <w:szCs w:val="24"/>
        </w:rPr>
        <w:t>)</w:t>
      </w:r>
      <w:r w:rsidR="00CA1B6D" w:rsidRPr="00CA1B6D">
        <w:rPr>
          <w:rFonts w:ascii="Times New Roman" w:hAnsi="Times New Roman"/>
          <w:sz w:val="24"/>
          <w:szCs w:val="24"/>
        </w:rPr>
        <w:t xml:space="preserve"> metai po tinkamumo laikotarpio pabaigos</w:t>
      </w:r>
      <w:r w:rsidR="00CA1B6D" w:rsidRPr="00B86BF8">
        <w:rPr>
          <w:rFonts w:ascii="Times New Roman" w:hAnsi="Times New Roman"/>
          <w:sz w:val="24"/>
          <w:szCs w:val="24"/>
        </w:rPr>
        <w:t xml:space="preserve"> </w:t>
      </w:r>
      <w:r w:rsidR="00CD0177" w:rsidRPr="00B86BF8">
        <w:rPr>
          <w:rFonts w:ascii="Times New Roman" w:hAnsi="Times New Roman"/>
          <w:sz w:val="24"/>
          <w:szCs w:val="24"/>
        </w:rPr>
        <w:t>arba</w:t>
      </w:r>
      <w:r w:rsidRPr="00B86BF8">
        <w:rPr>
          <w:rFonts w:ascii="Times New Roman" w:hAnsi="Times New Roman"/>
          <w:sz w:val="24"/>
          <w:szCs w:val="24"/>
        </w:rPr>
        <w:t xml:space="preserve"> iki šalių įsipareigojimų pagal </w:t>
      </w:r>
      <w:r w:rsidR="00E87AAE" w:rsidRPr="00B86BF8">
        <w:rPr>
          <w:rFonts w:ascii="Times New Roman" w:hAnsi="Times New Roman"/>
          <w:sz w:val="24"/>
          <w:szCs w:val="24"/>
        </w:rPr>
        <w:t>S</w:t>
      </w:r>
      <w:r w:rsidRPr="00B86BF8">
        <w:rPr>
          <w:rFonts w:ascii="Times New Roman" w:hAnsi="Times New Roman"/>
          <w:sz w:val="24"/>
          <w:szCs w:val="24"/>
        </w:rPr>
        <w:t xml:space="preserve">utartį </w:t>
      </w:r>
      <w:r w:rsidR="006E6CF4" w:rsidRPr="00B86BF8">
        <w:rPr>
          <w:rFonts w:ascii="Times New Roman" w:hAnsi="Times New Roman"/>
          <w:sz w:val="24"/>
          <w:szCs w:val="24"/>
        </w:rPr>
        <w:t xml:space="preserve">įvykdymo </w:t>
      </w:r>
      <w:r w:rsidRPr="00B86BF8">
        <w:rPr>
          <w:rFonts w:ascii="Times New Roman" w:hAnsi="Times New Roman"/>
          <w:sz w:val="24"/>
          <w:szCs w:val="24"/>
        </w:rPr>
        <w:t>pabaigos, su galimybe</w:t>
      </w:r>
      <w:r w:rsidR="004C5F5D" w:rsidRPr="00B86BF8">
        <w:rPr>
          <w:rFonts w:ascii="Times New Roman" w:hAnsi="Times New Roman"/>
          <w:sz w:val="24"/>
          <w:szCs w:val="24"/>
        </w:rPr>
        <w:t>,</w:t>
      </w:r>
      <w:r w:rsidRPr="00B86BF8">
        <w:rPr>
          <w:rFonts w:ascii="Times New Roman" w:hAnsi="Times New Roman"/>
          <w:sz w:val="24"/>
          <w:szCs w:val="24"/>
        </w:rPr>
        <w:t xml:space="preserve"> esant poreikiui</w:t>
      </w:r>
      <w:r w:rsidR="004C5F5D" w:rsidRPr="00B86BF8">
        <w:rPr>
          <w:rFonts w:ascii="Times New Roman" w:hAnsi="Times New Roman"/>
          <w:sz w:val="24"/>
          <w:szCs w:val="24"/>
        </w:rPr>
        <w:t>,</w:t>
      </w:r>
      <w:r w:rsidRPr="00B86BF8">
        <w:rPr>
          <w:rFonts w:ascii="Times New Roman" w:hAnsi="Times New Roman"/>
          <w:sz w:val="24"/>
          <w:szCs w:val="24"/>
        </w:rPr>
        <w:t xml:space="preserve"> pratęsti </w:t>
      </w:r>
      <w:r w:rsidR="006E6CF4" w:rsidRPr="00B86BF8">
        <w:rPr>
          <w:rFonts w:ascii="Times New Roman" w:hAnsi="Times New Roman"/>
          <w:sz w:val="24"/>
          <w:szCs w:val="24"/>
        </w:rPr>
        <w:t>Sutartį</w:t>
      </w:r>
      <w:r w:rsidR="006F613F" w:rsidRPr="00B86BF8">
        <w:rPr>
          <w:rFonts w:ascii="Times New Roman" w:hAnsi="Times New Roman"/>
          <w:sz w:val="24"/>
          <w:szCs w:val="24"/>
        </w:rPr>
        <w:t>.</w:t>
      </w:r>
    </w:p>
    <w:p w14:paraId="475838D3" w14:textId="6B9C8E3F" w:rsidR="001E35B1" w:rsidRPr="00B86BF8" w:rsidRDefault="006F473C" w:rsidP="00846730">
      <w:pPr>
        <w:pStyle w:val="ListParagraph"/>
        <w:numPr>
          <w:ilvl w:val="1"/>
          <w:numId w:val="5"/>
        </w:numPr>
        <w:tabs>
          <w:tab w:val="left" w:pos="851"/>
          <w:tab w:val="left" w:pos="993"/>
        </w:tabs>
        <w:spacing w:after="0"/>
        <w:ind w:left="0" w:firstLine="426"/>
        <w:jc w:val="both"/>
        <w:rPr>
          <w:rFonts w:ascii="Times New Roman" w:hAnsi="Times New Roman"/>
          <w:sz w:val="24"/>
          <w:szCs w:val="24"/>
        </w:rPr>
      </w:pPr>
      <w:r w:rsidRPr="00B86BF8">
        <w:rPr>
          <w:rFonts w:ascii="Times New Roman" w:hAnsi="Times New Roman"/>
          <w:sz w:val="24"/>
          <w:szCs w:val="24"/>
        </w:rPr>
        <w:t xml:space="preserve">Sudaromoje </w:t>
      </w:r>
      <w:r w:rsidR="00E87AAE" w:rsidRPr="00B86BF8">
        <w:rPr>
          <w:rFonts w:ascii="Times New Roman" w:hAnsi="Times New Roman"/>
          <w:sz w:val="24"/>
          <w:szCs w:val="24"/>
        </w:rPr>
        <w:t>S</w:t>
      </w:r>
      <w:r w:rsidR="001E35B1" w:rsidRPr="00B86BF8">
        <w:rPr>
          <w:rFonts w:ascii="Times New Roman" w:hAnsi="Times New Roman"/>
          <w:sz w:val="24"/>
          <w:szCs w:val="24"/>
        </w:rPr>
        <w:t xml:space="preserve">utartyje </w:t>
      </w:r>
      <w:r w:rsidR="001E35B1" w:rsidRPr="00B86BF8">
        <w:rPr>
          <w:rFonts w:ascii="Times New Roman" w:hAnsi="Times New Roman"/>
          <w:i/>
          <w:iCs/>
          <w:sz w:val="24"/>
          <w:szCs w:val="24"/>
        </w:rPr>
        <w:t>inter alia</w:t>
      </w:r>
      <w:r w:rsidR="001E35B1" w:rsidRPr="00B86BF8">
        <w:rPr>
          <w:rFonts w:ascii="Times New Roman" w:hAnsi="Times New Roman"/>
          <w:sz w:val="24"/>
          <w:szCs w:val="24"/>
        </w:rPr>
        <w:t xml:space="preserve"> bus įtrauktos šios nuostatos (</w:t>
      </w:r>
      <w:r w:rsidR="00B41D5C" w:rsidRPr="00B86BF8">
        <w:rPr>
          <w:rFonts w:ascii="Times New Roman" w:hAnsi="Times New Roman"/>
          <w:sz w:val="24"/>
          <w:szCs w:val="24"/>
        </w:rPr>
        <w:t>sąvokos suprantamos taip, kaip apibrėžta Aprašo 1 priede (Pagrindinės sąlygos) dėl FT įsipareigojimų</w:t>
      </w:r>
      <w:r w:rsidR="001E35B1" w:rsidRPr="00B86BF8">
        <w:rPr>
          <w:rFonts w:ascii="Times New Roman" w:hAnsi="Times New Roman"/>
          <w:sz w:val="24"/>
          <w:szCs w:val="24"/>
        </w:rPr>
        <w:t>:</w:t>
      </w:r>
    </w:p>
    <w:p w14:paraId="1E88E27A" w14:textId="77777777" w:rsidR="001E35B1" w:rsidRPr="00B86BF8" w:rsidRDefault="00BC6CBD"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Paskolas, finansuojamas </w:t>
      </w:r>
      <w:r w:rsidR="00FA0F62" w:rsidRPr="00B86BF8">
        <w:rPr>
          <w:rFonts w:ascii="Times New Roman" w:hAnsi="Times New Roman"/>
          <w:sz w:val="24"/>
          <w:szCs w:val="24"/>
        </w:rPr>
        <w:t>P</w:t>
      </w:r>
      <w:r w:rsidR="001E35B1" w:rsidRPr="00B86BF8">
        <w:rPr>
          <w:rFonts w:ascii="Times New Roman" w:hAnsi="Times New Roman"/>
          <w:sz w:val="24"/>
          <w:szCs w:val="24"/>
        </w:rPr>
        <w:t xml:space="preserve">riemonės </w:t>
      </w:r>
      <w:r w:rsidRPr="00B86BF8">
        <w:rPr>
          <w:rFonts w:ascii="Times New Roman" w:hAnsi="Times New Roman"/>
          <w:sz w:val="24"/>
          <w:szCs w:val="24"/>
        </w:rPr>
        <w:t xml:space="preserve">„Alternatyva“ </w:t>
      </w:r>
      <w:r w:rsidR="001E35B1" w:rsidRPr="00B86BF8">
        <w:rPr>
          <w:rFonts w:ascii="Times New Roman" w:hAnsi="Times New Roman"/>
          <w:sz w:val="24"/>
          <w:szCs w:val="24"/>
        </w:rPr>
        <w:t xml:space="preserve">lėšomis, apskaityti atskirai ir taip, kad būtų galima </w:t>
      </w:r>
      <w:r w:rsidR="004153F5" w:rsidRPr="00B86BF8">
        <w:rPr>
          <w:rFonts w:ascii="Times New Roman" w:hAnsi="Times New Roman"/>
          <w:sz w:val="24"/>
          <w:szCs w:val="24"/>
        </w:rPr>
        <w:t xml:space="preserve">jas </w:t>
      </w:r>
      <w:r w:rsidR="001E35B1" w:rsidRPr="00B86BF8">
        <w:rPr>
          <w:rFonts w:ascii="Times New Roman" w:hAnsi="Times New Roman"/>
          <w:sz w:val="24"/>
          <w:szCs w:val="24"/>
        </w:rPr>
        <w:t>lengvai identifikuoti;</w:t>
      </w:r>
    </w:p>
    <w:p w14:paraId="04652469" w14:textId="77777777" w:rsidR="00A16E7E" w:rsidRPr="00B86BF8" w:rsidRDefault="00A16E7E"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Priemonės „Alternatyva“ lėšas naudoti tik Paskoloms teikti</w:t>
      </w:r>
      <w:r w:rsidR="004153F5" w:rsidRPr="00B86BF8">
        <w:rPr>
          <w:rFonts w:ascii="Times New Roman" w:hAnsi="Times New Roman"/>
          <w:sz w:val="24"/>
          <w:szCs w:val="24"/>
        </w:rPr>
        <w:t>;</w:t>
      </w:r>
    </w:p>
    <w:p w14:paraId="37328B90" w14:textId="77777777" w:rsidR="001E35B1" w:rsidRPr="00B86BF8" w:rsidRDefault="001E35B1"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nedels</w:t>
      </w:r>
      <w:r w:rsidR="003F4F73" w:rsidRPr="00B86BF8">
        <w:rPr>
          <w:rFonts w:ascii="Times New Roman" w:hAnsi="Times New Roman"/>
          <w:sz w:val="24"/>
          <w:szCs w:val="24"/>
        </w:rPr>
        <w:t>iant</w:t>
      </w:r>
      <w:r w:rsidRPr="00B86BF8">
        <w:rPr>
          <w:rFonts w:ascii="Times New Roman" w:hAnsi="Times New Roman"/>
          <w:sz w:val="24"/>
          <w:szCs w:val="24"/>
        </w:rPr>
        <w:t xml:space="preserve"> informuoti „Invegą“ apie bet kurį įvykį, kuris</w:t>
      </w:r>
      <w:r w:rsidR="003C67A4" w:rsidRPr="00B86BF8">
        <w:rPr>
          <w:rFonts w:ascii="Times New Roman" w:hAnsi="Times New Roman"/>
          <w:sz w:val="24"/>
          <w:szCs w:val="24"/>
        </w:rPr>
        <w:t>,</w:t>
      </w:r>
      <w:r w:rsidRPr="00B86BF8">
        <w:rPr>
          <w:rFonts w:ascii="Times New Roman" w:hAnsi="Times New Roman"/>
          <w:sz w:val="24"/>
          <w:szCs w:val="24"/>
        </w:rPr>
        <w:t xml:space="preserve"> jo nuomone</w:t>
      </w:r>
      <w:r w:rsidR="003C67A4" w:rsidRPr="00B86BF8">
        <w:rPr>
          <w:rFonts w:ascii="Times New Roman" w:hAnsi="Times New Roman"/>
          <w:sz w:val="24"/>
          <w:szCs w:val="24"/>
        </w:rPr>
        <w:t>,</w:t>
      </w:r>
      <w:r w:rsidRPr="00B86BF8">
        <w:rPr>
          <w:rFonts w:ascii="Times New Roman" w:hAnsi="Times New Roman"/>
          <w:sz w:val="24"/>
          <w:szCs w:val="24"/>
        </w:rPr>
        <w:t xml:space="preserve"> yra esminis (įskaitant, bet neapsiribojant </w:t>
      </w:r>
      <w:r w:rsidR="00BC6CBD" w:rsidRPr="00B86BF8">
        <w:rPr>
          <w:rFonts w:ascii="Times New Roman" w:hAnsi="Times New Roman"/>
          <w:sz w:val="24"/>
          <w:szCs w:val="24"/>
        </w:rPr>
        <w:t xml:space="preserve">Paskolos </w:t>
      </w:r>
      <w:r w:rsidR="000F1236" w:rsidRPr="00B86BF8">
        <w:rPr>
          <w:rFonts w:ascii="Times New Roman" w:hAnsi="Times New Roman"/>
          <w:sz w:val="24"/>
          <w:szCs w:val="24"/>
        </w:rPr>
        <w:t>t</w:t>
      </w:r>
      <w:r w:rsidRPr="00B86BF8">
        <w:rPr>
          <w:rFonts w:ascii="Times New Roman" w:hAnsi="Times New Roman"/>
          <w:sz w:val="24"/>
          <w:szCs w:val="24"/>
        </w:rPr>
        <w:t>inkamumo sąlygų</w:t>
      </w:r>
      <w:r w:rsidR="000F1236" w:rsidRPr="00B86BF8">
        <w:rPr>
          <w:rFonts w:ascii="Times New Roman" w:hAnsi="Times New Roman"/>
          <w:sz w:val="24"/>
          <w:szCs w:val="24"/>
        </w:rPr>
        <w:t>, nustatytų Pagrindinėse sąlygose</w:t>
      </w:r>
      <w:r w:rsidR="00A16E7E" w:rsidRPr="00B86BF8">
        <w:rPr>
          <w:rFonts w:ascii="Times New Roman" w:hAnsi="Times New Roman"/>
          <w:sz w:val="24"/>
          <w:szCs w:val="24"/>
        </w:rPr>
        <w:t>,</w:t>
      </w:r>
      <w:r w:rsidRPr="00B86BF8">
        <w:rPr>
          <w:rFonts w:ascii="Times New Roman" w:hAnsi="Times New Roman"/>
          <w:sz w:val="24"/>
          <w:szCs w:val="24"/>
        </w:rPr>
        <w:t xml:space="preserve"> pažeidimu), dėl kurio, </w:t>
      </w:r>
      <w:r w:rsidR="00AF5122" w:rsidRPr="00B86BF8">
        <w:rPr>
          <w:rFonts w:ascii="Times New Roman" w:hAnsi="Times New Roman"/>
          <w:sz w:val="24"/>
          <w:szCs w:val="24"/>
        </w:rPr>
        <w:t>„</w:t>
      </w:r>
      <w:r w:rsidR="0077560A" w:rsidRPr="00B86BF8">
        <w:rPr>
          <w:rFonts w:ascii="Times New Roman" w:hAnsi="Times New Roman"/>
          <w:sz w:val="24"/>
          <w:szCs w:val="24"/>
        </w:rPr>
        <w:t>Invegai“</w:t>
      </w:r>
      <w:r w:rsidRPr="00B86BF8">
        <w:rPr>
          <w:rFonts w:ascii="Times New Roman" w:hAnsi="Times New Roman"/>
          <w:sz w:val="24"/>
          <w:szCs w:val="24"/>
        </w:rPr>
        <w:t xml:space="preserve"> gali tekti imtis veiksmų ir (arba) kuris gali turėti įtakos </w:t>
      </w:r>
      <w:r w:rsidR="00A16E7E" w:rsidRPr="00B86BF8">
        <w:rPr>
          <w:rFonts w:ascii="Times New Roman" w:hAnsi="Times New Roman"/>
          <w:sz w:val="24"/>
          <w:szCs w:val="24"/>
        </w:rPr>
        <w:t>FT</w:t>
      </w:r>
      <w:r w:rsidRPr="00B86BF8">
        <w:rPr>
          <w:rFonts w:ascii="Times New Roman" w:hAnsi="Times New Roman"/>
          <w:sz w:val="24"/>
          <w:szCs w:val="24"/>
        </w:rPr>
        <w:t xml:space="preserve"> gebėjimui vykdyti įsipareigojimus, prisiimtus pagal </w:t>
      </w:r>
      <w:r w:rsidR="00E87AAE" w:rsidRPr="00B86BF8">
        <w:rPr>
          <w:rFonts w:ascii="Times New Roman" w:hAnsi="Times New Roman"/>
          <w:sz w:val="24"/>
          <w:szCs w:val="24"/>
        </w:rPr>
        <w:t>S</w:t>
      </w:r>
      <w:r w:rsidRPr="00B86BF8">
        <w:rPr>
          <w:rFonts w:ascii="Times New Roman" w:hAnsi="Times New Roman"/>
          <w:sz w:val="24"/>
          <w:szCs w:val="24"/>
        </w:rPr>
        <w:t>utartį;</w:t>
      </w:r>
    </w:p>
    <w:p w14:paraId="2920EEBA" w14:textId="77777777" w:rsidR="001E35B1" w:rsidRPr="00B86BF8" w:rsidRDefault="001E35B1"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neperleisti savo teisių ir prievolių pagal </w:t>
      </w:r>
      <w:r w:rsidR="00E87AAE" w:rsidRPr="00B86BF8">
        <w:rPr>
          <w:rFonts w:ascii="Times New Roman" w:hAnsi="Times New Roman"/>
          <w:sz w:val="24"/>
          <w:szCs w:val="24"/>
        </w:rPr>
        <w:t>S</w:t>
      </w:r>
      <w:r w:rsidRPr="00B86BF8">
        <w:rPr>
          <w:rFonts w:ascii="Times New Roman" w:hAnsi="Times New Roman"/>
          <w:sz w:val="24"/>
          <w:szCs w:val="24"/>
        </w:rPr>
        <w:t>utartį negav</w:t>
      </w:r>
      <w:r w:rsidR="005D5278" w:rsidRPr="00B86BF8">
        <w:rPr>
          <w:rFonts w:ascii="Times New Roman" w:hAnsi="Times New Roman"/>
          <w:sz w:val="24"/>
          <w:szCs w:val="24"/>
        </w:rPr>
        <w:t>u</w:t>
      </w:r>
      <w:r w:rsidRPr="00B86BF8">
        <w:rPr>
          <w:rFonts w:ascii="Times New Roman" w:hAnsi="Times New Roman"/>
          <w:sz w:val="24"/>
          <w:szCs w:val="24"/>
        </w:rPr>
        <w:t xml:space="preserve">s išankstinio rašytinio </w:t>
      </w:r>
      <w:r w:rsidR="0077560A" w:rsidRPr="00B86BF8">
        <w:rPr>
          <w:rFonts w:ascii="Times New Roman" w:hAnsi="Times New Roman"/>
          <w:sz w:val="24"/>
          <w:szCs w:val="24"/>
        </w:rPr>
        <w:t xml:space="preserve">„Invegos“ </w:t>
      </w:r>
      <w:r w:rsidRPr="00B86BF8">
        <w:rPr>
          <w:rFonts w:ascii="Times New Roman" w:hAnsi="Times New Roman"/>
          <w:sz w:val="24"/>
          <w:szCs w:val="24"/>
        </w:rPr>
        <w:t>sutikimo;</w:t>
      </w:r>
    </w:p>
    <w:p w14:paraId="6F73201F" w14:textId="77777777" w:rsidR="00D8021E" w:rsidRPr="00B86BF8" w:rsidRDefault="00D8021E" w:rsidP="00D8021E">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kaupti informaciją apie Paskolų gavėjus, suteiktas Paskolas,</w:t>
      </w:r>
      <w:r w:rsidR="00C25763" w:rsidRPr="00B86BF8">
        <w:rPr>
          <w:rFonts w:ascii="Times New Roman" w:hAnsi="Times New Roman"/>
          <w:sz w:val="24"/>
          <w:szCs w:val="24"/>
        </w:rPr>
        <w:t xml:space="preserve"> Paskolos gavėjui suteiktos paskolos paskirtį (panaudojimą) pagrindžiančius dokumentus,</w:t>
      </w:r>
      <w:r w:rsidRPr="00B86BF8">
        <w:rPr>
          <w:rFonts w:ascii="Times New Roman" w:hAnsi="Times New Roman"/>
          <w:sz w:val="24"/>
          <w:szCs w:val="24"/>
        </w:rPr>
        <w:t xml:space="preserve"> grąžintas Paskolų sumas, laikantis FT nustatytų vidinių apskaitos procedūrų ir taip, kad būtų galima </w:t>
      </w:r>
      <w:r w:rsidR="005D5278" w:rsidRPr="00B86BF8">
        <w:rPr>
          <w:rFonts w:ascii="Times New Roman" w:hAnsi="Times New Roman"/>
          <w:sz w:val="24"/>
          <w:szCs w:val="24"/>
        </w:rPr>
        <w:t>„</w:t>
      </w:r>
      <w:r w:rsidRPr="00B86BF8">
        <w:rPr>
          <w:rFonts w:ascii="Times New Roman" w:hAnsi="Times New Roman"/>
          <w:sz w:val="24"/>
          <w:szCs w:val="24"/>
        </w:rPr>
        <w:t>Invegai</w:t>
      </w:r>
      <w:r w:rsidR="005D5278" w:rsidRPr="00B86BF8">
        <w:rPr>
          <w:rFonts w:ascii="Times New Roman" w:hAnsi="Times New Roman"/>
          <w:sz w:val="24"/>
          <w:szCs w:val="24"/>
        </w:rPr>
        <w:t>“</w:t>
      </w:r>
      <w:r w:rsidRPr="00B86BF8">
        <w:rPr>
          <w:rFonts w:ascii="Times New Roman" w:hAnsi="Times New Roman"/>
          <w:sz w:val="24"/>
          <w:szCs w:val="24"/>
        </w:rPr>
        <w:t xml:space="preserve"> pateikti visą informaciją, kuri yra reikalinga apskaičiuoti bei patikrinti ar Paskolos buvo suteiktos laikantis Pagrindinių sąlygų</w:t>
      </w:r>
      <w:r w:rsidR="004153F5" w:rsidRPr="00B86BF8">
        <w:rPr>
          <w:rFonts w:ascii="Times New Roman" w:hAnsi="Times New Roman"/>
          <w:sz w:val="24"/>
          <w:szCs w:val="24"/>
        </w:rPr>
        <w:t>;</w:t>
      </w:r>
    </w:p>
    <w:p w14:paraId="2EA43B33" w14:textId="77777777" w:rsidR="001E35B1" w:rsidRPr="00B86BF8" w:rsidRDefault="001E35B1"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teikti papildomą informaciją pagal atskirą </w:t>
      </w:r>
      <w:r w:rsidR="0077560A" w:rsidRPr="00B86BF8">
        <w:rPr>
          <w:rFonts w:ascii="Times New Roman" w:hAnsi="Times New Roman"/>
          <w:sz w:val="24"/>
          <w:szCs w:val="24"/>
        </w:rPr>
        <w:t xml:space="preserve">„Invegos“ </w:t>
      </w:r>
      <w:r w:rsidRPr="00B86BF8">
        <w:rPr>
          <w:rFonts w:ascii="Times New Roman" w:hAnsi="Times New Roman"/>
          <w:sz w:val="24"/>
          <w:szCs w:val="24"/>
        </w:rPr>
        <w:t xml:space="preserve">paklausimą. </w:t>
      </w:r>
      <w:r w:rsidR="00384AC7" w:rsidRPr="00B86BF8">
        <w:rPr>
          <w:rFonts w:ascii="Times New Roman" w:hAnsi="Times New Roman"/>
          <w:sz w:val="24"/>
          <w:szCs w:val="24"/>
        </w:rPr>
        <w:t>„</w:t>
      </w:r>
      <w:r w:rsidR="0077560A" w:rsidRPr="00B86BF8">
        <w:rPr>
          <w:rFonts w:ascii="Times New Roman" w:hAnsi="Times New Roman"/>
          <w:sz w:val="24"/>
          <w:szCs w:val="24"/>
        </w:rPr>
        <w:t>Invega</w:t>
      </w:r>
      <w:r w:rsidR="00384AC7" w:rsidRPr="00B86BF8">
        <w:rPr>
          <w:rFonts w:ascii="Times New Roman" w:hAnsi="Times New Roman"/>
          <w:sz w:val="24"/>
          <w:szCs w:val="24"/>
        </w:rPr>
        <w:t>“</w:t>
      </w:r>
      <w:r w:rsidRPr="00B86BF8">
        <w:rPr>
          <w:rFonts w:ascii="Times New Roman" w:hAnsi="Times New Roman"/>
          <w:sz w:val="24"/>
          <w:szCs w:val="24"/>
        </w:rPr>
        <w:t xml:space="preserve"> neprivalo nuolat stebėti ir tikrinti, </w:t>
      </w:r>
      <w:r w:rsidR="003C67A4" w:rsidRPr="00B86BF8">
        <w:rPr>
          <w:rFonts w:ascii="Times New Roman" w:hAnsi="Times New Roman"/>
          <w:sz w:val="24"/>
          <w:szCs w:val="24"/>
        </w:rPr>
        <w:t xml:space="preserve">ar </w:t>
      </w:r>
      <w:r w:rsidR="00BC6CBD" w:rsidRPr="00B86BF8">
        <w:rPr>
          <w:rFonts w:ascii="Times New Roman" w:hAnsi="Times New Roman"/>
          <w:sz w:val="24"/>
          <w:szCs w:val="24"/>
        </w:rPr>
        <w:t>Paskola</w:t>
      </w:r>
      <w:r w:rsidRPr="00B86BF8">
        <w:rPr>
          <w:rFonts w:ascii="Times New Roman" w:hAnsi="Times New Roman"/>
          <w:sz w:val="24"/>
          <w:szCs w:val="24"/>
        </w:rPr>
        <w:t xml:space="preserve"> atitinka </w:t>
      </w:r>
      <w:r w:rsidR="00A16E7E" w:rsidRPr="00B86BF8">
        <w:rPr>
          <w:rFonts w:ascii="Times New Roman" w:hAnsi="Times New Roman"/>
          <w:sz w:val="24"/>
          <w:szCs w:val="24"/>
        </w:rPr>
        <w:t>t</w:t>
      </w:r>
      <w:r w:rsidRPr="00B86BF8">
        <w:rPr>
          <w:rFonts w:ascii="Times New Roman" w:hAnsi="Times New Roman"/>
          <w:sz w:val="24"/>
          <w:szCs w:val="24"/>
        </w:rPr>
        <w:t>inkamumo sąlygas,</w:t>
      </w:r>
      <w:r w:rsidR="00A16E7E" w:rsidRPr="00B86BF8">
        <w:rPr>
          <w:rFonts w:ascii="Times New Roman" w:hAnsi="Times New Roman"/>
          <w:sz w:val="24"/>
          <w:szCs w:val="24"/>
        </w:rPr>
        <w:t xml:space="preserve"> nustatytas Pagrindinėse sąlygose,</w:t>
      </w:r>
      <w:r w:rsidRPr="00B86BF8">
        <w:rPr>
          <w:rFonts w:ascii="Times New Roman" w:hAnsi="Times New Roman"/>
          <w:sz w:val="24"/>
          <w:szCs w:val="24"/>
        </w:rPr>
        <w:t xml:space="preserve"> tačiau </w:t>
      </w:r>
      <w:r w:rsidR="00384AC7" w:rsidRPr="00B86BF8">
        <w:rPr>
          <w:rFonts w:ascii="Times New Roman" w:hAnsi="Times New Roman"/>
          <w:sz w:val="24"/>
          <w:szCs w:val="24"/>
        </w:rPr>
        <w:t>„I</w:t>
      </w:r>
      <w:r w:rsidR="0077560A" w:rsidRPr="00B86BF8">
        <w:rPr>
          <w:rFonts w:ascii="Times New Roman" w:hAnsi="Times New Roman"/>
          <w:sz w:val="24"/>
          <w:szCs w:val="24"/>
        </w:rPr>
        <w:t>nvega</w:t>
      </w:r>
      <w:bookmarkStart w:id="10" w:name="_Hlk36561065"/>
      <w:r w:rsidR="00384AC7" w:rsidRPr="00B86BF8">
        <w:rPr>
          <w:rFonts w:ascii="Times New Roman" w:hAnsi="Times New Roman"/>
          <w:sz w:val="24"/>
          <w:szCs w:val="24"/>
        </w:rPr>
        <w:t>“</w:t>
      </w:r>
      <w:bookmarkEnd w:id="10"/>
      <w:r w:rsidRPr="00B86BF8">
        <w:rPr>
          <w:rFonts w:ascii="Times New Roman" w:hAnsi="Times New Roman"/>
          <w:sz w:val="24"/>
          <w:szCs w:val="24"/>
        </w:rPr>
        <w:t xml:space="preserve"> gali bet kuriuo metu pareikalauti, kad </w:t>
      </w:r>
      <w:r w:rsidR="00BC6CBD" w:rsidRPr="00B86BF8">
        <w:rPr>
          <w:rFonts w:ascii="Times New Roman" w:hAnsi="Times New Roman"/>
          <w:sz w:val="24"/>
          <w:szCs w:val="24"/>
        </w:rPr>
        <w:t>FT</w:t>
      </w:r>
      <w:r w:rsidRPr="00B86BF8">
        <w:rPr>
          <w:rFonts w:ascii="Times New Roman" w:hAnsi="Times New Roman"/>
          <w:sz w:val="24"/>
          <w:szCs w:val="24"/>
        </w:rPr>
        <w:t xml:space="preserve"> neatlygintinai pateiktų informaciją, kuri leistų </w:t>
      </w:r>
      <w:r w:rsidR="00384AC7" w:rsidRPr="00B86BF8">
        <w:rPr>
          <w:rFonts w:ascii="Times New Roman" w:hAnsi="Times New Roman"/>
          <w:sz w:val="24"/>
          <w:szCs w:val="24"/>
        </w:rPr>
        <w:t>„</w:t>
      </w:r>
      <w:r w:rsidR="0077560A" w:rsidRPr="00B86BF8">
        <w:rPr>
          <w:rFonts w:ascii="Times New Roman" w:hAnsi="Times New Roman"/>
          <w:sz w:val="24"/>
          <w:szCs w:val="24"/>
        </w:rPr>
        <w:t>Invegai“</w:t>
      </w:r>
      <w:r w:rsidRPr="00B86BF8">
        <w:rPr>
          <w:rFonts w:ascii="Times New Roman" w:hAnsi="Times New Roman"/>
          <w:sz w:val="24"/>
          <w:szCs w:val="24"/>
        </w:rPr>
        <w:t xml:space="preserve"> patikrinti ar </w:t>
      </w:r>
      <w:r w:rsidR="00697A5B" w:rsidRPr="00B86BF8">
        <w:rPr>
          <w:rFonts w:ascii="Times New Roman" w:hAnsi="Times New Roman"/>
          <w:sz w:val="24"/>
          <w:szCs w:val="24"/>
        </w:rPr>
        <w:t>Paskola</w:t>
      </w:r>
      <w:r w:rsidRPr="00B86BF8">
        <w:rPr>
          <w:rFonts w:ascii="Times New Roman" w:hAnsi="Times New Roman"/>
          <w:sz w:val="24"/>
          <w:szCs w:val="24"/>
        </w:rPr>
        <w:t xml:space="preserve"> atitinka Tinkamumo sąlygas</w:t>
      </w:r>
      <w:r w:rsidR="00697A5B" w:rsidRPr="00B86BF8">
        <w:rPr>
          <w:rFonts w:ascii="Times New Roman" w:hAnsi="Times New Roman"/>
          <w:sz w:val="24"/>
          <w:szCs w:val="24"/>
        </w:rPr>
        <w:t>. FT</w:t>
      </w:r>
      <w:r w:rsidR="004C5F5D" w:rsidRPr="00B86BF8">
        <w:rPr>
          <w:rFonts w:ascii="Times New Roman" w:hAnsi="Times New Roman"/>
          <w:sz w:val="24"/>
          <w:szCs w:val="24"/>
        </w:rPr>
        <w:t>,</w:t>
      </w:r>
      <w:r w:rsidR="00697A5B" w:rsidRPr="00B86BF8">
        <w:rPr>
          <w:rFonts w:ascii="Times New Roman" w:hAnsi="Times New Roman"/>
          <w:sz w:val="24"/>
          <w:szCs w:val="24"/>
        </w:rPr>
        <w:t xml:space="preserve"> su kuriuo sudaryta Sutartis</w:t>
      </w:r>
      <w:r w:rsidR="004C5F5D" w:rsidRPr="00B86BF8">
        <w:rPr>
          <w:rFonts w:ascii="Times New Roman" w:hAnsi="Times New Roman"/>
          <w:sz w:val="24"/>
          <w:szCs w:val="24"/>
        </w:rPr>
        <w:t>,</w:t>
      </w:r>
      <w:r w:rsidRPr="00B86BF8">
        <w:rPr>
          <w:rFonts w:ascii="Times New Roman" w:hAnsi="Times New Roman"/>
          <w:sz w:val="24"/>
          <w:szCs w:val="24"/>
        </w:rPr>
        <w:t xml:space="preserve"> privalo pateikti </w:t>
      </w:r>
      <w:r w:rsidR="00384AC7" w:rsidRPr="00B86BF8">
        <w:rPr>
          <w:rFonts w:ascii="Times New Roman" w:hAnsi="Times New Roman"/>
          <w:sz w:val="24"/>
          <w:szCs w:val="24"/>
        </w:rPr>
        <w:t>„I</w:t>
      </w:r>
      <w:r w:rsidR="0077560A" w:rsidRPr="00B86BF8">
        <w:rPr>
          <w:rFonts w:ascii="Times New Roman" w:hAnsi="Times New Roman"/>
          <w:sz w:val="24"/>
          <w:szCs w:val="24"/>
        </w:rPr>
        <w:t>nvegai</w:t>
      </w:r>
      <w:r w:rsidR="00384AC7" w:rsidRPr="00B86BF8">
        <w:rPr>
          <w:rFonts w:ascii="Times New Roman" w:hAnsi="Times New Roman"/>
          <w:sz w:val="24"/>
          <w:szCs w:val="24"/>
        </w:rPr>
        <w:t>“</w:t>
      </w:r>
      <w:r w:rsidRPr="00B86BF8">
        <w:rPr>
          <w:rFonts w:ascii="Times New Roman" w:hAnsi="Times New Roman"/>
          <w:sz w:val="24"/>
          <w:szCs w:val="24"/>
        </w:rPr>
        <w:t xml:space="preserve"> informaciją, kurios pagrįstai pareikalauja </w:t>
      </w:r>
      <w:r w:rsidR="00384AC7" w:rsidRPr="00B86BF8">
        <w:rPr>
          <w:rFonts w:ascii="Times New Roman" w:hAnsi="Times New Roman"/>
          <w:sz w:val="24"/>
          <w:szCs w:val="24"/>
        </w:rPr>
        <w:t>„I</w:t>
      </w:r>
      <w:r w:rsidR="0077560A" w:rsidRPr="00B86BF8">
        <w:rPr>
          <w:rFonts w:ascii="Times New Roman" w:hAnsi="Times New Roman"/>
          <w:sz w:val="24"/>
          <w:szCs w:val="24"/>
        </w:rPr>
        <w:t>nvega</w:t>
      </w:r>
      <w:r w:rsidR="00384AC7" w:rsidRPr="00B86BF8">
        <w:rPr>
          <w:rFonts w:ascii="Times New Roman" w:hAnsi="Times New Roman"/>
          <w:sz w:val="24"/>
          <w:szCs w:val="24"/>
        </w:rPr>
        <w:t>“</w:t>
      </w:r>
      <w:r w:rsidRPr="00B86BF8">
        <w:rPr>
          <w:rFonts w:ascii="Times New Roman" w:hAnsi="Times New Roman"/>
          <w:sz w:val="24"/>
          <w:szCs w:val="24"/>
        </w:rPr>
        <w:t>;</w:t>
      </w:r>
    </w:p>
    <w:p w14:paraId="6D7FE9C4" w14:textId="77777777" w:rsidR="003F20CB" w:rsidRPr="00B86BF8" w:rsidRDefault="005B42BF"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 </w:t>
      </w:r>
      <w:r w:rsidR="00697A5B" w:rsidRPr="00B86BF8">
        <w:rPr>
          <w:rFonts w:ascii="Times New Roman" w:hAnsi="Times New Roman"/>
          <w:sz w:val="24"/>
          <w:szCs w:val="24"/>
        </w:rPr>
        <w:t xml:space="preserve">FT </w:t>
      </w:r>
      <w:r w:rsidR="0058182C" w:rsidRPr="00B86BF8">
        <w:rPr>
          <w:rFonts w:ascii="Times New Roman" w:hAnsi="Times New Roman"/>
          <w:sz w:val="24"/>
          <w:szCs w:val="24"/>
        </w:rPr>
        <w:t xml:space="preserve">įsipareigojimas užtikrinti, kad vykdant Sutartį bus įgyvendintos tinkamos techninės ir organizacinės asmens duomenų tvarkymo priemonės, asmens duomenų tvarkymas atitiks 2016 m. balandžio 27 d. Europos Parlamento ir Tarybos reglamente (ES) 2016/679 dėl </w:t>
      </w:r>
      <w:r w:rsidR="0058182C" w:rsidRPr="00B86BF8">
        <w:rPr>
          <w:rFonts w:ascii="Times New Roman" w:hAnsi="Times New Roman"/>
          <w:sz w:val="24"/>
          <w:szCs w:val="24"/>
        </w:rPr>
        <w:lastRenderedPageBreak/>
        <w:t>fizinių asmenų apsaugos tvarkant asmens duomenis ir dėl laisvo tokių duomenų judėjimo ir kuriuo panaikinama Direktyva 95/46/EB (Bendrasis duomenų apsaugos reglamentas), Lietuvos Respublikos asmens duomenų teisinės apsaugos įstatyme įtvirtintus reikalavimus</w:t>
      </w:r>
      <w:r w:rsidR="004153F5" w:rsidRPr="00B86BF8">
        <w:rPr>
          <w:rFonts w:ascii="Times New Roman" w:hAnsi="Times New Roman"/>
          <w:sz w:val="24"/>
          <w:szCs w:val="24"/>
        </w:rPr>
        <w:t>;</w:t>
      </w:r>
    </w:p>
    <w:p w14:paraId="5F380707" w14:textId="77777777" w:rsidR="003C67A4" w:rsidRPr="00B86BF8" w:rsidRDefault="0058182C"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 </w:t>
      </w:r>
      <w:r w:rsidR="00697A5B" w:rsidRPr="00B86BF8">
        <w:rPr>
          <w:rFonts w:ascii="Times New Roman" w:hAnsi="Times New Roman"/>
          <w:sz w:val="24"/>
          <w:szCs w:val="24"/>
        </w:rPr>
        <w:t>FT</w:t>
      </w:r>
      <w:r w:rsidRPr="00B86BF8">
        <w:rPr>
          <w:rFonts w:ascii="Times New Roman" w:hAnsi="Times New Roman"/>
          <w:sz w:val="24"/>
          <w:szCs w:val="24"/>
        </w:rPr>
        <w:t xml:space="preserve"> įsipareigojimas informuoti duomenų subjektus apie </w:t>
      </w:r>
      <w:r w:rsidR="00D24AB6" w:rsidRPr="00B86BF8">
        <w:rPr>
          <w:rFonts w:ascii="Times New Roman" w:hAnsi="Times New Roman"/>
          <w:sz w:val="24"/>
          <w:szCs w:val="24"/>
        </w:rPr>
        <w:t xml:space="preserve">asmens </w:t>
      </w:r>
      <w:r w:rsidRPr="00B86BF8">
        <w:rPr>
          <w:rFonts w:ascii="Times New Roman" w:hAnsi="Times New Roman"/>
          <w:sz w:val="24"/>
          <w:szCs w:val="24"/>
        </w:rPr>
        <w:t>duomenų tvarkymo dalyk</w:t>
      </w:r>
      <w:r w:rsidR="005B42BF" w:rsidRPr="00B86BF8">
        <w:rPr>
          <w:rFonts w:ascii="Times New Roman" w:hAnsi="Times New Roman"/>
          <w:sz w:val="24"/>
          <w:szCs w:val="24"/>
        </w:rPr>
        <w:t>ą</w:t>
      </w:r>
      <w:r w:rsidRPr="00B86BF8">
        <w:rPr>
          <w:rFonts w:ascii="Times New Roman" w:hAnsi="Times New Roman"/>
          <w:sz w:val="24"/>
          <w:szCs w:val="24"/>
        </w:rPr>
        <w:t xml:space="preserve">, trukmę, duomenų tvarkymo pobūdį ir tikslus, duomenų </w:t>
      </w:r>
      <w:r w:rsidR="00D24AB6" w:rsidRPr="00B86BF8">
        <w:rPr>
          <w:rFonts w:ascii="Times New Roman" w:hAnsi="Times New Roman"/>
          <w:sz w:val="24"/>
          <w:szCs w:val="24"/>
        </w:rPr>
        <w:t>rūšis</w:t>
      </w:r>
      <w:r w:rsidRPr="00B86BF8">
        <w:rPr>
          <w:rFonts w:ascii="Times New Roman" w:hAnsi="Times New Roman"/>
          <w:sz w:val="24"/>
          <w:szCs w:val="24"/>
        </w:rPr>
        <w:t xml:space="preserve"> ir duomenų subjektų kategorijas, duomenų perdavim</w:t>
      </w:r>
      <w:r w:rsidR="00D24AB6" w:rsidRPr="00B86BF8">
        <w:rPr>
          <w:rFonts w:ascii="Times New Roman" w:hAnsi="Times New Roman"/>
          <w:sz w:val="24"/>
          <w:szCs w:val="24"/>
        </w:rPr>
        <w:t>o</w:t>
      </w:r>
      <w:r w:rsidRPr="00B86BF8">
        <w:rPr>
          <w:rFonts w:ascii="Times New Roman" w:hAnsi="Times New Roman"/>
          <w:sz w:val="24"/>
          <w:szCs w:val="24"/>
        </w:rPr>
        <w:t xml:space="preserve"> ,,Invegai“</w:t>
      </w:r>
      <w:r w:rsidR="00D24AB6" w:rsidRPr="00B86BF8">
        <w:rPr>
          <w:rFonts w:ascii="Times New Roman" w:hAnsi="Times New Roman"/>
          <w:sz w:val="24"/>
          <w:szCs w:val="24"/>
        </w:rPr>
        <w:t xml:space="preserve"> tikslus ir pagrindus</w:t>
      </w:r>
      <w:r w:rsidRPr="00B86BF8">
        <w:rPr>
          <w:rFonts w:ascii="Times New Roman" w:hAnsi="Times New Roman"/>
          <w:sz w:val="24"/>
          <w:szCs w:val="24"/>
        </w:rPr>
        <w:t xml:space="preserve">; </w:t>
      </w:r>
    </w:p>
    <w:p w14:paraId="03727715" w14:textId="77777777" w:rsidR="00A16E7E" w:rsidRPr="00B86BF8" w:rsidRDefault="00697A5B"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FT</w:t>
      </w:r>
      <w:r w:rsidR="0058182C" w:rsidRPr="00B86BF8">
        <w:rPr>
          <w:rFonts w:ascii="Times New Roman" w:hAnsi="Times New Roman"/>
          <w:sz w:val="24"/>
          <w:szCs w:val="24"/>
        </w:rPr>
        <w:t xml:space="preserve"> įsipareigojimas užtikrinti, kad jo darbuotojai, tvarkantys asmens duomenis, laikysis konfidencialumo įsipareigojimo;</w:t>
      </w:r>
    </w:p>
    <w:p w14:paraId="594F0472" w14:textId="77777777" w:rsidR="00274CE9" w:rsidRPr="00B86BF8" w:rsidRDefault="00B85D06"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jeigu Paskola teikiama kaip </w:t>
      </w:r>
      <w:r w:rsidRPr="00B86BF8">
        <w:rPr>
          <w:rFonts w:ascii="Times New Roman" w:hAnsi="Times New Roman"/>
          <w:i/>
          <w:iCs/>
          <w:sz w:val="24"/>
          <w:szCs w:val="24"/>
        </w:rPr>
        <w:t>de minimis</w:t>
      </w:r>
      <w:r w:rsidRPr="00B86BF8">
        <w:rPr>
          <w:rFonts w:ascii="Times New Roman" w:hAnsi="Times New Roman"/>
          <w:sz w:val="24"/>
          <w:szCs w:val="24"/>
        </w:rPr>
        <w:t xml:space="preserve"> pagalba, informuoti </w:t>
      </w:r>
      <w:r w:rsidR="00274CE9" w:rsidRPr="00B86BF8">
        <w:rPr>
          <w:rFonts w:ascii="Times New Roman" w:hAnsi="Times New Roman"/>
          <w:sz w:val="24"/>
          <w:szCs w:val="24"/>
        </w:rPr>
        <w:t>Paskolų gavė</w:t>
      </w:r>
      <w:r w:rsidRPr="00B86BF8">
        <w:rPr>
          <w:rFonts w:ascii="Times New Roman" w:hAnsi="Times New Roman"/>
          <w:sz w:val="24"/>
          <w:szCs w:val="24"/>
        </w:rPr>
        <w:t xml:space="preserve">jus, apie teikiamą </w:t>
      </w:r>
      <w:r w:rsidRPr="00B86BF8">
        <w:rPr>
          <w:rFonts w:ascii="Times New Roman" w:hAnsi="Times New Roman"/>
          <w:i/>
          <w:iCs/>
          <w:sz w:val="24"/>
          <w:szCs w:val="24"/>
        </w:rPr>
        <w:t>de minimis</w:t>
      </w:r>
      <w:r w:rsidRPr="00B86BF8">
        <w:rPr>
          <w:rFonts w:ascii="Times New Roman" w:hAnsi="Times New Roman"/>
          <w:sz w:val="24"/>
          <w:szCs w:val="24"/>
        </w:rPr>
        <w:t xml:space="preserve"> pagalbą nurodant </w:t>
      </w:r>
      <w:r w:rsidRPr="00B86BF8">
        <w:rPr>
          <w:rFonts w:ascii="Times New Roman" w:hAnsi="Times New Roman"/>
          <w:i/>
          <w:iCs/>
          <w:sz w:val="24"/>
          <w:szCs w:val="24"/>
        </w:rPr>
        <w:t>de minimis</w:t>
      </w:r>
      <w:r w:rsidRPr="00B86BF8">
        <w:rPr>
          <w:rFonts w:ascii="Times New Roman" w:hAnsi="Times New Roman"/>
          <w:sz w:val="24"/>
          <w:szCs w:val="24"/>
        </w:rPr>
        <w:t xml:space="preserve"> pagalbos dydį;</w:t>
      </w:r>
    </w:p>
    <w:p w14:paraId="476A5C82" w14:textId="77777777" w:rsidR="0058182C" w:rsidRPr="00B86BF8" w:rsidRDefault="00A16E7E"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Priemonės </w:t>
      </w:r>
      <w:r w:rsidR="00B16A2F" w:rsidRPr="00B86BF8">
        <w:rPr>
          <w:rFonts w:ascii="Times New Roman" w:hAnsi="Times New Roman"/>
          <w:sz w:val="24"/>
          <w:szCs w:val="24"/>
        </w:rPr>
        <w:t xml:space="preserve">„Alternatyva“ </w:t>
      </w:r>
      <w:r w:rsidRPr="00B86BF8">
        <w:rPr>
          <w:rFonts w:ascii="Times New Roman" w:hAnsi="Times New Roman"/>
          <w:sz w:val="24"/>
          <w:szCs w:val="24"/>
        </w:rPr>
        <w:t xml:space="preserve">lėšų naudojimo laikotarpiu viešinti Paskolų teikimą, informaciją apie Priemonę </w:t>
      </w:r>
      <w:r w:rsidR="00B16A2F" w:rsidRPr="00B86BF8">
        <w:rPr>
          <w:rFonts w:ascii="Times New Roman" w:hAnsi="Times New Roman"/>
          <w:sz w:val="24"/>
          <w:szCs w:val="24"/>
        </w:rPr>
        <w:t xml:space="preserve">„Alternatyva“ </w:t>
      </w:r>
      <w:r w:rsidRPr="00B86BF8">
        <w:rPr>
          <w:rFonts w:ascii="Times New Roman" w:hAnsi="Times New Roman"/>
          <w:sz w:val="24"/>
          <w:szCs w:val="24"/>
        </w:rPr>
        <w:t>patalpinant savo internetinėje svetainėje</w:t>
      </w:r>
      <w:r w:rsidR="004153F5" w:rsidRPr="00B86BF8">
        <w:rPr>
          <w:rFonts w:ascii="Times New Roman" w:hAnsi="Times New Roman"/>
          <w:sz w:val="24"/>
          <w:szCs w:val="24"/>
        </w:rPr>
        <w:t>.</w:t>
      </w:r>
    </w:p>
    <w:p w14:paraId="566BD1EC" w14:textId="77777777" w:rsidR="001E35B1" w:rsidRPr="00B86BF8" w:rsidRDefault="001E35B1"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B86BF8">
        <w:rPr>
          <w:rFonts w:ascii="Times New Roman" w:hAnsi="Times New Roman"/>
          <w:sz w:val="24"/>
          <w:szCs w:val="24"/>
        </w:rPr>
        <w:t xml:space="preserve">Su </w:t>
      </w:r>
      <w:r w:rsidR="00697A5B" w:rsidRPr="00B86BF8">
        <w:rPr>
          <w:rFonts w:ascii="Times New Roman" w:hAnsi="Times New Roman"/>
          <w:sz w:val="24"/>
          <w:szCs w:val="24"/>
        </w:rPr>
        <w:t>Paskolos</w:t>
      </w:r>
      <w:r w:rsidRPr="00B86BF8">
        <w:rPr>
          <w:rFonts w:ascii="Times New Roman" w:hAnsi="Times New Roman"/>
          <w:sz w:val="24"/>
          <w:szCs w:val="24"/>
        </w:rPr>
        <w:t xml:space="preserve"> gavėjais sudaromose sutartyse </w:t>
      </w:r>
      <w:r w:rsidR="00697A5B" w:rsidRPr="00B86BF8">
        <w:rPr>
          <w:rFonts w:ascii="Times New Roman" w:hAnsi="Times New Roman"/>
          <w:sz w:val="24"/>
          <w:szCs w:val="24"/>
        </w:rPr>
        <w:t>FT</w:t>
      </w:r>
      <w:r w:rsidR="004C393C" w:rsidRPr="00B86BF8">
        <w:rPr>
          <w:rFonts w:ascii="Times New Roman" w:hAnsi="Times New Roman"/>
          <w:sz w:val="24"/>
          <w:szCs w:val="24"/>
        </w:rPr>
        <w:t xml:space="preserve"> turi </w:t>
      </w:r>
      <w:r w:rsidRPr="00B86BF8">
        <w:rPr>
          <w:rFonts w:ascii="Times New Roman" w:hAnsi="Times New Roman"/>
          <w:i/>
          <w:sz w:val="24"/>
          <w:szCs w:val="24"/>
        </w:rPr>
        <w:t>inter alia</w:t>
      </w:r>
      <w:r w:rsidRPr="00B86BF8">
        <w:rPr>
          <w:rFonts w:ascii="Times New Roman" w:hAnsi="Times New Roman"/>
          <w:sz w:val="24"/>
          <w:szCs w:val="24"/>
        </w:rPr>
        <w:t xml:space="preserve"> nu</w:t>
      </w:r>
      <w:r w:rsidR="004C5F5D" w:rsidRPr="00B86BF8">
        <w:rPr>
          <w:rFonts w:ascii="Times New Roman" w:hAnsi="Times New Roman"/>
          <w:sz w:val="24"/>
          <w:szCs w:val="24"/>
        </w:rPr>
        <w:t>st</w:t>
      </w:r>
      <w:r w:rsidRPr="00B86BF8">
        <w:rPr>
          <w:rFonts w:ascii="Times New Roman" w:hAnsi="Times New Roman"/>
          <w:sz w:val="24"/>
          <w:szCs w:val="24"/>
        </w:rPr>
        <w:t>atyti, kad:</w:t>
      </w:r>
    </w:p>
    <w:p w14:paraId="01613DC1" w14:textId="77777777" w:rsidR="001E35B1" w:rsidRPr="00B86BF8" w:rsidRDefault="00697A5B"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B86BF8">
        <w:rPr>
          <w:rFonts w:ascii="Times New Roman" w:hAnsi="Times New Roman"/>
          <w:sz w:val="24"/>
          <w:szCs w:val="24"/>
        </w:rPr>
        <w:t>Paskolų</w:t>
      </w:r>
      <w:r w:rsidR="001E35B1" w:rsidRPr="00B86BF8">
        <w:rPr>
          <w:rFonts w:ascii="Times New Roman" w:hAnsi="Times New Roman"/>
          <w:sz w:val="24"/>
          <w:szCs w:val="24"/>
        </w:rPr>
        <w:t xml:space="preserve"> gavėjas neprieštaraus, kad duomenis apie iš </w:t>
      </w:r>
      <w:r w:rsidR="001336B0" w:rsidRPr="00B86BF8">
        <w:rPr>
          <w:rFonts w:ascii="Times New Roman" w:hAnsi="Times New Roman"/>
          <w:sz w:val="24"/>
          <w:szCs w:val="24"/>
        </w:rPr>
        <w:t>Priemon</w:t>
      </w:r>
      <w:r w:rsidRPr="00B86BF8">
        <w:rPr>
          <w:rFonts w:ascii="Times New Roman" w:hAnsi="Times New Roman"/>
          <w:sz w:val="24"/>
          <w:szCs w:val="24"/>
        </w:rPr>
        <w:t>ės „Alternatyva“</w:t>
      </w:r>
      <w:r w:rsidR="001E35B1" w:rsidRPr="00B86BF8">
        <w:rPr>
          <w:rFonts w:ascii="Times New Roman" w:hAnsi="Times New Roman"/>
          <w:sz w:val="24"/>
          <w:szCs w:val="24"/>
        </w:rPr>
        <w:t xml:space="preserve"> lėšų įgyvendintą projektą </w:t>
      </w:r>
      <w:r w:rsidR="00384AC7" w:rsidRPr="00B86BF8">
        <w:rPr>
          <w:rFonts w:ascii="Times New Roman" w:hAnsi="Times New Roman"/>
          <w:sz w:val="24"/>
          <w:szCs w:val="24"/>
        </w:rPr>
        <w:t>„</w:t>
      </w:r>
      <w:r w:rsidR="0077560A" w:rsidRPr="00B86BF8">
        <w:rPr>
          <w:rFonts w:ascii="Times New Roman" w:hAnsi="Times New Roman"/>
          <w:sz w:val="24"/>
          <w:szCs w:val="24"/>
        </w:rPr>
        <w:t>Invega</w:t>
      </w:r>
      <w:r w:rsidR="00384AC7" w:rsidRPr="00B86BF8">
        <w:rPr>
          <w:rFonts w:ascii="Times New Roman" w:hAnsi="Times New Roman"/>
          <w:sz w:val="24"/>
          <w:szCs w:val="24"/>
        </w:rPr>
        <w:t>“</w:t>
      </w:r>
      <w:r w:rsidR="001E35B1" w:rsidRPr="00B86BF8">
        <w:rPr>
          <w:rFonts w:ascii="Times New Roman" w:hAnsi="Times New Roman"/>
          <w:sz w:val="24"/>
          <w:szCs w:val="24"/>
        </w:rPr>
        <w:t xml:space="preserve"> naudos viešinimo tikslais;</w:t>
      </w:r>
    </w:p>
    <w:p w14:paraId="0A8AC1A0" w14:textId="77777777" w:rsidR="001E35B1" w:rsidRPr="00B86BF8"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B86BF8">
        <w:rPr>
          <w:rFonts w:ascii="Times New Roman" w:hAnsi="Times New Roman"/>
          <w:sz w:val="24"/>
          <w:szCs w:val="24"/>
        </w:rPr>
        <w:t xml:space="preserve">kiti įsipareigojimai, kylantys iš </w:t>
      </w:r>
      <w:r w:rsidR="005A32D0" w:rsidRPr="00B86BF8">
        <w:rPr>
          <w:rFonts w:ascii="Times New Roman" w:hAnsi="Times New Roman"/>
          <w:sz w:val="24"/>
          <w:szCs w:val="24"/>
        </w:rPr>
        <w:t>P</w:t>
      </w:r>
      <w:r w:rsidRPr="00B86BF8">
        <w:rPr>
          <w:rFonts w:ascii="Times New Roman" w:hAnsi="Times New Roman"/>
          <w:sz w:val="24"/>
          <w:szCs w:val="24"/>
        </w:rPr>
        <w:t>riemonės</w:t>
      </w:r>
      <w:r w:rsidR="00697A5B" w:rsidRPr="00B86BF8">
        <w:rPr>
          <w:rFonts w:ascii="Times New Roman" w:hAnsi="Times New Roman"/>
          <w:sz w:val="24"/>
          <w:szCs w:val="24"/>
        </w:rPr>
        <w:t xml:space="preserve"> „Alternatyva“</w:t>
      </w:r>
      <w:r w:rsidRPr="00B86BF8">
        <w:rPr>
          <w:rFonts w:ascii="Times New Roman" w:hAnsi="Times New Roman"/>
          <w:sz w:val="24"/>
          <w:szCs w:val="24"/>
        </w:rPr>
        <w:t xml:space="preserve"> įgyvendinimo sąlygų, nustatytų </w:t>
      </w:r>
      <w:r w:rsidR="00432066" w:rsidRPr="00B86BF8">
        <w:rPr>
          <w:rFonts w:ascii="Times New Roman" w:hAnsi="Times New Roman"/>
          <w:sz w:val="24"/>
          <w:szCs w:val="24"/>
        </w:rPr>
        <w:t>Aprašo 1 priede (</w:t>
      </w:r>
      <w:r w:rsidR="00697A5B" w:rsidRPr="00B86BF8">
        <w:rPr>
          <w:rFonts w:ascii="Times New Roman" w:hAnsi="Times New Roman"/>
          <w:sz w:val="24"/>
          <w:szCs w:val="24"/>
        </w:rPr>
        <w:t>Pagri</w:t>
      </w:r>
      <w:r w:rsidR="00952C2D" w:rsidRPr="00B86BF8">
        <w:rPr>
          <w:rFonts w:ascii="Times New Roman" w:hAnsi="Times New Roman"/>
          <w:sz w:val="24"/>
          <w:szCs w:val="24"/>
        </w:rPr>
        <w:t>n</w:t>
      </w:r>
      <w:r w:rsidR="00697A5B" w:rsidRPr="00B86BF8">
        <w:rPr>
          <w:rFonts w:ascii="Times New Roman" w:hAnsi="Times New Roman"/>
          <w:sz w:val="24"/>
          <w:szCs w:val="24"/>
        </w:rPr>
        <w:t>dinės sąlygos</w:t>
      </w:r>
      <w:r w:rsidR="00432066" w:rsidRPr="00B86BF8">
        <w:rPr>
          <w:rFonts w:ascii="Times New Roman" w:hAnsi="Times New Roman"/>
          <w:sz w:val="24"/>
          <w:szCs w:val="24"/>
        </w:rPr>
        <w:t>)</w:t>
      </w:r>
      <w:r w:rsidRPr="00B86BF8">
        <w:rPr>
          <w:rFonts w:ascii="Times New Roman" w:hAnsi="Times New Roman"/>
          <w:sz w:val="24"/>
          <w:szCs w:val="24"/>
        </w:rPr>
        <w:t>.</w:t>
      </w:r>
    </w:p>
    <w:p w14:paraId="0832C68F" w14:textId="77777777" w:rsidR="001E35B1" w:rsidRPr="00B86BF8"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B86BF8">
        <w:rPr>
          <w:rFonts w:ascii="Times New Roman" w:hAnsi="Times New Roman"/>
          <w:sz w:val="24"/>
          <w:szCs w:val="24"/>
        </w:rPr>
        <w:t xml:space="preserve">Tarp </w:t>
      </w:r>
      <w:r w:rsidR="00E87AAE" w:rsidRPr="00B86BF8">
        <w:rPr>
          <w:rFonts w:ascii="Times New Roman" w:hAnsi="Times New Roman"/>
          <w:sz w:val="24"/>
          <w:szCs w:val="24"/>
        </w:rPr>
        <w:t>S</w:t>
      </w:r>
      <w:r w:rsidRPr="00B86BF8">
        <w:rPr>
          <w:rFonts w:ascii="Times New Roman" w:hAnsi="Times New Roman"/>
          <w:sz w:val="24"/>
          <w:szCs w:val="24"/>
        </w:rPr>
        <w:t>utarties šalių kylantys ginčai sprendžiami Lietuvos Respublikos įstatymuose nustatyta tvarka.</w:t>
      </w:r>
    </w:p>
    <w:p w14:paraId="1EF81A1B" w14:textId="77777777" w:rsidR="001E35B1" w:rsidRPr="00B86BF8"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B86BF8">
        <w:rPr>
          <w:rFonts w:ascii="Times New Roman" w:hAnsi="Times New Roman"/>
          <w:sz w:val="24"/>
          <w:szCs w:val="24"/>
        </w:rPr>
        <w:t xml:space="preserve">Jeigu viena iš </w:t>
      </w:r>
      <w:r w:rsidR="003B7127" w:rsidRPr="00B86BF8">
        <w:rPr>
          <w:rFonts w:ascii="Times New Roman" w:hAnsi="Times New Roman"/>
          <w:sz w:val="24"/>
          <w:szCs w:val="24"/>
        </w:rPr>
        <w:t xml:space="preserve">Sutarties </w:t>
      </w:r>
      <w:r w:rsidRPr="00B86BF8">
        <w:rPr>
          <w:rFonts w:ascii="Times New Roman" w:hAnsi="Times New Roman"/>
          <w:sz w:val="24"/>
          <w:szCs w:val="24"/>
        </w:rPr>
        <w:t xml:space="preserve">šalių nevykdo sutartinių įsipareigojimų ir tai yra esminis </w:t>
      </w:r>
      <w:r w:rsidR="00E87AAE" w:rsidRPr="00B86BF8">
        <w:rPr>
          <w:rFonts w:ascii="Times New Roman" w:hAnsi="Times New Roman"/>
          <w:sz w:val="24"/>
          <w:szCs w:val="24"/>
        </w:rPr>
        <w:t>S</w:t>
      </w:r>
      <w:r w:rsidRPr="00B86BF8">
        <w:rPr>
          <w:rFonts w:ascii="Times New Roman" w:hAnsi="Times New Roman"/>
          <w:sz w:val="24"/>
          <w:szCs w:val="24"/>
        </w:rPr>
        <w:t xml:space="preserve">utarties pažeidimas, kita šalis gali vienašališkai nutraukti </w:t>
      </w:r>
      <w:r w:rsidR="00E87AAE" w:rsidRPr="00B86BF8">
        <w:rPr>
          <w:rFonts w:ascii="Times New Roman" w:hAnsi="Times New Roman"/>
          <w:sz w:val="24"/>
          <w:szCs w:val="24"/>
        </w:rPr>
        <w:t>S</w:t>
      </w:r>
      <w:r w:rsidRPr="00B86BF8">
        <w:rPr>
          <w:rFonts w:ascii="Times New Roman" w:hAnsi="Times New Roman"/>
          <w:sz w:val="24"/>
          <w:szCs w:val="24"/>
        </w:rPr>
        <w:t xml:space="preserve">utartį, įspėjusi kitą </w:t>
      </w:r>
      <w:r w:rsidR="00E87AAE" w:rsidRPr="00B86BF8">
        <w:rPr>
          <w:rFonts w:ascii="Times New Roman" w:hAnsi="Times New Roman"/>
          <w:sz w:val="24"/>
          <w:szCs w:val="24"/>
        </w:rPr>
        <w:t>S</w:t>
      </w:r>
      <w:r w:rsidRPr="00B86BF8">
        <w:rPr>
          <w:rFonts w:ascii="Times New Roman" w:hAnsi="Times New Roman"/>
          <w:sz w:val="24"/>
          <w:szCs w:val="24"/>
        </w:rPr>
        <w:t xml:space="preserve">utarties šalį raštu ne vėliau kaip prieš </w:t>
      </w:r>
      <w:r w:rsidR="00684E0E" w:rsidRPr="00B86BF8">
        <w:rPr>
          <w:rFonts w:ascii="Times New Roman" w:hAnsi="Times New Roman"/>
          <w:sz w:val="24"/>
          <w:szCs w:val="24"/>
        </w:rPr>
        <w:t>3</w:t>
      </w:r>
      <w:r w:rsidRPr="00B86BF8">
        <w:rPr>
          <w:rFonts w:ascii="Times New Roman" w:hAnsi="Times New Roman"/>
          <w:sz w:val="24"/>
          <w:szCs w:val="24"/>
        </w:rPr>
        <w:t>0 (</w:t>
      </w:r>
      <w:r w:rsidR="00684E0E" w:rsidRPr="00B86BF8">
        <w:rPr>
          <w:rFonts w:ascii="Times New Roman" w:hAnsi="Times New Roman"/>
          <w:sz w:val="24"/>
          <w:szCs w:val="24"/>
        </w:rPr>
        <w:t>trisdešimt</w:t>
      </w:r>
      <w:r w:rsidRPr="00B86BF8">
        <w:rPr>
          <w:rFonts w:ascii="Times New Roman" w:hAnsi="Times New Roman"/>
          <w:sz w:val="24"/>
          <w:szCs w:val="24"/>
        </w:rPr>
        <w:t>) kalendorinių dienų pateikdama pagrįstus motyvus. Sutarties nutraukimo atvejai ir sąlygos bus nustatytos</w:t>
      </w:r>
      <w:r w:rsidR="00E87AAE" w:rsidRPr="00B86BF8">
        <w:rPr>
          <w:rFonts w:ascii="Times New Roman" w:hAnsi="Times New Roman"/>
          <w:sz w:val="24"/>
          <w:szCs w:val="24"/>
        </w:rPr>
        <w:t xml:space="preserve"> S</w:t>
      </w:r>
      <w:r w:rsidRPr="00B86BF8">
        <w:rPr>
          <w:rFonts w:ascii="Times New Roman" w:hAnsi="Times New Roman"/>
          <w:sz w:val="24"/>
          <w:szCs w:val="24"/>
        </w:rPr>
        <w:t>utartyje.</w:t>
      </w:r>
    </w:p>
    <w:p w14:paraId="2F0E37D8" w14:textId="77777777" w:rsidR="001E35B1" w:rsidRPr="00B86BF8" w:rsidRDefault="00893D40"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B86BF8">
        <w:rPr>
          <w:rFonts w:ascii="Times New Roman" w:hAnsi="Times New Roman"/>
          <w:sz w:val="24"/>
          <w:szCs w:val="24"/>
        </w:rPr>
        <w:t>S</w:t>
      </w:r>
      <w:r w:rsidR="001E35B1" w:rsidRPr="00B86BF8">
        <w:rPr>
          <w:rFonts w:ascii="Times New Roman" w:hAnsi="Times New Roman"/>
          <w:sz w:val="24"/>
          <w:szCs w:val="24"/>
        </w:rPr>
        <w:t xml:space="preserve">utarties </w:t>
      </w:r>
      <w:r w:rsidR="00EB2318" w:rsidRPr="00B86BF8">
        <w:rPr>
          <w:rFonts w:ascii="Times New Roman" w:hAnsi="Times New Roman"/>
          <w:sz w:val="24"/>
          <w:szCs w:val="24"/>
        </w:rPr>
        <w:t xml:space="preserve">galiojimo metu gali būti </w:t>
      </w:r>
      <w:r w:rsidR="009F4479" w:rsidRPr="00B86BF8">
        <w:rPr>
          <w:rFonts w:ascii="Times New Roman" w:hAnsi="Times New Roman"/>
          <w:sz w:val="24"/>
          <w:szCs w:val="24"/>
        </w:rPr>
        <w:t xml:space="preserve">atliekami šie pakeitimai: </w:t>
      </w:r>
    </w:p>
    <w:p w14:paraId="4F8113E0" w14:textId="77777777" w:rsidR="00F45D61" w:rsidRPr="00B86BF8" w:rsidRDefault="00F45D6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B86BF8">
        <w:rPr>
          <w:rFonts w:ascii="Times New Roman" w:hAnsi="Times New Roman"/>
          <w:sz w:val="24"/>
          <w:szCs w:val="24"/>
        </w:rPr>
        <w:t xml:space="preserve">susiję su </w:t>
      </w:r>
      <w:r w:rsidR="001336B0" w:rsidRPr="00B86BF8">
        <w:rPr>
          <w:rFonts w:ascii="Times New Roman" w:hAnsi="Times New Roman"/>
          <w:sz w:val="24"/>
          <w:szCs w:val="24"/>
        </w:rPr>
        <w:t>Priemon</w:t>
      </w:r>
      <w:r w:rsidR="001E35B1" w:rsidRPr="00B86BF8">
        <w:rPr>
          <w:rFonts w:ascii="Times New Roman" w:hAnsi="Times New Roman"/>
          <w:sz w:val="24"/>
          <w:szCs w:val="24"/>
        </w:rPr>
        <w:t xml:space="preserve">ės </w:t>
      </w:r>
      <w:r w:rsidR="00697A5B" w:rsidRPr="00B86BF8">
        <w:rPr>
          <w:rFonts w:ascii="Times New Roman" w:hAnsi="Times New Roman"/>
          <w:sz w:val="24"/>
          <w:szCs w:val="24"/>
        </w:rPr>
        <w:t xml:space="preserve">„Alternatyva“ </w:t>
      </w:r>
      <w:r w:rsidR="001E35B1" w:rsidRPr="00B86BF8">
        <w:rPr>
          <w:rFonts w:ascii="Times New Roman" w:hAnsi="Times New Roman"/>
          <w:sz w:val="24"/>
          <w:szCs w:val="24"/>
        </w:rPr>
        <w:t>sąlygų</w:t>
      </w:r>
      <w:r w:rsidRPr="00B86BF8">
        <w:rPr>
          <w:rFonts w:ascii="Times New Roman" w:hAnsi="Times New Roman"/>
          <w:sz w:val="24"/>
          <w:szCs w:val="24"/>
        </w:rPr>
        <w:t>, nurodytų Aprašo 1 priede,</w:t>
      </w:r>
      <w:r w:rsidR="001E35B1" w:rsidRPr="00B86BF8">
        <w:rPr>
          <w:rFonts w:ascii="Times New Roman" w:hAnsi="Times New Roman"/>
          <w:sz w:val="24"/>
          <w:szCs w:val="24"/>
        </w:rPr>
        <w:t xml:space="preserve"> pakeitim</w:t>
      </w:r>
      <w:r w:rsidRPr="00B86BF8">
        <w:rPr>
          <w:rFonts w:ascii="Times New Roman" w:hAnsi="Times New Roman"/>
          <w:sz w:val="24"/>
          <w:szCs w:val="24"/>
        </w:rPr>
        <w:t>u;</w:t>
      </w:r>
    </w:p>
    <w:p w14:paraId="25E455A0" w14:textId="77777777" w:rsidR="001E35B1" w:rsidRPr="00B86BF8" w:rsidRDefault="001E35B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B86BF8">
        <w:rPr>
          <w:rFonts w:ascii="Times New Roman" w:hAnsi="Times New Roman"/>
          <w:sz w:val="24"/>
          <w:szCs w:val="24"/>
        </w:rPr>
        <w:t xml:space="preserve">susiję su konkrečių nacionalinių ar ES teisės aktų </w:t>
      </w:r>
      <w:r w:rsidR="00432066" w:rsidRPr="00B86BF8">
        <w:rPr>
          <w:rFonts w:ascii="Times New Roman" w:hAnsi="Times New Roman"/>
          <w:sz w:val="24"/>
          <w:szCs w:val="24"/>
        </w:rPr>
        <w:t xml:space="preserve">pakeitimais </w:t>
      </w:r>
      <w:r w:rsidR="00BA7C0E" w:rsidRPr="00B86BF8">
        <w:rPr>
          <w:rFonts w:ascii="Times New Roman" w:hAnsi="Times New Roman"/>
          <w:sz w:val="24"/>
          <w:szCs w:val="24"/>
        </w:rPr>
        <w:t xml:space="preserve">ir </w:t>
      </w:r>
      <w:r w:rsidRPr="00B86BF8">
        <w:rPr>
          <w:rFonts w:ascii="Times New Roman" w:hAnsi="Times New Roman"/>
          <w:sz w:val="24"/>
          <w:szCs w:val="24"/>
        </w:rPr>
        <w:t xml:space="preserve">jų išaiškinimų, reglamentuojančių </w:t>
      </w:r>
      <w:r w:rsidR="001336B0" w:rsidRPr="00B86BF8">
        <w:rPr>
          <w:rFonts w:ascii="Times New Roman" w:hAnsi="Times New Roman"/>
          <w:sz w:val="24"/>
          <w:szCs w:val="24"/>
        </w:rPr>
        <w:t>Priemon</w:t>
      </w:r>
      <w:r w:rsidRPr="00B86BF8">
        <w:rPr>
          <w:rFonts w:ascii="Times New Roman" w:hAnsi="Times New Roman"/>
          <w:sz w:val="24"/>
          <w:szCs w:val="24"/>
        </w:rPr>
        <w:t xml:space="preserve">ės </w:t>
      </w:r>
      <w:r w:rsidR="006F6235" w:rsidRPr="00B86BF8">
        <w:rPr>
          <w:rFonts w:ascii="Times New Roman" w:hAnsi="Times New Roman"/>
          <w:sz w:val="24"/>
          <w:szCs w:val="24"/>
        </w:rPr>
        <w:t xml:space="preserve">„Alternatyva“ </w:t>
      </w:r>
      <w:r w:rsidRPr="00B86BF8">
        <w:rPr>
          <w:rFonts w:ascii="Times New Roman" w:hAnsi="Times New Roman"/>
          <w:sz w:val="24"/>
          <w:szCs w:val="24"/>
        </w:rPr>
        <w:t xml:space="preserve">įgyvendinimą, pakeitimais, </w:t>
      </w:r>
      <w:r w:rsidR="00846730" w:rsidRPr="00B86BF8">
        <w:rPr>
          <w:rFonts w:ascii="Times New Roman" w:hAnsi="Times New Roman"/>
          <w:sz w:val="24"/>
          <w:szCs w:val="24"/>
        </w:rPr>
        <w:t>a</w:t>
      </w:r>
      <w:r w:rsidRPr="00B86BF8">
        <w:rPr>
          <w:rFonts w:ascii="Times New Roman" w:hAnsi="Times New Roman"/>
          <w:sz w:val="24"/>
          <w:szCs w:val="24"/>
        </w:rPr>
        <w:t xml:space="preserve">udito institucijų rekomendacijomis; </w:t>
      </w:r>
    </w:p>
    <w:p w14:paraId="43B5A3CE" w14:textId="693EE285" w:rsidR="001E35B1" w:rsidRPr="00B86BF8" w:rsidRDefault="004A3C9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B86BF8">
        <w:rPr>
          <w:rFonts w:ascii="Times New Roman" w:hAnsi="Times New Roman"/>
          <w:sz w:val="24"/>
          <w:szCs w:val="24"/>
        </w:rPr>
        <w:t>s</w:t>
      </w:r>
      <w:r w:rsidR="00F45D61" w:rsidRPr="00B86BF8">
        <w:rPr>
          <w:rFonts w:ascii="Times New Roman" w:hAnsi="Times New Roman"/>
          <w:sz w:val="24"/>
          <w:szCs w:val="24"/>
        </w:rPr>
        <w:t>usiję su</w:t>
      </w:r>
      <w:r w:rsidR="001E35B1" w:rsidRPr="00B86BF8">
        <w:rPr>
          <w:rFonts w:ascii="Times New Roman" w:hAnsi="Times New Roman"/>
          <w:sz w:val="24"/>
          <w:szCs w:val="24"/>
        </w:rPr>
        <w:t xml:space="preserve"> </w:t>
      </w:r>
      <w:r w:rsidR="001336B0" w:rsidRPr="00B86BF8">
        <w:rPr>
          <w:rFonts w:ascii="Times New Roman" w:hAnsi="Times New Roman"/>
          <w:sz w:val="24"/>
          <w:szCs w:val="24"/>
        </w:rPr>
        <w:t>Priemon</w:t>
      </w:r>
      <w:r w:rsidR="001E35B1" w:rsidRPr="00B86BF8">
        <w:rPr>
          <w:rFonts w:ascii="Times New Roman" w:hAnsi="Times New Roman"/>
          <w:sz w:val="24"/>
          <w:szCs w:val="24"/>
        </w:rPr>
        <w:t xml:space="preserve">ei </w:t>
      </w:r>
      <w:r w:rsidR="006F6235" w:rsidRPr="00B86BF8">
        <w:rPr>
          <w:rFonts w:ascii="Times New Roman" w:hAnsi="Times New Roman"/>
          <w:sz w:val="24"/>
          <w:szCs w:val="24"/>
        </w:rPr>
        <w:t xml:space="preserve">„Alternatyva“ </w:t>
      </w:r>
      <w:r w:rsidR="001E35B1" w:rsidRPr="00B86BF8">
        <w:rPr>
          <w:rFonts w:ascii="Times New Roman" w:hAnsi="Times New Roman"/>
          <w:sz w:val="24"/>
          <w:szCs w:val="24"/>
        </w:rPr>
        <w:t>nustatytų rodiklių įgyvendinimu;</w:t>
      </w:r>
    </w:p>
    <w:p w14:paraId="2A59F705" w14:textId="77777777" w:rsidR="001E35B1" w:rsidRPr="00B86BF8" w:rsidRDefault="00E87AAE" w:rsidP="008369B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B86BF8">
        <w:rPr>
          <w:rFonts w:ascii="Times New Roman" w:hAnsi="Times New Roman"/>
          <w:sz w:val="24"/>
          <w:szCs w:val="24"/>
        </w:rPr>
        <w:t>S</w:t>
      </w:r>
      <w:r w:rsidR="001E35B1" w:rsidRPr="00B86BF8">
        <w:rPr>
          <w:rFonts w:ascii="Times New Roman" w:hAnsi="Times New Roman"/>
          <w:sz w:val="24"/>
          <w:szCs w:val="24"/>
        </w:rPr>
        <w:t xml:space="preserve">utarties termino pratęsimas, tuo atveju, jeigu yra pratęsiamas </w:t>
      </w:r>
      <w:r w:rsidR="001336B0" w:rsidRPr="00B86BF8">
        <w:rPr>
          <w:rFonts w:ascii="Times New Roman" w:hAnsi="Times New Roman"/>
          <w:sz w:val="24"/>
          <w:szCs w:val="24"/>
        </w:rPr>
        <w:t>P</w:t>
      </w:r>
      <w:r w:rsidR="001E35B1" w:rsidRPr="00B86BF8">
        <w:rPr>
          <w:rFonts w:ascii="Times New Roman" w:hAnsi="Times New Roman"/>
          <w:sz w:val="24"/>
          <w:szCs w:val="24"/>
        </w:rPr>
        <w:t xml:space="preserve">riemonės </w:t>
      </w:r>
      <w:r w:rsidR="006F6235" w:rsidRPr="00B86BF8">
        <w:rPr>
          <w:rFonts w:ascii="Times New Roman" w:hAnsi="Times New Roman"/>
          <w:sz w:val="24"/>
          <w:szCs w:val="24"/>
        </w:rPr>
        <w:t xml:space="preserve">„Alternatyva“ </w:t>
      </w:r>
      <w:r w:rsidR="001E35B1" w:rsidRPr="00B86BF8">
        <w:rPr>
          <w:rFonts w:ascii="Times New Roman" w:hAnsi="Times New Roman"/>
          <w:sz w:val="24"/>
          <w:szCs w:val="24"/>
        </w:rPr>
        <w:t>Tinkamumo laikotarpis;</w:t>
      </w:r>
    </w:p>
    <w:p w14:paraId="586644D8" w14:textId="77777777" w:rsidR="00FA2FDC" w:rsidRPr="00B86BF8" w:rsidRDefault="003E1FB9" w:rsidP="008369B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B86BF8">
        <w:rPr>
          <w:rFonts w:ascii="Times New Roman" w:hAnsi="Times New Roman"/>
          <w:sz w:val="24"/>
          <w:szCs w:val="24"/>
        </w:rPr>
        <w:t>FT</w:t>
      </w:r>
      <w:r w:rsidR="001E35B1" w:rsidRPr="00B86BF8">
        <w:rPr>
          <w:rFonts w:ascii="Times New Roman" w:hAnsi="Times New Roman"/>
          <w:sz w:val="24"/>
          <w:szCs w:val="24"/>
        </w:rPr>
        <w:t xml:space="preserve"> teikiamų ataskaitų formų ir jų pateikimo tvarkos keitimai</w:t>
      </w:r>
      <w:r w:rsidR="00670DC8" w:rsidRPr="00B86BF8">
        <w:rPr>
          <w:rFonts w:ascii="Times New Roman" w:hAnsi="Times New Roman"/>
          <w:sz w:val="24"/>
          <w:szCs w:val="24"/>
        </w:rPr>
        <w:t>;</w:t>
      </w:r>
    </w:p>
    <w:p w14:paraId="666BFDFD" w14:textId="77777777" w:rsidR="00C5447F" w:rsidRPr="00B86BF8" w:rsidRDefault="00F45D61" w:rsidP="00591742">
      <w:pPr>
        <w:pStyle w:val="ListParagraph"/>
        <w:numPr>
          <w:ilvl w:val="2"/>
          <w:numId w:val="5"/>
        </w:numPr>
        <w:tabs>
          <w:tab w:val="left" w:pos="851"/>
          <w:tab w:val="left" w:pos="1134"/>
          <w:tab w:val="left" w:pos="1418"/>
        </w:tabs>
        <w:spacing w:after="0" w:line="240" w:lineRule="auto"/>
        <w:ind w:left="0" w:firstLine="425"/>
        <w:jc w:val="both"/>
        <w:rPr>
          <w:rFonts w:ascii="Bookman Old Style" w:hAnsi="Bookman Old Style"/>
        </w:rPr>
      </w:pPr>
      <w:r w:rsidRPr="00B86BF8">
        <w:rPr>
          <w:rFonts w:ascii="Times New Roman" w:hAnsi="Times New Roman"/>
          <w:sz w:val="24"/>
          <w:szCs w:val="24"/>
        </w:rPr>
        <w:t>K</w:t>
      </w:r>
      <w:r w:rsidR="0067403A" w:rsidRPr="00B86BF8">
        <w:rPr>
          <w:rFonts w:ascii="Times New Roman" w:hAnsi="Times New Roman"/>
          <w:sz w:val="24"/>
          <w:szCs w:val="24"/>
        </w:rPr>
        <w:t>iti</w:t>
      </w:r>
      <w:r w:rsidRPr="00B86BF8">
        <w:rPr>
          <w:rFonts w:ascii="Times New Roman" w:hAnsi="Times New Roman"/>
          <w:sz w:val="24"/>
          <w:szCs w:val="24"/>
        </w:rPr>
        <w:t xml:space="preserve"> Sutarties</w:t>
      </w:r>
      <w:r w:rsidR="0067403A" w:rsidRPr="00B86BF8">
        <w:rPr>
          <w:rFonts w:ascii="Times New Roman" w:hAnsi="Times New Roman"/>
          <w:sz w:val="24"/>
          <w:szCs w:val="24"/>
        </w:rPr>
        <w:t xml:space="preserve"> keitimai</w:t>
      </w:r>
      <w:r w:rsidR="004A3DE3" w:rsidRPr="00B86BF8">
        <w:rPr>
          <w:rFonts w:ascii="Times New Roman" w:hAnsi="Times New Roman"/>
          <w:sz w:val="24"/>
          <w:szCs w:val="24"/>
        </w:rPr>
        <w:t xml:space="preserve"> atliekami </w:t>
      </w:r>
      <w:r w:rsidRPr="00B86BF8">
        <w:rPr>
          <w:rFonts w:ascii="Times New Roman" w:hAnsi="Times New Roman"/>
          <w:sz w:val="24"/>
          <w:szCs w:val="24"/>
        </w:rPr>
        <w:t xml:space="preserve">laikantis Lietuvos Respublikos civilinio kodekso nuostatų ir tik jei neprieštarauja </w:t>
      </w:r>
      <w:r w:rsidR="001336B0" w:rsidRPr="00B86BF8">
        <w:rPr>
          <w:rFonts w:ascii="Times New Roman" w:hAnsi="Times New Roman"/>
          <w:sz w:val="24"/>
          <w:szCs w:val="24"/>
        </w:rPr>
        <w:t>P</w:t>
      </w:r>
      <w:r w:rsidRPr="00B86BF8">
        <w:rPr>
          <w:rFonts w:ascii="Times New Roman" w:hAnsi="Times New Roman"/>
          <w:sz w:val="24"/>
          <w:szCs w:val="24"/>
        </w:rPr>
        <w:t>riemonės</w:t>
      </w:r>
      <w:r w:rsidR="006F6235" w:rsidRPr="00B86BF8">
        <w:rPr>
          <w:rFonts w:ascii="Times New Roman" w:hAnsi="Times New Roman"/>
          <w:sz w:val="24"/>
          <w:szCs w:val="24"/>
        </w:rPr>
        <w:t xml:space="preserve"> „Alternatyva“</w:t>
      </w:r>
      <w:r w:rsidRPr="00B86BF8">
        <w:rPr>
          <w:rFonts w:ascii="Times New Roman" w:hAnsi="Times New Roman"/>
          <w:sz w:val="24"/>
          <w:szCs w:val="24"/>
        </w:rPr>
        <w:t xml:space="preserve"> įgyvendinimo sąlygoms</w:t>
      </w:r>
      <w:r w:rsidR="001E35B1" w:rsidRPr="00B86BF8">
        <w:rPr>
          <w:rFonts w:ascii="Times New Roman" w:hAnsi="Times New Roman"/>
          <w:sz w:val="24"/>
          <w:szCs w:val="24"/>
        </w:rPr>
        <w:t>.</w:t>
      </w:r>
    </w:p>
    <w:p w14:paraId="57FBC5D9" w14:textId="77777777" w:rsidR="00C5447F" w:rsidRPr="00B86BF8" w:rsidRDefault="00035106" w:rsidP="00591742">
      <w:pPr>
        <w:pStyle w:val="ListParagraph"/>
        <w:numPr>
          <w:ilvl w:val="2"/>
          <w:numId w:val="5"/>
        </w:numPr>
        <w:tabs>
          <w:tab w:val="left" w:pos="851"/>
          <w:tab w:val="left" w:pos="1134"/>
          <w:tab w:val="left" w:pos="1418"/>
        </w:tabs>
        <w:spacing w:after="0" w:line="240" w:lineRule="auto"/>
        <w:ind w:left="0" w:firstLine="425"/>
        <w:jc w:val="both"/>
        <w:rPr>
          <w:rFonts w:ascii="Bookman Old Style" w:hAnsi="Bookman Old Style"/>
        </w:rPr>
        <w:sectPr w:rsidR="00C5447F" w:rsidRPr="00B86BF8" w:rsidSect="00C5447F">
          <w:pgSz w:w="11906" w:h="16838"/>
          <w:pgMar w:top="993" w:right="1416" w:bottom="709" w:left="1276" w:header="454" w:footer="567" w:gutter="0"/>
          <w:cols w:space="1296"/>
          <w:docGrid w:linePitch="360"/>
        </w:sectPr>
      </w:pPr>
      <w:r w:rsidRPr="00B86BF8">
        <w:rPr>
          <w:rFonts w:ascii="Bookman Old Style" w:hAnsi="Bookman Old Style"/>
        </w:rPr>
        <w:br w:type="page"/>
      </w:r>
    </w:p>
    <w:p w14:paraId="70E20818" w14:textId="77777777" w:rsidR="00035106" w:rsidRPr="00B86BF8" w:rsidRDefault="00035106" w:rsidP="00C5447F">
      <w:pPr>
        <w:pStyle w:val="ListParagraph"/>
        <w:tabs>
          <w:tab w:val="left" w:pos="851"/>
          <w:tab w:val="left" w:pos="1134"/>
          <w:tab w:val="left" w:pos="1418"/>
        </w:tabs>
        <w:spacing w:after="0" w:line="240" w:lineRule="auto"/>
        <w:ind w:left="425"/>
        <w:jc w:val="both"/>
        <w:rPr>
          <w:rFonts w:ascii="Bookman Old Style" w:hAnsi="Bookman Old Style"/>
        </w:rPr>
      </w:pPr>
    </w:p>
    <w:p w14:paraId="2A5D80FF" w14:textId="77777777" w:rsidR="005D491B" w:rsidRPr="00B86BF8" w:rsidRDefault="005D491B" w:rsidP="00E5225D">
      <w:pPr>
        <w:tabs>
          <w:tab w:val="left" w:pos="1418"/>
        </w:tabs>
        <w:spacing w:after="0" w:line="240" w:lineRule="auto"/>
        <w:ind w:left="993"/>
        <w:contextualSpacing/>
        <w:jc w:val="right"/>
        <w:rPr>
          <w:rFonts w:ascii="Times New Roman" w:hAnsi="Times New Roman"/>
          <w:lang w:eastAsia="lt-LT"/>
        </w:rPr>
      </w:pPr>
      <w:r w:rsidRPr="00B86BF8">
        <w:rPr>
          <w:rFonts w:ascii="Times New Roman" w:hAnsi="Times New Roman"/>
          <w:lang w:eastAsia="lt-LT"/>
        </w:rPr>
        <w:t>Aprašo 1 priedas</w:t>
      </w:r>
    </w:p>
    <w:p w14:paraId="602A8F46" w14:textId="77777777" w:rsidR="005D491B" w:rsidRPr="00B86BF8" w:rsidRDefault="005D491B" w:rsidP="00196D19">
      <w:pPr>
        <w:autoSpaceDE w:val="0"/>
        <w:autoSpaceDN w:val="0"/>
        <w:adjustRightInd w:val="0"/>
        <w:spacing w:after="0" w:line="240" w:lineRule="auto"/>
        <w:ind w:left="12960"/>
        <w:rPr>
          <w:rFonts w:ascii="Times New Roman" w:hAnsi="Times New Roman"/>
          <w:bCs/>
          <w:i/>
        </w:rPr>
      </w:pPr>
      <w:r w:rsidRPr="00B86BF8">
        <w:rPr>
          <w:rFonts w:ascii="Times New Roman" w:hAnsi="Times New Roman"/>
          <w:bCs/>
          <w:iCs/>
        </w:rPr>
        <w:t>Pagrindinės sąlygos</w:t>
      </w:r>
    </w:p>
    <w:p w14:paraId="5BC76C0F" w14:textId="77777777" w:rsidR="00E5225D" w:rsidRPr="00B86BF8" w:rsidRDefault="00E5225D" w:rsidP="005D491B">
      <w:pPr>
        <w:autoSpaceDE w:val="0"/>
        <w:autoSpaceDN w:val="0"/>
        <w:adjustRightInd w:val="0"/>
        <w:spacing w:after="0" w:line="240" w:lineRule="auto"/>
        <w:jc w:val="center"/>
        <w:rPr>
          <w:rFonts w:ascii="Times New Roman" w:hAnsi="Times New Roman"/>
          <w:b/>
          <w:sz w:val="24"/>
          <w:szCs w:val="24"/>
        </w:rPr>
      </w:pPr>
    </w:p>
    <w:p w14:paraId="0C89706A" w14:textId="77777777" w:rsidR="005D491B" w:rsidRPr="00B86BF8" w:rsidRDefault="005D491B" w:rsidP="005D491B">
      <w:pPr>
        <w:autoSpaceDE w:val="0"/>
        <w:autoSpaceDN w:val="0"/>
        <w:adjustRightInd w:val="0"/>
        <w:spacing w:after="0" w:line="240" w:lineRule="auto"/>
        <w:jc w:val="center"/>
        <w:rPr>
          <w:rFonts w:ascii="Times New Roman" w:hAnsi="Times New Roman"/>
          <w:b/>
          <w:sz w:val="24"/>
          <w:szCs w:val="24"/>
        </w:rPr>
      </w:pPr>
      <w:r w:rsidRPr="00B86BF8">
        <w:rPr>
          <w:rFonts w:ascii="Times New Roman" w:hAnsi="Times New Roman"/>
          <w:b/>
          <w:sz w:val="24"/>
          <w:szCs w:val="24"/>
        </w:rPr>
        <w:t>SKATINAMOSIOS FINANSINĖS PRIEMONĖS „ALTERNATYVA“ APRAŠYMAS IR PAGRINDINĖS SĄLYGOS</w:t>
      </w:r>
    </w:p>
    <w:p w14:paraId="0FAA5ABE"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sz w:val="24"/>
          <w:szCs w:val="24"/>
        </w:rPr>
      </w:pPr>
    </w:p>
    <w:p w14:paraId="1567E266" w14:textId="77777777" w:rsidR="005D491B" w:rsidRPr="00B86BF8" w:rsidRDefault="005D491B" w:rsidP="005D491B">
      <w:pPr>
        <w:autoSpaceDE w:val="0"/>
        <w:autoSpaceDN w:val="0"/>
        <w:adjustRightInd w:val="0"/>
        <w:spacing w:after="0" w:line="240" w:lineRule="auto"/>
        <w:jc w:val="center"/>
        <w:rPr>
          <w:rFonts w:ascii="Times New Roman" w:hAnsi="Times New Roman"/>
          <w:b/>
          <w:bCs/>
          <w:sz w:val="24"/>
          <w:szCs w:val="24"/>
        </w:rPr>
      </w:pPr>
      <w:r w:rsidRPr="00B86BF8">
        <w:rPr>
          <w:rFonts w:ascii="Times New Roman" w:hAnsi="Times New Roman"/>
          <w:b/>
          <w:bCs/>
          <w:sz w:val="24"/>
          <w:szCs w:val="24"/>
        </w:rPr>
        <w:t>1. ĮVADINĖ INFORMACIJA</w:t>
      </w:r>
    </w:p>
    <w:p w14:paraId="4D651F72" w14:textId="77777777" w:rsidR="005D491B" w:rsidRPr="00B86BF8" w:rsidRDefault="005D491B" w:rsidP="005D491B">
      <w:pPr>
        <w:autoSpaceDE w:val="0"/>
        <w:autoSpaceDN w:val="0"/>
        <w:adjustRightInd w:val="0"/>
        <w:spacing w:after="0" w:line="240" w:lineRule="auto"/>
        <w:jc w:val="both"/>
        <w:rPr>
          <w:rFonts w:ascii="Times New Roman" w:hAnsi="Times New Roman"/>
          <w:b/>
          <w:bCs/>
          <w:sz w:val="24"/>
          <w:szCs w:val="24"/>
        </w:rPr>
      </w:pPr>
    </w:p>
    <w:p w14:paraId="3B7441B0"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sz w:val="24"/>
          <w:szCs w:val="24"/>
        </w:rPr>
      </w:pPr>
      <w:r w:rsidRPr="00B86BF8">
        <w:rPr>
          <w:rFonts w:ascii="Times New Roman" w:hAnsi="Times New Roman"/>
          <w:sz w:val="24"/>
          <w:szCs w:val="24"/>
        </w:rPr>
        <w:t>Uždaroji akcinė bendrovė „INVESTICIJŲ IR VERSLO GARANTIJOS“ (toliau – „Invega“) įgyvendins skatinamąją finansinę priemonę „Alternatyva“ (toliau – Priemonė „Alternatyva“). „Invega“ sudarys Priemonės „Alternatyva“ įgyvendinimo sutartis (toliau – Sutartis) su tinkamumo reikalavimus atitinkančiais ir Priemonę „Alternatyva“ pageidaujančiais įgyvendinti finansų tarpininkais (toliau</w:t>
      </w:r>
      <w:r w:rsidR="00BB41A0" w:rsidRPr="00B86BF8">
        <w:rPr>
          <w:rFonts w:ascii="Times New Roman" w:hAnsi="Times New Roman"/>
          <w:sz w:val="24"/>
          <w:szCs w:val="24"/>
        </w:rPr>
        <w:t xml:space="preserve"> </w:t>
      </w:r>
      <w:r w:rsidRPr="00B86BF8">
        <w:rPr>
          <w:rFonts w:ascii="Times New Roman" w:hAnsi="Times New Roman"/>
          <w:sz w:val="24"/>
          <w:szCs w:val="24"/>
        </w:rPr>
        <w:t xml:space="preserve">– </w:t>
      </w:r>
      <w:r w:rsidR="00901B00" w:rsidRPr="00B86BF8">
        <w:rPr>
          <w:rFonts w:ascii="Times New Roman" w:hAnsi="Times New Roman"/>
          <w:sz w:val="24"/>
          <w:szCs w:val="24"/>
        </w:rPr>
        <w:t>FT</w:t>
      </w:r>
      <w:r w:rsidRPr="00B86BF8">
        <w:rPr>
          <w:rFonts w:ascii="Times New Roman" w:hAnsi="Times New Roman"/>
          <w:sz w:val="24"/>
          <w:szCs w:val="24"/>
        </w:rPr>
        <w:t>), kurie pagal Priemonę „Alternatyva“ gautas lėšas skolins paskolos gavėjams, atitinkantiems šioje priemonėje nustatytus kriterijus.</w:t>
      </w:r>
    </w:p>
    <w:p w14:paraId="7608DEA4" w14:textId="0292E581" w:rsidR="005D491B" w:rsidRPr="00B86BF8" w:rsidRDefault="00141655" w:rsidP="005D491B">
      <w:pPr>
        <w:autoSpaceDE w:val="0"/>
        <w:autoSpaceDN w:val="0"/>
        <w:adjustRightInd w:val="0"/>
        <w:spacing w:after="0" w:line="240" w:lineRule="auto"/>
        <w:ind w:firstLine="851"/>
        <w:jc w:val="both"/>
        <w:rPr>
          <w:rFonts w:ascii="Times New Roman" w:hAnsi="Times New Roman"/>
          <w:sz w:val="24"/>
          <w:szCs w:val="24"/>
        </w:rPr>
      </w:pPr>
      <w:r w:rsidRPr="00B86BF8">
        <w:rPr>
          <w:rFonts w:ascii="Times New Roman" w:hAnsi="Times New Roman"/>
          <w:sz w:val="24"/>
          <w:szCs w:val="24"/>
        </w:rPr>
        <w:t xml:space="preserve">Kontroliuojančiojo fondo </w:t>
      </w:r>
      <w:r w:rsidR="005D491B" w:rsidRPr="00B86BF8">
        <w:rPr>
          <w:rFonts w:ascii="Times New Roman" w:hAnsi="Times New Roman"/>
          <w:sz w:val="24"/>
          <w:szCs w:val="24"/>
        </w:rPr>
        <w:t xml:space="preserve">„INVEGOS fondo“ </w:t>
      </w:r>
      <w:r w:rsidRPr="00B86BF8">
        <w:rPr>
          <w:rFonts w:ascii="Times New Roman" w:hAnsi="Times New Roman"/>
          <w:sz w:val="24"/>
          <w:szCs w:val="24"/>
        </w:rPr>
        <w:t xml:space="preserve">(toliau – INVEGOS fondas) </w:t>
      </w:r>
      <w:r w:rsidR="005D491B" w:rsidRPr="00B86BF8">
        <w:rPr>
          <w:rFonts w:ascii="Times New Roman" w:hAnsi="Times New Roman"/>
          <w:sz w:val="24"/>
          <w:szCs w:val="24"/>
        </w:rPr>
        <w:t xml:space="preserve">priežiūros komitetui pritarus, Priemonė „Alternatyva“ gali būti įgyvendinama per specialiosios paskirties uždarąją akcinę bendrovę arba kitos teisinės formos juridinį asmenį (toliau – Bendrovė). Priežiūros komitetui pritarus, Bendrovė būtų naudojama kaip instrumentas „Invegai“ įgyvendinant Priemonę „Alternatyva“. Bendrovė Priemonės „Alternatyva“ įgyvendinimui turėtų teisę skolintis ar gauti kitos formos investicijas iš asmenų, atitinkančių informuotojo investuotojo statusą, kaip šis apibrėžtas Informuotiesiems investuotojams skirtų kolektyvinio investavimo subjektų įstatymo </w:t>
      </w:r>
      <w:r w:rsidR="000C0751" w:rsidRPr="00B86BF8">
        <w:rPr>
          <w:rFonts w:ascii="Times New Roman" w:hAnsi="Times New Roman"/>
          <w:sz w:val="24"/>
          <w:szCs w:val="24"/>
        </w:rPr>
        <w:t>3 </w:t>
      </w:r>
      <w:r w:rsidR="005D491B" w:rsidRPr="00B86BF8">
        <w:rPr>
          <w:rFonts w:ascii="Times New Roman" w:hAnsi="Times New Roman"/>
          <w:sz w:val="24"/>
          <w:szCs w:val="24"/>
        </w:rPr>
        <w:t>straipsnio 1 dalyje ir kurių investavimo strategija leidžia skolinti Bendrovei (toliau</w:t>
      </w:r>
      <w:r w:rsidR="00BB41A0" w:rsidRPr="00B86BF8">
        <w:rPr>
          <w:rFonts w:ascii="Times New Roman" w:hAnsi="Times New Roman"/>
          <w:sz w:val="24"/>
          <w:szCs w:val="24"/>
        </w:rPr>
        <w:t xml:space="preserve"> </w:t>
      </w:r>
      <w:r w:rsidR="005D491B" w:rsidRPr="00B86BF8">
        <w:rPr>
          <w:rFonts w:ascii="Times New Roman" w:hAnsi="Times New Roman"/>
          <w:sz w:val="24"/>
          <w:szCs w:val="24"/>
        </w:rPr>
        <w:t xml:space="preserve">– Informuotasis investuotojas). </w:t>
      </w:r>
    </w:p>
    <w:p w14:paraId="4D523463" w14:textId="1FEF057B" w:rsidR="005D491B" w:rsidRPr="00B86BF8" w:rsidRDefault="005D491B" w:rsidP="005D491B">
      <w:pPr>
        <w:autoSpaceDE w:val="0"/>
        <w:autoSpaceDN w:val="0"/>
        <w:adjustRightInd w:val="0"/>
        <w:spacing w:after="0" w:line="240" w:lineRule="auto"/>
        <w:ind w:firstLine="851"/>
        <w:jc w:val="both"/>
        <w:rPr>
          <w:rFonts w:ascii="Times New Roman" w:hAnsi="Times New Roman"/>
          <w:sz w:val="24"/>
          <w:szCs w:val="24"/>
        </w:rPr>
      </w:pPr>
      <w:r w:rsidRPr="00B86BF8">
        <w:rPr>
          <w:rFonts w:ascii="Times New Roman" w:hAnsi="Times New Roman"/>
          <w:sz w:val="24"/>
          <w:szCs w:val="24"/>
        </w:rPr>
        <w:t xml:space="preserve">INVEGOS fondo priežiūros komitetui pritarus, ruošiantis </w:t>
      </w:r>
      <w:r w:rsidR="00141655" w:rsidRPr="00B86BF8">
        <w:rPr>
          <w:rFonts w:ascii="Times New Roman" w:hAnsi="Times New Roman"/>
          <w:sz w:val="24"/>
          <w:szCs w:val="24"/>
        </w:rPr>
        <w:t>P</w:t>
      </w:r>
      <w:r w:rsidRPr="00B86BF8">
        <w:rPr>
          <w:rFonts w:ascii="Times New Roman" w:hAnsi="Times New Roman"/>
          <w:sz w:val="24"/>
          <w:szCs w:val="24"/>
        </w:rPr>
        <w:t xml:space="preserve">riemonės „Alternatyva“ įgyvendinimą perduoti Bendrovei, šios Pagrindinės sąlygos gali būti peržiūrimos ir koreguojamos, nustatant, kokius konkrečius veiksmus </w:t>
      </w:r>
      <w:r w:rsidR="00BB41A0" w:rsidRPr="00B86BF8">
        <w:rPr>
          <w:rFonts w:ascii="Times New Roman" w:hAnsi="Times New Roman"/>
          <w:sz w:val="24"/>
          <w:szCs w:val="24"/>
        </w:rPr>
        <w:t xml:space="preserve">įgyvendinant </w:t>
      </w:r>
      <w:r w:rsidRPr="00B86BF8">
        <w:rPr>
          <w:rFonts w:ascii="Times New Roman" w:hAnsi="Times New Roman"/>
          <w:sz w:val="24"/>
          <w:szCs w:val="24"/>
        </w:rPr>
        <w:t xml:space="preserve">Priemonę „Alternatyva“ per Bendrovę vykdys „Invega“, o </w:t>
      </w:r>
      <w:r w:rsidR="000C0751" w:rsidRPr="00B86BF8">
        <w:rPr>
          <w:rFonts w:ascii="Times New Roman" w:hAnsi="Times New Roman"/>
          <w:sz w:val="24"/>
          <w:szCs w:val="24"/>
        </w:rPr>
        <w:t>kuriuos </w:t>
      </w:r>
      <w:r w:rsidRPr="00B86BF8">
        <w:rPr>
          <w:rFonts w:ascii="Times New Roman" w:hAnsi="Times New Roman"/>
          <w:sz w:val="24"/>
          <w:szCs w:val="24"/>
        </w:rPr>
        <w:t xml:space="preserve">– Bendrovė. </w:t>
      </w:r>
    </w:p>
    <w:p w14:paraId="65B088B6"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4079AAA6"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r w:rsidRPr="00B86BF8">
        <w:rPr>
          <w:rFonts w:ascii="Times New Roman" w:hAnsi="Times New Roman"/>
          <w:b/>
          <w:bCs/>
          <w:sz w:val="24"/>
          <w:szCs w:val="24"/>
        </w:rPr>
        <w:t>1.</w:t>
      </w:r>
      <w:r w:rsidR="00043BA4" w:rsidRPr="00B86BF8">
        <w:rPr>
          <w:rFonts w:ascii="Times New Roman" w:hAnsi="Times New Roman"/>
          <w:b/>
          <w:bCs/>
          <w:sz w:val="24"/>
          <w:szCs w:val="24"/>
        </w:rPr>
        <w:t>1</w:t>
      </w:r>
      <w:r w:rsidRPr="00B86BF8">
        <w:rPr>
          <w:rFonts w:ascii="Times New Roman" w:hAnsi="Times New Roman"/>
          <w:b/>
          <w:bCs/>
          <w:sz w:val="24"/>
          <w:szCs w:val="24"/>
        </w:rPr>
        <w:t>. Priemonės „Alternatyva“ aplinka</w:t>
      </w:r>
    </w:p>
    <w:p w14:paraId="169477CD"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58C4B09D" w14:textId="5DBDE488" w:rsidR="005D491B"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Cs/>
          <w:sz w:val="24"/>
          <w:szCs w:val="24"/>
        </w:rPr>
        <w:t>2009 m. balandžio 7 d. tarp Lietuvos Respublikos finansų ministerijos (toliau – FM),</w:t>
      </w:r>
      <w:r w:rsidRPr="00B86BF8">
        <w:rPr>
          <w:rFonts w:ascii="Times New Roman" w:hAnsi="Times New Roman"/>
          <w:b/>
          <w:bCs/>
          <w:sz w:val="24"/>
          <w:szCs w:val="24"/>
        </w:rPr>
        <w:t xml:space="preserve"> </w:t>
      </w:r>
      <w:r w:rsidRPr="00B86BF8">
        <w:rPr>
          <w:rFonts w:ascii="Times New Roman" w:hAnsi="Times New Roman"/>
          <w:bCs/>
          <w:sz w:val="24"/>
          <w:szCs w:val="24"/>
        </w:rPr>
        <w:t>Lietuvos Respublikos ūkio ministerijos ir „Invegos“ buvo pasirašyta Finansavimo sutartis, kuria buvo įsteigtas INVEGOS fondas. Pagal šią sutartį INVEGOS fondo valdytoja paskirta „Invega“.</w:t>
      </w:r>
    </w:p>
    <w:p w14:paraId="0CB85945"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Cs/>
          <w:sz w:val="24"/>
          <w:szCs w:val="24"/>
        </w:rPr>
        <w:t xml:space="preserve">Priemonė </w:t>
      </w:r>
      <w:r w:rsidRPr="00B86BF8">
        <w:rPr>
          <w:rFonts w:ascii="Times New Roman" w:hAnsi="Times New Roman"/>
          <w:sz w:val="24"/>
          <w:szCs w:val="24"/>
        </w:rPr>
        <w:t>„Alternatyva</w:t>
      </w:r>
      <w:r w:rsidRPr="00B86BF8">
        <w:rPr>
          <w:rFonts w:ascii="Times New Roman" w:hAnsi="Times New Roman"/>
          <w:bCs/>
          <w:sz w:val="24"/>
          <w:szCs w:val="24"/>
        </w:rPr>
        <w:t xml:space="preserve">“ </w:t>
      </w:r>
      <w:r w:rsidRPr="00B86BF8">
        <w:rPr>
          <w:rFonts w:ascii="Times New Roman" w:hAnsi="Times New Roman"/>
          <w:sz w:val="24"/>
          <w:szCs w:val="24"/>
        </w:rPr>
        <w:t>finansuojama iš INVEGOS fondo grįžusių ir (ar) grįšiančių ir (ar) Lietuvos Respublikos valstybės biudžeto lėšų</w:t>
      </w:r>
      <w:r w:rsidRPr="00B86BF8">
        <w:rPr>
          <w:rFonts w:ascii="Times New Roman" w:hAnsi="Times New Roman"/>
          <w:bCs/>
          <w:sz w:val="24"/>
          <w:szCs w:val="24"/>
        </w:rPr>
        <w:t>.</w:t>
      </w:r>
    </w:p>
    <w:p w14:paraId="17456491"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sz w:val="24"/>
          <w:szCs w:val="24"/>
        </w:rPr>
      </w:pPr>
      <w:r w:rsidRPr="00B86BF8">
        <w:rPr>
          <w:rFonts w:ascii="Times New Roman" w:hAnsi="Times New Roman"/>
          <w:sz w:val="24"/>
          <w:szCs w:val="24"/>
        </w:rPr>
        <w:t xml:space="preserve">Pagrindinis Priemonės „Alternatyva“ tikslas – sudaryti palankesnes sąlygas smulkiojo ir vidutinio verslo (toliau – SVV) subjektams gauti finansavimą iš alternatyvios skolinimo rinkos. </w:t>
      </w:r>
    </w:p>
    <w:p w14:paraId="5C2FC080" w14:textId="77777777" w:rsidR="005D491B" w:rsidRPr="00B86BF8" w:rsidRDefault="005D491B" w:rsidP="005D491B">
      <w:pPr>
        <w:autoSpaceDE w:val="0"/>
        <w:autoSpaceDN w:val="0"/>
        <w:adjustRightInd w:val="0"/>
        <w:spacing w:after="0" w:line="240" w:lineRule="auto"/>
        <w:ind w:firstLine="720"/>
        <w:jc w:val="both"/>
        <w:rPr>
          <w:rFonts w:ascii="Times New Roman" w:hAnsi="Times New Roman"/>
          <w:b/>
          <w:bCs/>
          <w:sz w:val="24"/>
          <w:szCs w:val="24"/>
        </w:rPr>
      </w:pPr>
      <w:r w:rsidRPr="00B86BF8">
        <w:rPr>
          <w:rFonts w:ascii="Times New Roman" w:hAnsi="Times New Roman"/>
          <w:sz w:val="24"/>
          <w:szCs w:val="24"/>
        </w:rPr>
        <w:lastRenderedPageBreak/>
        <w:t xml:space="preserve"> Siekiant diversifikuoti su Priemonės „Alternatyva“ įgyvendinimu susijusias rizikas ir sudaryti palankias sąlygas viešojo ir privataus sektorių partnerystės finansų sektoriuje vystymuisi, „Invega“ gali kviesti Informuotuosius investuotojus prisidėti prie Priemonės „Alternatyva“ tikslų įgyvendinimo.</w:t>
      </w:r>
      <w:r w:rsidRPr="00B86BF8">
        <w:rPr>
          <w:rFonts w:ascii="Times New Roman" w:hAnsi="Times New Roman"/>
          <w:b/>
          <w:bCs/>
          <w:sz w:val="24"/>
          <w:szCs w:val="24"/>
        </w:rPr>
        <w:tab/>
      </w:r>
    </w:p>
    <w:p w14:paraId="2EF8E6B0" w14:textId="77777777" w:rsidR="005D491B" w:rsidRPr="00B86BF8" w:rsidRDefault="005D491B" w:rsidP="005D491B">
      <w:pPr>
        <w:autoSpaceDE w:val="0"/>
        <w:autoSpaceDN w:val="0"/>
        <w:adjustRightInd w:val="0"/>
        <w:spacing w:after="0" w:line="240" w:lineRule="auto"/>
        <w:ind w:left="993" w:hanging="142"/>
        <w:jc w:val="both"/>
        <w:rPr>
          <w:rFonts w:ascii="Times New Roman" w:hAnsi="Times New Roman"/>
          <w:b/>
          <w:bCs/>
          <w:sz w:val="24"/>
          <w:szCs w:val="24"/>
        </w:rPr>
      </w:pPr>
      <w:r w:rsidRPr="00B86BF8">
        <w:rPr>
          <w:rFonts w:ascii="Times New Roman" w:hAnsi="Times New Roman"/>
          <w:b/>
          <w:bCs/>
          <w:sz w:val="24"/>
          <w:szCs w:val="24"/>
        </w:rPr>
        <w:t>1.</w:t>
      </w:r>
      <w:r w:rsidR="00043BA4" w:rsidRPr="00B86BF8">
        <w:rPr>
          <w:rFonts w:ascii="Times New Roman" w:hAnsi="Times New Roman"/>
          <w:b/>
          <w:bCs/>
          <w:sz w:val="24"/>
          <w:szCs w:val="24"/>
        </w:rPr>
        <w:t>2</w:t>
      </w:r>
      <w:r w:rsidRPr="00B86BF8">
        <w:rPr>
          <w:rFonts w:ascii="Times New Roman" w:hAnsi="Times New Roman"/>
          <w:b/>
          <w:bCs/>
          <w:sz w:val="24"/>
          <w:szCs w:val="24"/>
        </w:rPr>
        <w:t>. Reglamentuojantys teisės aktai ir dokumentai:</w:t>
      </w:r>
    </w:p>
    <w:p w14:paraId="1DB6AEE7"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sz w:val="24"/>
          <w:szCs w:val="24"/>
        </w:rPr>
      </w:pPr>
    </w:p>
    <w:p w14:paraId="046099E8" w14:textId="77777777" w:rsidR="00B16A2F" w:rsidRPr="00B86BF8" w:rsidRDefault="00B16A2F" w:rsidP="00B16A2F">
      <w:pPr>
        <w:autoSpaceDE w:val="0"/>
        <w:autoSpaceDN w:val="0"/>
        <w:adjustRightInd w:val="0"/>
        <w:spacing w:after="0" w:line="240" w:lineRule="auto"/>
        <w:ind w:firstLine="851"/>
        <w:jc w:val="both"/>
        <w:rPr>
          <w:rFonts w:ascii="Times New Roman" w:hAnsi="Times New Roman"/>
          <w:b/>
          <w:sz w:val="24"/>
        </w:rPr>
      </w:pPr>
      <w:r w:rsidRPr="00B86BF8">
        <w:rPr>
          <w:rFonts w:ascii="Times New Roman" w:hAnsi="Times New Roman"/>
          <w:b/>
          <w:sz w:val="24"/>
          <w:szCs w:val="24"/>
        </w:rPr>
        <w:t>Europos Sąjungos (toliau – ES) teisės aktai ir gairės:</w:t>
      </w:r>
    </w:p>
    <w:p w14:paraId="08FCFF6C" w14:textId="47091A09" w:rsidR="00B16A2F" w:rsidRPr="00B86BF8" w:rsidRDefault="00B16A2F" w:rsidP="00B16A2F">
      <w:pPr>
        <w:numPr>
          <w:ilvl w:val="0"/>
          <w:numId w:val="36"/>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bookmarkStart w:id="11" w:name="_Hlk48301028"/>
      <w:r w:rsidRPr="00B86BF8">
        <w:rPr>
          <w:rFonts w:ascii="Times New Roman" w:eastAsia="Times New Roman" w:hAnsi="Times New Roman"/>
          <w:sz w:val="24"/>
          <w:szCs w:val="24"/>
        </w:rPr>
        <w:t xml:space="preserve">2013 m. gruodžio 18 d. Komisijos Reglamentas (ES) Nr. 1407/2013 dėl Sutarties dėl Europos Sąjungos veikimo 107 ir 108 straipsnių taikymo </w:t>
      </w:r>
      <w:r w:rsidRPr="00B86BF8">
        <w:rPr>
          <w:rFonts w:ascii="Times New Roman" w:eastAsia="Times New Roman" w:hAnsi="Times New Roman"/>
          <w:i/>
          <w:sz w:val="24"/>
          <w:szCs w:val="24"/>
        </w:rPr>
        <w:t>de minimis</w:t>
      </w:r>
      <w:r w:rsidRPr="00B86BF8">
        <w:rPr>
          <w:rFonts w:ascii="Times New Roman" w:eastAsia="Times New Roman" w:hAnsi="Times New Roman"/>
          <w:sz w:val="24"/>
          <w:szCs w:val="24"/>
        </w:rPr>
        <w:t xml:space="preserve"> pagalbai </w:t>
      </w:r>
      <w:bookmarkEnd w:id="11"/>
      <w:r w:rsidRPr="00B86BF8">
        <w:rPr>
          <w:rFonts w:ascii="Times New Roman" w:eastAsia="Times New Roman" w:hAnsi="Times New Roman"/>
          <w:sz w:val="24"/>
          <w:szCs w:val="24"/>
        </w:rPr>
        <w:t>(toliau – Reglamentas (ES) Nr. 1407/2013);</w:t>
      </w:r>
    </w:p>
    <w:p w14:paraId="6CDF972A" w14:textId="77777777" w:rsidR="00B16A2F" w:rsidRPr="00B86BF8" w:rsidRDefault="00B16A2F" w:rsidP="00B16A2F">
      <w:pPr>
        <w:numPr>
          <w:ilvl w:val="0"/>
          <w:numId w:val="36"/>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r w:rsidRPr="00B86BF8">
        <w:rPr>
          <w:rFonts w:ascii="Times New Roman" w:hAnsi="Times New Roman"/>
          <w:sz w:val="24"/>
          <w:szCs w:val="24"/>
        </w:rPr>
        <w:t>kiti ES taikytini teisės aktai.</w:t>
      </w:r>
    </w:p>
    <w:p w14:paraId="58B72AA8" w14:textId="77777777" w:rsidR="00B16A2F" w:rsidRPr="00B86BF8" w:rsidRDefault="00B16A2F" w:rsidP="005D491B">
      <w:pPr>
        <w:autoSpaceDE w:val="0"/>
        <w:autoSpaceDN w:val="0"/>
        <w:adjustRightInd w:val="0"/>
        <w:spacing w:after="0" w:line="240" w:lineRule="auto"/>
        <w:ind w:firstLine="851"/>
        <w:jc w:val="both"/>
        <w:rPr>
          <w:rFonts w:ascii="Times New Roman" w:hAnsi="Times New Roman"/>
          <w:b/>
          <w:sz w:val="24"/>
          <w:szCs w:val="24"/>
        </w:rPr>
      </w:pPr>
    </w:p>
    <w:p w14:paraId="05EC4760" w14:textId="77777777" w:rsidR="005D491B" w:rsidRPr="00B86BF8" w:rsidRDefault="00B16A2F" w:rsidP="005D491B">
      <w:pPr>
        <w:autoSpaceDE w:val="0"/>
        <w:autoSpaceDN w:val="0"/>
        <w:adjustRightInd w:val="0"/>
        <w:spacing w:after="0" w:line="240" w:lineRule="auto"/>
        <w:ind w:firstLine="851"/>
        <w:jc w:val="both"/>
        <w:rPr>
          <w:rFonts w:ascii="Times New Roman" w:hAnsi="Times New Roman"/>
          <w:b/>
          <w:sz w:val="24"/>
          <w:szCs w:val="24"/>
        </w:rPr>
      </w:pPr>
      <w:r w:rsidRPr="00B86BF8">
        <w:rPr>
          <w:rFonts w:ascii="Times New Roman" w:hAnsi="Times New Roman"/>
          <w:b/>
          <w:sz w:val="24"/>
          <w:szCs w:val="24"/>
        </w:rPr>
        <w:t>T</w:t>
      </w:r>
      <w:r w:rsidR="005D491B" w:rsidRPr="00B86BF8">
        <w:rPr>
          <w:rFonts w:ascii="Times New Roman" w:hAnsi="Times New Roman"/>
          <w:b/>
          <w:sz w:val="24"/>
          <w:szCs w:val="24"/>
        </w:rPr>
        <w:t>eisės aktai ir dokumentai:</w:t>
      </w:r>
    </w:p>
    <w:p w14:paraId="547AE745"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smulkiojo ir vidutinio verslo plėtros įstatymas (toliau – SVV plėtros įstatymas);</w:t>
      </w:r>
    </w:p>
    <w:p w14:paraId="0A072127"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nacionalinių plėtros įstaigų įstatymas;</w:t>
      </w:r>
    </w:p>
    <w:p w14:paraId="4E8F9BE6"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Vyriausybės 2013 m. rugpjūčio 28 d. nutarimas Nr. 791 „Dėl įgyvendinant finansų inžinerijos priemonės grįžusių ir grįšiančių lėšų panaudojimo tvarkos aprašo patvirtinimo“;</w:t>
      </w:r>
    </w:p>
    <w:p w14:paraId="765CB260"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Vyriausybės 2018 m. rugsėjo 12 d. nutarimas Nr. 910 „Dėl Lietuvos Respublikos nacionalinių plėtros įstaigų įstatymo įgyvendinimo“;</w:t>
      </w:r>
    </w:p>
    <w:p w14:paraId="5D33F553"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Vyriausybės 2001 m. liepos 11 d. nutarimas Nr. 887 „Dėl uždarosios akcinės bendrovės „Investicijų ir verslo garantijos“ veiklos“;</w:t>
      </w:r>
    </w:p>
    <w:p w14:paraId="2D575316"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fizinių asmenų bankroto įstatymas;</w:t>
      </w:r>
    </w:p>
    <w:p w14:paraId="0A1B35FB"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juridinių asmenų nemokumo įstatymas;</w:t>
      </w:r>
    </w:p>
    <w:p w14:paraId="50F2A07F"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Lietuvos Respublikos asmens duomenų teisinės apsaugos įstatymas;</w:t>
      </w:r>
    </w:p>
    <w:p w14:paraId="0703F877" w14:textId="77777777" w:rsidR="00B16A2F" w:rsidRPr="00B86BF8" w:rsidRDefault="00B16A2F"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bookmarkStart w:id="12" w:name="_Hlk37430660"/>
      <w:r w:rsidRPr="00B86BF8">
        <w:rPr>
          <w:rFonts w:ascii="Times New Roman" w:hAnsi="Times New Roman"/>
          <w:sz w:val="24"/>
          <w:szCs w:val="24"/>
        </w:rPr>
        <w:t>Lietuvos Respublikos ekonomikos ir inovacijų ministro 2020 m. d. įsakymas Nr. 4-  „Dėl skatinamosios finansinės priemonės „Alternatyva“ schemos patvirtinimo“</w:t>
      </w:r>
      <w:bookmarkEnd w:id="12"/>
      <w:r w:rsidRPr="00B86BF8">
        <w:rPr>
          <w:rFonts w:ascii="Times New Roman" w:hAnsi="Times New Roman"/>
          <w:sz w:val="24"/>
          <w:szCs w:val="24"/>
        </w:rPr>
        <w:t xml:space="preserve"> (toliau – </w:t>
      </w:r>
      <w:r w:rsidR="00A069C6" w:rsidRPr="00B86BF8">
        <w:rPr>
          <w:rFonts w:ascii="Times New Roman" w:hAnsi="Times New Roman"/>
          <w:sz w:val="24"/>
          <w:szCs w:val="24"/>
        </w:rPr>
        <w:t>P</w:t>
      </w:r>
      <w:r w:rsidRPr="00B86BF8">
        <w:rPr>
          <w:rFonts w:ascii="Times New Roman" w:hAnsi="Times New Roman"/>
          <w:sz w:val="24"/>
          <w:szCs w:val="24"/>
        </w:rPr>
        <w:t>riemonės „Alternatyva“ schema)</w:t>
      </w:r>
    </w:p>
    <w:p w14:paraId="3E5F95EB" w14:textId="77777777" w:rsidR="005D491B" w:rsidRPr="00B86BF8"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B86BF8">
        <w:rPr>
          <w:rFonts w:ascii="Times New Roman" w:hAnsi="Times New Roman"/>
          <w:sz w:val="24"/>
          <w:szCs w:val="24"/>
        </w:rPr>
        <w:t>kiti nacionaliniai taikytini teisės aktai, taisyklės, rekomendacijos, gairės ir jų pakeitimai.</w:t>
      </w:r>
    </w:p>
    <w:p w14:paraId="7407240C"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50FECBBB" w14:textId="77777777" w:rsidR="005D491B" w:rsidRPr="00B86BF8" w:rsidRDefault="005D491B" w:rsidP="00043BA4">
      <w:pPr>
        <w:keepNext/>
        <w:autoSpaceDE w:val="0"/>
        <w:autoSpaceDN w:val="0"/>
        <w:adjustRightInd w:val="0"/>
        <w:spacing w:after="0" w:line="240" w:lineRule="auto"/>
        <w:jc w:val="center"/>
        <w:rPr>
          <w:rFonts w:ascii="Times New Roman" w:hAnsi="Times New Roman"/>
          <w:b/>
          <w:bCs/>
          <w:sz w:val="24"/>
          <w:szCs w:val="24"/>
        </w:rPr>
      </w:pPr>
      <w:r w:rsidRPr="00B86BF8">
        <w:rPr>
          <w:rFonts w:ascii="Times New Roman" w:hAnsi="Times New Roman"/>
          <w:b/>
          <w:bCs/>
          <w:sz w:val="24"/>
          <w:szCs w:val="24"/>
        </w:rPr>
        <w:lastRenderedPageBreak/>
        <w:t>2. TIKSLAS IR UŽDAVINIAI</w:t>
      </w:r>
    </w:p>
    <w:p w14:paraId="59DAAA03" w14:textId="77777777" w:rsidR="005D491B" w:rsidRPr="00B86BF8" w:rsidRDefault="005D491B" w:rsidP="005D491B">
      <w:pPr>
        <w:keepNext/>
        <w:autoSpaceDE w:val="0"/>
        <w:autoSpaceDN w:val="0"/>
        <w:adjustRightInd w:val="0"/>
        <w:spacing w:after="0" w:line="240" w:lineRule="auto"/>
        <w:ind w:firstLine="851"/>
        <w:jc w:val="both"/>
        <w:rPr>
          <w:rFonts w:ascii="Times New Roman" w:hAnsi="Times New Roman"/>
          <w:b/>
          <w:bCs/>
          <w:sz w:val="24"/>
          <w:szCs w:val="24"/>
        </w:rPr>
      </w:pPr>
    </w:p>
    <w:p w14:paraId="34B91034" w14:textId="77777777" w:rsidR="005D491B" w:rsidRPr="00B86BF8" w:rsidRDefault="005D491B" w:rsidP="005D491B">
      <w:pPr>
        <w:keepNext/>
        <w:autoSpaceDE w:val="0"/>
        <w:autoSpaceDN w:val="0"/>
        <w:adjustRightInd w:val="0"/>
        <w:spacing w:after="0" w:line="240" w:lineRule="auto"/>
        <w:ind w:firstLine="851"/>
        <w:jc w:val="both"/>
        <w:rPr>
          <w:rFonts w:ascii="Times New Roman" w:hAnsi="Times New Roman"/>
          <w:b/>
          <w:bCs/>
          <w:sz w:val="24"/>
          <w:szCs w:val="24"/>
        </w:rPr>
      </w:pPr>
      <w:r w:rsidRPr="00B86BF8">
        <w:rPr>
          <w:rFonts w:ascii="Times New Roman" w:hAnsi="Times New Roman"/>
          <w:b/>
          <w:bCs/>
          <w:sz w:val="24"/>
          <w:szCs w:val="24"/>
        </w:rPr>
        <w:t>2.1. Tikslai ir uždaviniai</w:t>
      </w:r>
    </w:p>
    <w:p w14:paraId="3AAF6FEF" w14:textId="77777777" w:rsidR="005D491B" w:rsidRPr="00B86BF8" w:rsidRDefault="005D491B" w:rsidP="005D491B">
      <w:pPr>
        <w:keepNext/>
        <w:autoSpaceDE w:val="0"/>
        <w:autoSpaceDN w:val="0"/>
        <w:adjustRightInd w:val="0"/>
        <w:spacing w:after="0" w:line="240" w:lineRule="auto"/>
        <w:ind w:firstLine="851"/>
        <w:jc w:val="both"/>
        <w:rPr>
          <w:rFonts w:ascii="Times New Roman" w:hAnsi="Times New Roman"/>
          <w:b/>
          <w:bCs/>
          <w:sz w:val="24"/>
          <w:szCs w:val="24"/>
        </w:rPr>
      </w:pPr>
    </w:p>
    <w:p w14:paraId="776603E1" w14:textId="4FE02CD2" w:rsidR="005D491B" w:rsidRPr="00B86BF8" w:rsidRDefault="005D491B" w:rsidP="005D491B">
      <w:pPr>
        <w:autoSpaceDE w:val="0"/>
        <w:autoSpaceDN w:val="0"/>
        <w:adjustRightInd w:val="0"/>
        <w:spacing w:after="0" w:line="240" w:lineRule="auto"/>
        <w:ind w:firstLine="851"/>
        <w:jc w:val="both"/>
        <w:rPr>
          <w:rFonts w:ascii="Times New Roman" w:hAnsi="Times New Roman"/>
          <w:sz w:val="24"/>
          <w:szCs w:val="24"/>
        </w:rPr>
      </w:pPr>
      <w:r w:rsidRPr="00B86BF8">
        <w:rPr>
          <w:rFonts w:ascii="Times New Roman" w:hAnsi="Times New Roman"/>
          <w:sz w:val="24"/>
          <w:szCs w:val="24"/>
        </w:rPr>
        <w:t xml:space="preserve">Sutarčių su </w:t>
      </w:r>
      <w:r w:rsidR="00901B00" w:rsidRPr="00B86BF8">
        <w:rPr>
          <w:rFonts w:ascii="Times New Roman" w:hAnsi="Times New Roman"/>
          <w:sz w:val="24"/>
          <w:szCs w:val="24"/>
        </w:rPr>
        <w:t>FT</w:t>
      </w:r>
      <w:r w:rsidRPr="00B86BF8">
        <w:rPr>
          <w:rFonts w:ascii="Times New Roman" w:hAnsi="Times New Roman"/>
          <w:sz w:val="24"/>
          <w:szCs w:val="24"/>
        </w:rPr>
        <w:t xml:space="preserve"> sudarymo tikslas – efektyvus Priemonės „Alternatyva“ įgyvendinimas su tinkamumo reikalavimus atitinkančiais ir </w:t>
      </w:r>
      <w:r w:rsidR="00C56038" w:rsidRPr="00B86BF8">
        <w:rPr>
          <w:rFonts w:ascii="Times New Roman" w:hAnsi="Times New Roman"/>
          <w:sz w:val="24"/>
          <w:szCs w:val="24"/>
        </w:rPr>
        <w:t>Priemonę</w:t>
      </w:r>
      <w:r w:rsidRPr="00B86BF8">
        <w:rPr>
          <w:rFonts w:ascii="Times New Roman" w:hAnsi="Times New Roman"/>
          <w:sz w:val="24"/>
          <w:szCs w:val="24"/>
        </w:rPr>
        <w:t xml:space="preserve"> „Alternatyva“ pageidaujančiais įgyvendinti </w:t>
      </w:r>
      <w:r w:rsidR="00141655" w:rsidRPr="00B86BF8">
        <w:rPr>
          <w:rFonts w:ascii="Times New Roman" w:hAnsi="Times New Roman"/>
          <w:sz w:val="24"/>
          <w:szCs w:val="24"/>
        </w:rPr>
        <w:t>finansų tarpininkais (toliau – FT)</w:t>
      </w:r>
      <w:r w:rsidRPr="00B86BF8">
        <w:rPr>
          <w:rFonts w:ascii="Times New Roman" w:hAnsi="Times New Roman"/>
          <w:sz w:val="24"/>
          <w:szCs w:val="24"/>
        </w:rPr>
        <w:t>. Sutartis pasirašę F</w:t>
      </w:r>
      <w:r w:rsidR="00901B00" w:rsidRPr="00B86BF8">
        <w:rPr>
          <w:rFonts w:ascii="Times New Roman" w:hAnsi="Times New Roman"/>
          <w:sz w:val="24"/>
          <w:szCs w:val="24"/>
        </w:rPr>
        <w:t>T</w:t>
      </w:r>
      <w:r w:rsidRPr="00B86BF8">
        <w:rPr>
          <w:rFonts w:ascii="Times New Roman" w:hAnsi="Times New Roman"/>
          <w:sz w:val="24"/>
          <w:szCs w:val="24"/>
        </w:rPr>
        <w:t xml:space="preserve"> atrinks Priemonės „Alternatyva“ sąlygas atitinkančius SVV subjektus – galutinius naudos gavėjus (toliau – Paskolos gavėjas), kurie būtų finansuojami Priemonės „Alternatyva“ lėšomis. </w:t>
      </w:r>
      <w:r w:rsidR="00901B00" w:rsidRPr="00B86BF8">
        <w:rPr>
          <w:rFonts w:ascii="Times New Roman" w:hAnsi="Times New Roman"/>
          <w:sz w:val="24"/>
          <w:szCs w:val="24"/>
        </w:rPr>
        <w:t>FT</w:t>
      </w:r>
      <w:r w:rsidRPr="00B86BF8">
        <w:rPr>
          <w:rFonts w:ascii="Times New Roman" w:hAnsi="Times New Roman"/>
          <w:sz w:val="24"/>
          <w:szCs w:val="24"/>
        </w:rPr>
        <w:t xml:space="preserve"> skaičius yra neribojamas. </w:t>
      </w:r>
    </w:p>
    <w:p w14:paraId="1FAFC9B3"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cs="SimSun"/>
          <w:sz w:val="24"/>
          <w:szCs w:val="24"/>
        </w:rPr>
      </w:pPr>
      <w:r w:rsidRPr="00B86BF8">
        <w:rPr>
          <w:rFonts w:ascii="Times New Roman" w:hAnsi="Times New Roman"/>
          <w:sz w:val="24"/>
          <w:szCs w:val="24"/>
        </w:rPr>
        <w:t xml:space="preserve">Kiekvienas </w:t>
      </w:r>
      <w:r w:rsidR="00901B00" w:rsidRPr="00B86BF8">
        <w:rPr>
          <w:rFonts w:ascii="Times New Roman" w:hAnsi="Times New Roman"/>
          <w:sz w:val="24"/>
          <w:szCs w:val="24"/>
        </w:rPr>
        <w:t>FT</w:t>
      </w:r>
      <w:r w:rsidRPr="00B86BF8">
        <w:rPr>
          <w:rFonts w:ascii="Times New Roman" w:hAnsi="Times New Roman"/>
          <w:sz w:val="24"/>
          <w:szCs w:val="24"/>
        </w:rPr>
        <w:t xml:space="preserve"> turi įgyvendinti Priemonę „Alternatyva</w:t>
      </w:r>
      <w:r w:rsidRPr="00B86BF8">
        <w:rPr>
          <w:rFonts w:ascii="Times New Roman" w:hAnsi="Times New Roman"/>
          <w:bCs/>
          <w:sz w:val="24"/>
          <w:szCs w:val="24"/>
        </w:rPr>
        <w:t>“</w:t>
      </w:r>
      <w:r w:rsidRPr="00B86BF8">
        <w:rPr>
          <w:rFonts w:ascii="Times New Roman" w:hAnsi="Times New Roman"/>
          <w:sz w:val="24"/>
          <w:szCs w:val="24"/>
        </w:rPr>
        <w:t xml:space="preserve"> taip, kad būtų užtikrintas</w:t>
      </w:r>
      <w:r w:rsidRPr="00B86BF8">
        <w:rPr>
          <w:rFonts w:ascii="Times New Roman" w:hAnsi="Times New Roman" w:cs="SimSun"/>
          <w:sz w:val="24"/>
          <w:szCs w:val="24"/>
        </w:rPr>
        <w:t xml:space="preserve"> uždavinio – aktyviai finansuoti SVV subjektus per alternatyvius finansavimo šaltinius </w:t>
      </w:r>
      <w:r w:rsidR="00744340" w:rsidRPr="00B86BF8">
        <w:rPr>
          <w:rFonts w:ascii="Times New Roman" w:hAnsi="Times New Roman" w:cs="SimSun"/>
          <w:sz w:val="24"/>
          <w:szCs w:val="24"/>
        </w:rPr>
        <w:t xml:space="preserve">– </w:t>
      </w:r>
      <w:r w:rsidRPr="00B86BF8">
        <w:rPr>
          <w:rFonts w:ascii="Times New Roman" w:hAnsi="Times New Roman" w:cs="SimSun"/>
          <w:sz w:val="24"/>
          <w:szCs w:val="24"/>
        </w:rPr>
        <w:t>tinkamas įgyvendinimas.</w:t>
      </w:r>
    </w:p>
    <w:p w14:paraId="35D98E5A" w14:textId="77777777" w:rsidR="005D491B" w:rsidRPr="00B86BF8" w:rsidRDefault="005D491B" w:rsidP="005D491B">
      <w:pPr>
        <w:tabs>
          <w:tab w:val="left" w:pos="770"/>
          <w:tab w:val="left" w:pos="1134"/>
        </w:tabs>
        <w:spacing w:after="0" w:line="240" w:lineRule="auto"/>
        <w:ind w:left="851"/>
        <w:jc w:val="both"/>
        <w:rPr>
          <w:rFonts w:ascii="Times New Roman" w:hAnsi="Times New Roman"/>
          <w:sz w:val="24"/>
          <w:szCs w:val="24"/>
        </w:rPr>
      </w:pPr>
    </w:p>
    <w:p w14:paraId="7636E09E" w14:textId="77777777" w:rsidR="005D491B" w:rsidRPr="00B86BF8" w:rsidRDefault="005D491B" w:rsidP="005D491B">
      <w:pPr>
        <w:tabs>
          <w:tab w:val="left" w:pos="770"/>
          <w:tab w:val="left" w:pos="1134"/>
        </w:tabs>
        <w:autoSpaceDE w:val="0"/>
        <w:autoSpaceDN w:val="0"/>
        <w:adjustRightInd w:val="0"/>
        <w:spacing w:after="0" w:line="240" w:lineRule="auto"/>
        <w:ind w:left="851"/>
        <w:jc w:val="both"/>
        <w:rPr>
          <w:rFonts w:ascii="Times New Roman" w:hAnsi="Times New Roman"/>
          <w:b/>
          <w:bCs/>
          <w:sz w:val="24"/>
          <w:szCs w:val="24"/>
        </w:rPr>
      </w:pPr>
    </w:p>
    <w:p w14:paraId="32540A01" w14:textId="77777777" w:rsidR="005D491B" w:rsidRPr="00B86BF8" w:rsidRDefault="005D491B" w:rsidP="00043BA4">
      <w:pPr>
        <w:autoSpaceDE w:val="0"/>
        <w:autoSpaceDN w:val="0"/>
        <w:adjustRightInd w:val="0"/>
        <w:spacing w:after="0" w:line="240" w:lineRule="auto"/>
        <w:jc w:val="center"/>
        <w:rPr>
          <w:rFonts w:ascii="Times New Roman" w:hAnsi="Times New Roman"/>
          <w:b/>
          <w:bCs/>
          <w:sz w:val="24"/>
          <w:szCs w:val="24"/>
        </w:rPr>
      </w:pPr>
      <w:r w:rsidRPr="00B86BF8">
        <w:rPr>
          <w:rFonts w:ascii="Times New Roman" w:hAnsi="Times New Roman"/>
          <w:b/>
          <w:bCs/>
          <w:sz w:val="24"/>
          <w:szCs w:val="24"/>
        </w:rPr>
        <w:t>3. OBJEKTAS</w:t>
      </w:r>
    </w:p>
    <w:p w14:paraId="5D10A4E6"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6292F1E8"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r w:rsidRPr="00B86BF8">
        <w:rPr>
          <w:rFonts w:ascii="Times New Roman" w:hAnsi="Times New Roman"/>
          <w:b/>
          <w:bCs/>
          <w:sz w:val="24"/>
          <w:szCs w:val="24"/>
        </w:rPr>
        <w:t>3.1. Bendradarbiavimo objektas</w:t>
      </w:r>
    </w:p>
    <w:p w14:paraId="3A572FC4"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p>
    <w:p w14:paraId="3DD04DEA"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Cs/>
          <w:sz w:val="24"/>
          <w:szCs w:val="24"/>
        </w:rPr>
        <w:t>Bendradarbiavimo objektas – Priemonės „Alternatyva“ įgyvendinimas, t. y. Priemonės „Alternatyva“ F</w:t>
      </w:r>
      <w:r w:rsidR="00901B00" w:rsidRPr="00B86BF8">
        <w:rPr>
          <w:rFonts w:ascii="Times New Roman" w:hAnsi="Times New Roman"/>
          <w:bCs/>
          <w:sz w:val="24"/>
          <w:szCs w:val="24"/>
        </w:rPr>
        <w:t>T</w:t>
      </w:r>
      <w:r w:rsidRPr="00B86BF8">
        <w:rPr>
          <w:rFonts w:ascii="Times New Roman" w:hAnsi="Times New Roman"/>
          <w:bCs/>
          <w:sz w:val="24"/>
          <w:szCs w:val="24"/>
        </w:rPr>
        <w:t xml:space="preserve"> paslaugų teikimas skolinant lėšas Paskolų gavėjams, kaip tai aprašyta žemiau.</w:t>
      </w:r>
    </w:p>
    <w:p w14:paraId="7B49F06E"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Cs/>
          <w:sz w:val="24"/>
          <w:szCs w:val="24"/>
        </w:rPr>
        <w:t xml:space="preserve">Už Priemonės „Alternatyva“ įgyvendinimą </w:t>
      </w:r>
      <w:r w:rsidR="00901B00" w:rsidRPr="00B86BF8">
        <w:rPr>
          <w:rFonts w:ascii="Times New Roman" w:hAnsi="Times New Roman"/>
          <w:bCs/>
          <w:sz w:val="24"/>
          <w:szCs w:val="24"/>
        </w:rPr>
        <w:t>FT</w:t>
      </w:r>
      <w:r w:rsidRPr="00B86BF8">
        <w:rPr>
          <w:rFonts w:ascii="Times New Roman" w:hAnsi="Times New Roman"/>
          <w:bCs/>
          <w:sz w:val="24"/>
          <w:szCs w:val="24"/>
        </w:rPr>
        <w:t xml:space="preserve"> valdymo mokestis nėra mokamas. Visi Paskolos gavėjo </w:t>
      </w:r>
      <w:r w:rsidR="00901B00" w:rsidRPr="00B86BF8">
        <w:rPr>
          <w:rFonts w:ascii="Times New Roman" w:hAnsi="Times New Roman"/>
          <w:bCs/>
          <w:sz w:val="24"/>
          <w:szCs w:val="24"/>
        </w:rPr>
        <w:t>FT</w:t>
      </w:r>
      <w:r w:rsidRPr="00B86BF8">
        <w:rPr>
          <w:rFonts w:ascii="Times New Roman" w:hAnsi="Times New Roman"/>
          <w:bCs/>
          <w:sz w:val="24"/>
          <w:szCs w:val="24"/>
        </w:rPr>
        <w:t xml:space="preserve"> mokami mokesčiai privalo atitikti </w:t>
      </w:r>
      <w:r w:rsidR="00901B00" w:rsidRPr="00B86BF8">
        <w:rPr>
          <w:rFonts w:ascii="Times New Roman" w:hAnsi="Times New Roman"/>
          <w:bCs/>
          <w:sz w:val="24"/>
          <w:szCs w:val="24"/>
        </w:rPr>
        <w:t>FT</w:t>
      </w:r>
      <w:r w:rsidRPr="00B86BF8">
        <w:rPr>
          <w:rFonts w:ascii="Times New Roman" w:hAnsi="Times New Roman"/>
          <w:bCs/>
          <w:sz w:val="24"/>
          <w:szCs w:val="24"/>
        </w:rPr>
        <w:t xml:space="preserve"> rinkos praktiką ir įprastą veiklą. F</w:t>
      </w:r>
      <w:r w:rsidR="00901B00" w:rsidRPr="00B86BF8">
        <w:rPr>
          <w:rFonts w:ascii="Times New Roman" w:hAnsi="Times New Roman"/>
          <w:bCs/>
          <w:sz w:val="24"/>
          <w:szCs w:val="24"/>
        </w:rPr>
        <w:t>T</w:t>
      </w:r>
      <w:r w:rsidRPr="00B86BF8">
        <w:rPr>
          <w:rFonts w:ascii="Times New Roman" w:hAnsi="Times New Roman"/>
          <w:bCs/>
          <w:sz w:val="24"/>
          <w:szCs w:val="24"/>
        </w:rPr>
        <w:t xml:space="preserve"> negali gauti jokių papildomų mokėjimų ir (ar) mokesčių iš Paskolos gavėjo, kurių negautų įprastomis rinkos sąlygomis vien dėl to, kad F</w:t>
      </w:r>
      <w:r w:rsidR="00901B00" w:rsidRPr="00B86BF8">
        <w:rPr>
          <w:rFonts w:ascii="Times New Roman" w:hAnsi="Times New Roman"/>
          <w:bCs/>
          <w:sz w:val="24"/>
          <w:szCs w:val="24"/>
        </w:rPr>
        <w:t>T</w:t>
      </w:r>
      <w:r w:rsidRPr="00B86BF8">
        <w:rPr>
          <w:rFonts w:ascii="Times New Roman" w:hAnsi="Times New Roman"/>
          <w:bCs/>
          <w:sz w:val="24"/>
          <w:szCs w:val="24"/>
        </w:rPr>
        <w:t xml:space="preserve"> naudojasi Priemonės „Alternatyva“ lėšomis.</w:t>
      </w:r>
      <w:r w:rsidR="00B16A2F" w:rsidRPr="00B86BF8">
        <w:rPr>
          <w:rFonts w:ascii="Times New Roman" w:hAnsi="Times New Roman"/>
          <w:bCs/>
          <w:sz w:val="24"/>
          <w:szCs w:val="24"/>
        </w:rPr>
        <w:t xml:space="preserve"> </w:t>
      </w:r>
      <w:r w:rsidR="000C0751" w:rsidRPr="00B86BF8">
        <w:rPr>
          <w:rFonts w:ascii="Times New Roman" w:hAnsi="Times New Roman"/>
          <w:bCs/>
          <w:sz w:val="24"/>
          <w:szCs w:val="24"/>
        </w:rPr>
        <w:t xml:space="preserve"> </w:t>
      </w:r>
    </w:p>
    <w:p w14:paraId="5E99B7C7" w14:textId="357B039A" w:rsidR="00B16A2F" w:rsidRPr="00B86BF8" w:rsidRDefault="00B16A2F"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Cs/>
          <w:sz w:val="24"/>
          <w:szCs w:val="24"/>
        </w:rPr>
        <w:t xml:space="preserve">Jeigu Paskolos </w:t>
      </w:r>
      <w:r w:rsidR="00E373CF" w:rsidRPr="00B86BF8">
        <w:rPr>
          <w:rFonts w:ascii="Times New Roman" w:hAnsi="Times New Roman"/>
          <w:bCs/>
          <w:sz w:val="24"/>
          <w:szCs w:val="24"/>
        </w:rPr>
        <w:t>gavėjui</w:t>
      </w:r>
      <w:r w:rsidRPr="00B86BF8">
        <w:rPr>
          <w:rFonts w:ascii="Times New Roman" w:hAnsi="Times New Roman"/>
          <w:bCs/>
          <w:sz w:val="24"/>
          <w:szCs w:val="24"/>
        </w:rPr>
        <w:t xml:space="preserve"> paskola yra teikiama kaip </w:t>
      </w:r>
      <w:r w:rsidRPr="00B86BF8">
        <w:rPr>
          <w:rFonts w:ascii="Times New Roman" w:hAnsi="Times New Roman"/>
          <w:bCs/>
          <w:i/>
          <w:iCs/>
          <w:sz w:val="24"/>
          <w:szCs w:val="24"/>
        </w:rPr>
        <w:t>de minimis</w:t>
      </w:r>
      <w:r w:rsidRPr="00B86BF8">
        <w:rPr>
          <w:rFonts w:ascii="Times New Roman" w:hAnsi="Times New Roman"/>
          <w:bCs/>
          <w:sz w:val="24"/>
          <w:szCs w:val="24"/>
        </w:rPr>
        <w:t xml:space="preserve"> pagalba</w:t>
      </w:r>
      <w:r w:rsidR="009E5B88" w:rsidRPr="00B86BF8">
        <w:rPr>
          <w:rFonts w:ascii="Times New Roman" w:hAnsi="Times New Roman"/>
          <w:bCs/>
          <w:sz w:val="24"/>
          <w:szCs w:val="24"/>
        </w:rPr>
        <w:t xml:space="preserve">, tokiu atveju Paskolos gavėjui metinė paskolos kaina negali būti didesnė negu </w:t>
      </w:r>
      <w:r w:rsidR="002C2D2D" w:rsidRPr="00B86BF8">
        <w:rPr>
          <w:rFonts w:ascii="Times New Roman" w:hAnsi="Times New Roman"/>
          <w:bCs/>
          <w:sz w:val="24"/>
          <w:szCs w:val="24"/>
        </w:rPr>
        <w:t>7 </w:t>
      </w:r>
      <w:r w:rsidR="009E5B88" w:rsidRPr="00B86BF8">
        <w:rPr>
          <w:rFonts w:ascii="Times New Roman" w:hAnsi="Times New Roman"/>
          <w:bCs/>
          <w:sz w:val="24"/>
          <w:szCs w:val="24"/>
        </w:rPr>
        <w:t>proc. (įskaitant visus galim</w:t>
      </w:r>
      <w:r w:rsidR="00C56038" w:rsidRPr="00B86BF8">
        <w:rPr>
          <w:rFonts w:ascii="Times New Roman" w:hAnsi="Times New Roman"/>
          <w:bCs/>
          <w:sz w:val="24"/>
          <w:szCs w:val="24"/>
        </w:rPr>
        <w:t>us</w:t>
      </w:r>
      <w:r w:rsidR="009E5B88" w:rsidRPr="00B86BF8">
        <w:rPr>
          <w:rFonts w:ascii="Times New Roman" w:hAnsi="Times New Roman"/>
          <w:bCs/>
          <w:sz w:val="24"/>
          <w:szCs w:val="24"/>
        </w:rPr>
        <w:t xml:space="preserve"> mokesčius, kuriuos </w:t>
      </w:r>
      <w:r w:rsidR="00591742" w:rsidRPr="00B86BF8">
        <w:rPr>
          <w:rFonts w:ascii="Times New Roman" w:hAnsi="Times New Roman"/>
          <w:bCs/>
          <w:sz w:val="24"/>
          <w:szCs w:val="24"/>
        </w:rPr>
        <w:t xml:space="preserve">Paskolos gavėjui </w:t>
      </w:r>
      <w:r w:rsidR="009E5B88" w:rsidRPr="00B86BF8">
        <w:rPr>
          <w:rFonts w:ascii="Times New Roman" w:hAnsi="Times New Roman"/>
          <w:bCs/>
          <w:sz w:val="24"/>
          <w:szCs w:val="24"/>
        </w:rPr>
        <w:t xml:space="preserve">taiko FT). </w:t>
      </w:r>
    </w:p>
    <w:p w14:paraId="1A9598A6"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780DCBA1"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
          <w:bCs/>
          <w:sz w:val="24"/>
          <w:szCs w:val="24"/>
        </w:rPr>
        <w:t>3.2. Detalus objekto aprašymas</w:t>
      </w:r>
      <w:r w:rsidRPr="00B86BF8">
        <w:rPr>
          <w:rFonts w:ascii="Times New Roman" w:hAnsi="Times New Roman"/>
          <w:b/>
          <w:bCs/>
          <w:sz w:val="24"/>
          <w:szCs w:val="24"/>
          <w:vertAlign w:val="superscript"/>
        </w:rPr>
        <w:footnoteReference w:id="2"/>
      </w:r>
    </w:p>
    <w:p w14:paraId="4449C996"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5DC7611F" w14:textId="77777777" w:rsidR="005D491B" w:rsidRPr="00B86BF8" w:rsidRDefault="00D44CDB"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Cs/>
          <w:sz w:val="24"/>
          <w:szCs w:val="24"/>
        </w:rPr>
        <w:t>FT</w:t>
      </w:r>
      <w:r w:rsidR="00070CCC" w:rsidRPr="00B86BF8">
        <w:rPr>
          <w:rFonts w:ascii="Times New Roman" w:hAnsi="Times New Roman"/>
          <w:bCs/>
          <w:sz w:val="24"/>
          <w:szCs w:val="24"/>
        </w:rPr>
        <w:t>,</w:t>
      </w:r>
      <w:r w:rsidRPr="00B86BF8">
        <w:rPr>
          <w:rFonts w:ascii="Times New Roman" w:hAnsi="Times New Roman"/>
          <w:bCs/>
          <w:sz w:val="24"/>
          <w:szCs w:val="24"/>
        </w:rPr>
        <w:t xml:space="preserve"> norėdamas įgyvendinti Priemonę „Alternatyva“</w:t>
      </w:r>
      <w:r w:rsidR="00070CCC" w:rsidRPr="00B86BF8">
        <w:rPr>
          <w:rFonts w:ascii="Times New Roman" w:hAnsi="Times New Roman"/>
          <w:bCs/>
          <w:sz w:val="24"/>
          <w:szCs w:val="24"/>
        </w:rPr>
        <w:t>,</w:t>
      </w:r>
      <w:r w:rsidRPr="00B86BF8">
        <w:rPr>
          <w:rFonts w:ascii="Times New Roman" w:hAnsi="Times New Roman"/>
          <w:bCs/>
          <w:sz w:val="24"/>
          <w:szCs w:val="24"/>
        </w:rPr>
        <w:t xml:space="preserve"> teikia </w:t>
      </w:r>
      <w:r w:rsidR="005D491B" w:rsidRPr="00B86BF8">
        <w:rPr>
          <w:rFonts w:ascii="Times New Roman" w:hAnsi="Times New Roman"/>
          <w:bCs/>
          <w:sz w:val="24"/>
          <w:szCs w:val="24"/>
        </w:rPr>
        <w:t xml:space="preserve">prašymą ir dokumentus, reikalingus įvertinti jo atitikimą tinkamumo reikalavimams. Dokumentai, kuriuos turi pateikti </w:t>
      </w:r>
      <w:r w:rsidR="00901B00" w:rsidRPr="00B86BF8">
        <w:rPr>
          <w:rFonts w:ascii="Times New Roman" w:hAnsi="Times New Roman"/>
          <w:bCs/>
          <w:sz w:val="24"/>
          <w:szCs w:val="24"/>
        </w:rPr>
        <w:t>FT</w:t>
      </w:r>
      <w:r w:rsidR="005D491B" w:rsidRPr="00B86BF8">
        <w:rPr>
          <w:rFonts w:ascii="Times New Roman" w:hAnsi="Times New Roman"/>
          <w:bCs/>
          <w:sz w:val="24"/>
          <w:szCs w:val="24"/>
        </w:rPr>
        <w:t xml:space="preserve">, nurodomi „Invegos“ interneto svetainėje </w:t>
      </w:r>
      <w:hyperlink r:id="rId16" w:history="1">
        <w:r w:rsidR="005D491B" w:rsidRPr="00B86BF8">
          <w:rPr>
            <w:rFonts w:ascii="Times New Roman" w:hAnsi="Times New Roman"/>
            <w:bCs/>
            <w:color w:val="0000FF"/>
            <w:sz w:val="24"/>
            <w:szCs w:val="24"/>
            <w:u w:val="single"/>
          </w:rPr>
          <w:t>www.invega.lt</w:t>
        </w:r>
      </w:hyperlink>
      <w:r w:rsidR="005D491B" w:rsidRPr="00B86BF8">
        <w:rPr>
          <w:rFonts w:ascii="Times New Roman" w:hAnsi="Times New Roman"/>
          <w:bCs/>
          <w:sz w:val="24"/>
          <w:szCs w:val="24"/>
        </w:rPr>
        <w:t xml:space="preserve">. Kiekvienas įvertintas ir </w:t>
      </w:r>
      <w:r w:rsidR="00070CCC" w:rsidRPr="00B86BF8">
        <w:rPr>
          <w:rFonts w:ascii="Times New Roman" w:hAnsi="Times New Roman"/>
          <w:bCs/>
          <w:sz w:val="24"/>
          <w:szCs w:val="24"/>
        </w:rPr>
        <w:t>S</w:t>
      </w:r>
      <w:r w:rsidR="005D491B" w:rsidRPr="00B86BF8">
        <w:rPr>
          <w:rFonts w:ascii="Times New Roman" w:hAnsi="Times New Roman"/>
          <w:bCs/>
          <w:sz w:val="24"/>
          <w:szCs w:val="24"/>
        </w:rPr>
        <w:t xml:space="preserve">utartį sudaręs </w:t>
      </w:r>
      <w:r w:rsidR="00901B00" w:rsidRPr="00B86BF8">
        <w:rPr>
          <w:rFonts w:ascii="Times New Roman" w:hAnsi="Times New Roman"/>
          <w:bCs/>
          <w:sz w:val="24"/>
          <w:szCs w:val="24"/>
        </w:rPr>
        <w:t>FT</w:t>
      </w:r>
      <w:r w:rsidR="005D491B" w:rsidRPr="00B86BF8">
        <w:rPr>
          <w:rFonts w:ascii="Times New Roman" w:hAnsi="Times New Roman"/>
          <w:bCs/>
          <w:sz w:val="24"/>
          <w:szCs w:val="24"/>
        </w:rPr>
        <w:t xml:space="preserve"> turi galimybę pagal poreikį naudoti Priemonės </w:t>
      </w:r>
      <w:r w:rsidR="005D491B" w:rsidRPr="00B86BF8">
        <w:rPr>
          <w:rFonts w:ascii="Times New Roman" w:hAnsi="Times New Roman"/>
          <w:sz w:val="24"/>
          <w:szCs w:val="24"/>
        </w:rPr>
        <w:t>„Alternatyva</w:t>
      </w:r>
      <w:r w:rsidR="005D491B" w:rsidRPr="00B86BF8">
        <w:rPr>
          <w:rFonts w:ascii="Times New Roman" w:hAnsi="Times New Roman"/>
          <w:bCs/>
          <w:sz w:val="24"/>
          <w:szCs w:val="24"/>
        </w:rPr>
        <w:t xml:space="preserve">“ lėšas verslo projektams, atitinkantiems Priemonės </w:t>
      </w:r>
      <w:r w:rsidR="005D491B" w:rsidRPr="00B86BF8">
        <w:rPr>
          <w:rFonts w:ascii="Times New Roman" w:hAnsi="Times New Roman"/>
          <w:sz w:val="24"/>
          <w:szCs w:val="24"/>
        </w:rPr>
        <w:t>„Alternatyva</w:t>
      </w:r>
      <w:r w:rsidR="005D491B" w:rsidRPr="00B86BF8">
        <w:rPr>
          <w:rFonts w:ascii="Times New Roman" w:hAnsi="Times New Roman"/>
          <w:bCs/>
          <w:sz w:val="24"/>
          <w:szCs w:val="24"/>
        </w:rPr>
        <w:t>“ sąlygas</w:t>
      </w:r>
      <w:r w:rsidR="006F0DA3" w:rsidRPr="00B86BF8">
        <w:rPr>
          <w:rFonts w:ascii="Times New Roman" w:hAnsi="Times New Roman"/>
          <w:bCs/>
          <w:sz w:val="24"/>
          <w:szCs w:val="24"/>
        </w:rPr>
        <w:t>, finansuoti</w:t>
      </w:r>
      <w:r w:rsidR="005D491B" w:rsidRPr="00B86BF8">
        <w:rPr>
          <w:rFonts w:ascii="Times New Roman" w:hAnsi="Times New Roman"/>
          <w:bCs/>
          <w:sz w:val="24"/>
          <w:szCs w:val="24"/>
        </w:rPr>
        <w:t xml:space="preserve">. </w:t>
      </w:r>
    </w:p>
    <w:p w14:paraId="44E5D61A" w14:textId="662453E5" w:rsidR="005D491B" w:rsidRPr="00B86BF8" w:rsidRDefault="005D491B" w:rsidP="005D491B">
      <w:pPr>
        <w:autoSpaceDE w:val="0"/>
        <w:autoSpaceDN w:val="0"/>
        <w:adjustRightInd w:val="0"/>
        <w:spacing w:after="0" w:line="240" w:lineRule="auto"/>
        <w:ind w:firstLine="851"/>
        <w:jc w:val="both"/>
        <w:rPr>
          <w:rFonts w:ascii="Times New Roman" w:hAnsi="Times New Roman"/>
          <w:sz w:val="24"/>
          <w:szCs w:val="24"/>
        </w:rPr>
      </w:pPr>
      <w:r w:rsidRPr="00B86BF8">
        <w:rPr>
          <w:rFonts w:ascii="Times New Roman" w:hAnsi="Times New Roman"/>
          <w:sz w:val="24"/>
          <w:szCs w:val="24"/>
        </w:rPr>
        <w:lastRenderedPageBreak/>
        <w:t xml:space="preserve">Priemonės „Alternatyva“ lėšos, kurias </w:t>
      </w:r>
      <w:r w:rsidR="00901B00" w:rsidRPr="00B86BF8">
        <w:rPr>
          <w:rFonts w:ascii="Times New Roman" w:hAnsi="Times New Roman"/>
          <w:sz w:val="24"/>
          <w:szCs w:val="24"/>
        </w:rPr>
        <w:t>FT</w:t>
      </w:r>
      <w:r w:rsidRPr="00B86BF8">
        <w:rPr>
          <w:rFonts w:ascii="Times New Roman" w:hAnsi="Times New Roman"/>
          <w:sz w:val="24"/>
          <w:szCs w:val="24"/>
        </w:rPr>
        <w:t xml:space="preserve"> skolins Paskolos gavėjams, yra pervedamos į </w:t>
      </w:r>
      <w:r w:rsidR="00901B00" w:rsidRPr="00B86BF8">
        <w:rPr>
          <w:rFonts w:ascii="Times New Roman" w:hAnsi="Times New Roman"/>
          <w:sz w:val="24"/>
          <w:szCs w:val="24"/>
        </w:rPr>
        <w:t>FT</w:t>
      </w:r>
      <w:r w:rsidRPr="00B86BF8">
        <w:rPr>
          <w:rFonts w:ascii="Times New Roman" w:hAnsi="Times New Roman"/>
          <w:sz w:val="24"/>
          <w:szCs w:val="24"/>
        </w:rPr>
        <w:t xml:space="preserve"> sąskait</w:t>
      </w:r>
      <w:r w:rsidR="002A4D68" w:rsidRPr="00B86BF8">
        <w:rPr>
          <w:rFonts w:ascii="Times New Roman" w:hAnsi="Times New Roman"/>
          <w:sz w:val="24"/>
          <w:szCs w:val="24"/>
        </w:rPr>
        <w:t>as</w:t>
      </w:r>
      <w:r w:rsidRPr="00B86BF8">
        <w:rPr>
          <w:rFonts w:ascii="Times New Roman" w:hAnsi="Times New Roman"/>
          <w:sz w:val="24"/>
          <w:szCs w:val="24"/>
        </w:rPr>
        <w:t xml:space="preserve"> </w:t>
      </w:r>
      <w:r w:rsidR="00901B00" w:rsidRPr="00B86BF8">
        <w:rPr>
          <w:rFonts w:ascii="Times New Roman" w:hAnsi="Times New Roman"/>
          <w:sz w:val="24"/>
          <w:szCs w:val="24"/>
        </w:rPr>
        <w:t>FT</w:t>
      </w:r>
      <w:r w:rsidRPr="00B86BF8">
        <w:rPr>
          <w:rFonts w:ascii="Times New Roman" w:hAnsi="Times New Roman"/>
          <w:sz w:val="24"/>
          <w:szCs w:val="24"/>
        </w:rPr>
        <w:t xml:space="preserve"> pateikus prašymą „Invegai“ dėl atitinkamos sumos išmokėjimo. Kartu su prašymu pateikiama informacija apie pasirašytas </w:t>
      </w:r>
      <w:r w:rsidR="00141655" w:rsidRPr="00B86BF8">
        <w:rPr>
          <w:rFonts w:ascii="Times New Roman" w:hAnsi="Times New Roman"/>
          <w:sz w:val="24"/>
          <w:szCs w:val="24"/>
        </w:rPr>
        <w:t>P</w:t>
      </w:r>
      <w:r w:rsidRPr="00B86BF8">
        <w:rPr>
          <w:rFonts w:ascii="Times New Roman" w:hAnsi="Times New Roman"/>
          <w:sz w:val="24"/>
          <w:szCs w:val="24"/>
        </w:rPr>
        <w:t>askolos sutartis, nurodant reikiamą Priemonės „Alternatyva“ lėšų sumą</w:t>
      </w:r>
      <w:r w:rsidR="00591742" w:rsidRPr="00B86BF8">
        <w:rPr>
          <w:rFonts w:ascii="Times New Roman" w:hAnsi="Times New Roman"/>
          <w:sz w:val="24"/>
          <w:szCs w:val="24"/>
        </w:rPr>
        <w:t xml:space="preserve"> pagal Priemonę „Alternatyva“ rinkos sąlygomis ir/ar Priemonę „Alternatyva“ </w:t>
      </w:r>
      <w:r w:rsidR="00591742" w:rsidRPr="00B86BF8">
        <w:rPr>
          <w:rFonts w:ascii="Times New Roman" w:hAnsi="Times New Roman"/>
          <w:i/>
          <w:iCs/>
          <w:sz w:val="24"/>
          <w:szCs w:val="24"/>
        </w:rPr>
        <w:t>de minimis</w:t>
      </w:r>
      <w:r w:rsidR="00591742" w:rsidRPr="00B86BF8">
        <w:rPr>
          <w:rFonts w:ascii="Times New Roman" w:hAnsi="Times New Roman"/>
          <w:sz w:val="24"/>
          <w:szCs w:val="24"/>
        </w:rPr>
        <w:t xml:space="preserve"> pagalba</w:t>
      </w:r>
      <w:r w:rsidRPr="00B86BF8">
        <w:rPr>
          <w:rFonts w:ascii="Times New Roman" w:hAnsi="Times New Roman"/>
          <w:sz w:val="24"/>
          <w:szCs w:val="24"/>
        </w:rPr>
        <w:t xml:space="preserve">. Po Sutarties pasirašymo ir sąlygų dėl užtikrinimo priemonių įvykdymo, </w:t>
      </w:r>
      <w:r w:rsidR="00901B00" w:rsidRPr="00B86BF8">
        <w:rPr>
          <w:rFonts w:ascii="Times New Roman" w:hAnsi="Times New Roman"/>
          <w:sz w:val="24"/>
          <w:szCs w:val="24"/>
        </w:rPr>
        <w:t>FT</w:t>
      </w:r>
      <w:r w:rsidRPr="00B86BF8">
        <w:rPr>
          <w:rFonts w:ascii="Times New Roman" w:hAnsi="Times New Roman"/>
          <w:sz w:val="24"/>
          <w:szCs w:val="24"/>
        </w:rPr>
        <w:t xml:space="preserve"> prašymu </w:t>
      </w:r>
      <w:r w:rsidR="00901B00" w:rsidRPr="00B86BF8">
        <w:rPr>
          <w:rFonts w:ascii="Times New Roman" w:hAnsi="Times New Roman"/>
          <w:sz w:val="24"/>
          <w:szCs w:val="24"/>
        </w:rPr>
        <w:t>FT</w:t>
      </w:r>
      <w:r w:rsidRPr="00B86BF8">
        <w:rPr>
          <w:rFonts w:ascii="Times New Roman" w:hAnsi="Times New Roman"/>
          <w:sz w:val="24"/>
          <w:szCs w:val="24"/>
        </w:rPr>
        <w:t xml:space="preserve"> gali būti pervedamas avansas paskoloms teikti, kuris negali būti didesnis kaip 200 000 Eur. </w:t>
      </w:r>
      <w:r w:rsidR="00901B00" w:rsidRPr="00B86BF8">
        <w:rPr>
          <w:rFonts w:ascii="Times New Roman" w:hAnsi="Times New Roman"/>
          <w:sz w:val="24"/>
          <w:szCs w:val="24"/>
        </w:rPr>
        <w:t>FT</w:t>
      </w:r>
      <w:r w:rsidRPr="00B86BF8">
        <w:rPr>
          <w:rFonts w:ascii="Times New Roman" w:hAnsi="Times New Roman"/>
          <w:sz w:val="24"/>
          <w:szCs w:val="24"/>
        </w:rPr>
        <w:t xml:space="preserve"> panaudojus avanso lėšas, jis gali teikti prašymą atstatyti avanso sumą.</w:t>
      </w:r>
      <w:r w:rsidR="00A62CC7" w:rsidRPr="00B86BF8">
        <w:rPr>
          <w:rFonts w:ascii="Times New Roman" w:hAnsi="Times New Roman"/>
          <w:sz w:val="24"/>
          <w:szCs w:val="24"/>
        </w:rPr>
        <w:t xml:space="preserve"> Teikdamas mokėjimo prašymą FT nurodo</w:t>
      </w:r>
      <w:r w:rsidR="00DE203D" w:rsidRPr="00B86BF8">
        <w:rPr>
          <w:rFonts w:ascii="Times New Roman" w:hAnsi="Times New Roman"/>
          <w:sz w:val="24"/>
          <w:szCs w:val="24"/>
        </w:rPr>
        <w:t xml:space="preserve"> </w:t>
      </w:r>
      <w:r w:rsidR="001E4708" w:rsidRPr="00B86BF8">
        <w:rPr>
          <w:rFonts w:ascii="Times New Roman" w:hAnsi="Times New Roman"/>
          <w:sz w:val="24"/>
          <w:szCs w:val="24"/>
        </w:rPr>
        <w:t>kokia Priemonės „Alternatyva“ lėšų sum</w:t>
      </w:r>
      <w:r w:rsidR="00087403" w:rsidRPr="00B86BF8">
        <w:rPr>
          <w:rFonts w:ascii="Times New Roman" w:hAnsi="Times New Roman"/>
          <w:sz w:val="24"/>
          <w:szCs w:val="24"/>
        </w:rPr>
        <w:t>a</w:t>
      </w:r>
      <w:r w:rsidR="001E4708" w:rsidRPr="00B86BF8">
        <w:rPr>
          <w:rFonts w:ascii="Times New Roman" w:hAnsi="Times New Roman"/>
          <w:sz w:val="24"/>
          <w:szCs w:val="24"/>
        </w:rPr>
        <w:t xml:space="preserve"> yra skolinama FT </w:t>
      </w:r>
      <w:r w:rsidR="00F9728D" w:rsidRPr="00B86BF8">
        <w:rPr>
          <w:rFonts w:ascii="Times New Roman" w:hAnsi="Times New Roman"/>
          <w:sz w:val="24"/>
          <w:szCs w:val="24"/>
        </w:rPr>
        <w:t>pagal Priemon</w:t>
      </w:r>
      <w:r w:rsidR="00181915" w:rsidRPr="00B86BF8">
        <w:rPr>
          <w:rFonts w:ascii="Times New Roman" w:hAnsi="Times New Roman"/>
          <w:sz w:val="24"/>
          <w:szCs w:val="24"/>
        </w:rPr>
        <w:t>ę</w:t>
      </w:r>
      <w:r w:rsidR="00F9728D" w:rsidRPr="00B86BF8">
        <w:rPr>
          <w:rFonts w:ascii="Times New Roman" w:hAnsi="Times New Roman"/>
          <w:sz w:val="24"/>
          <w:szCs w:val="24"/>
        </w:rPr>
        <w:t xml:space="preserve"> „Alternatyva“</w:t>
      </w:r>
      <w:r w:rsidR="005E6249" w:rsidRPr="00B86BF8">
        <w:rPr>
          <w:rFonts w:ascii="Times New Roman" w:hAnsi="Times New Roman"/>
          <w:sz w:val="24"/>
          <w:szCs w:val="24"/>
        </w:rPr>
        <w:t xml:space="preserve"> </w:t>
      </w:r>
      <w:r w:rsidR="001E4708" w:rsidRPr="00B86BF8">
        <w:rPr>
          <w:rFonts w:ascii="Times New Roman" w:hAnsi="Times New Roman"/>
          <w:sz w:val="24"/>
          <w:szCs w:val="24"/>
        </w:rPr>
        <w:t xml:space="preserve">rinkos </w:t>
      </w:r>
      <w:r w:rsidR="00591742" w:rsidRPr="00B86BF8">
        <w:rPr>
          <w:rFonts w:ascii="Times New Roman" w:hAnsi="Times New Roman"/>
          <w:sz w:val="24"/>
          <w:szCs w:val="24"/>
        </w:rPr>
        <w:t>sąlygomis</w:t>
      </w:r>
      <w:r w:rsidR="00A7773B" w:rsidRPr="00B86BF8">
        <w:rPr>
          <w:rFonts w:ascii="Times New Roman" w:hAnsi="Times New Roman"/>
          <w:sz w:val="24"/>
          <w:szCs w:val="24"/>
        </w:rPr>
        <w:t xml:space="preserve">, o kuri – </w:t>
      </w:r>
      <w:r w:rsidR="00E17C6B" w:rsidRPr="00B86BF8">
        <w:rPr>
          <w:rFonts w:ascii="Times New Roman" w:hAnsi="Times New Roman"/>
          <w:sz w:val="24"/>
          <w:szCs w:val="24"/>
        </w:rPr>
        <w:t>pagal Priemon</w:t>
      </w:r>
      <w:r w:rsidR="00F9728D" w:rsidRPr="00B86BF8">
        <w:rPr>
          <w:rFonts w:ascii="Times New Roman" w:hAnsi="Times New Roman"/>
          <w:sz w:val="24"/>
          <w:szCs w:val="24"/>
        </w:rPr>
        <w:t xml:space="preserve">ę „Alternatyva“ </w:t>
      </w:r>
      <w:r w:rsidR="00A7773B" w:rsidRPr="00B86BF8">
        <w:rPr>
          <w:rFonts w:ascii="Times New Roman" w:hAnsi="Times New Roman"/>
          <w:i/>
          <w:iCs/>
          <w:sz w:val="24"/>
          <w:szCs w:val="24"/>
        </w:rPr>
        <w:t>de minimis</w:t>
      </w:r>
      <w:r w:rsidR="00F9728D" w:rsidRPr="00B86BF8">
        <w:rPr>
          <w:rFonts w:ascii="Times New Roman" w:hAnsi="Times New Roman"/>
          <w:sz w:val="24"/>
          <w:szCs w:val="24"/>
        </w:rPr>
        <w:t xml:space="preserve"> pagalba</w:t>
      </w:r>
      <w:r w:rsidR="00AC2A5B" w:rsidRPr="00B86BF8">
        <w:rPr>
          <w:rFonts w:ascii="Times New Roman" w:hAnsi="Times New Roman"/>
          <w:sz w:val="24"/>
          <w:szCs w:val="24"/>
        </w:rPr>
        <w:t xml:space="preserve">. </w:t>
      </w:r>
    </w:p>
    <w:p w14:paraId="4053763E" w14:textId="77777777" w:rsidR="0000159D"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B86BF8">
        <w:rPr>
          <w:rFonts w:ascii="Times New Roman" w:hAnsi="Times New Roman"/>
          <w:bCs/>
          <w:sz w:val="24"/>
          <w:szCs w:val="24"/>
        </w:rPr>
        <w:t xml:space="preserve">Priemonės </w:t>
      </w:r>
      <w:r w:rsidRPr="00B86BF8">
        <w:rPr>
          <w:rFonts w:ascii="Times New Roman" w:hAnsi="Times New Roman"/>
          <w:sz w:val="24"/>
          <w:szCs w:val="24"/>
        </w:rPr>
        <w:t>„Alternatyva</w:t>
      </w:r>
      <w:r w:rsidRPr="00B86BF8">
        <w:rPr>
          <w:rFonts w:ascii="Times New Roman" w:hAnsi="Times New Roman"/>
          <w:bCs/>
          <w:sz w:val="24"/>
          <w:szCs w:val="24"/>
        </w:rPr>
        <w:t xml:space="preserve">“ lėšomis gali būti finansuojama ne didesnė kaip 90 proc. Paskolos gavėjui suteikiamos paskolos dalis. Likusi paskolos dalis turi būti finansuojama </w:t>
      </w:r>
      <w:r w:rsidR="00901B00" w:rsidRPr="00B86BF8">
        <w:rPr>
          <w:rFonts w:ascii="Times New Roman" w:hAnsi="Times New Roman"/>
          <w:bCs/>
          <w:sz w:val="24"/>
          <w:szCs w:val="24"/>
        </w:rPr>
        <w:t>FT</w:t>
      </w:r>
      <w:r w:rsidRPr="00B86BF8">
        <w:rPr>
          <w:rFonts w:ascii="Times New Roman" w:hAnsi="Times New Roman"/>
          <w:bCs/>
          <w:sz w:val="24"/>
          <w:szCs w:val="24"/>
        </w:rPr>
        <w:t xml:space="preserve"> lėšomis. </w:t>
      </w:r>
    </w:p>
    <w:p w14:paraId="5CEBF759"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Cs/>
          <w:sz w:val="24"/>
          <w:szCs w:val="24"/>
        </w:rPr>
      </w:pPr>
    </w:p>
    <w:p w14:paraId="637CEE77" w14:textId="77777777" w:rsidR="005D491B" w:rsidRPr="00B86BF8"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4AD542F7" w14:textId="77777777" w:rsidR="005D491B" w:rsidRPr="00B86BF8" w:rsidRDefault="005D491B" w:rsidP="00043BA4">
      <w:pPr>
        <w:jc w:val="center"/>
        <w:rPr>
          <w:rFonts w:ascii="Times New Roman" w:hAnsi="Times New Roman"/>
          <w:b/>
          <w:sz w:val="24"/>
        </w:rPr>
      </w:pPr>
      <w:r w:rsidRPr="00B86BF8">
        <w:rPr>
          <w:rFonts w:ascii="Times New Roman" w:hAnsi="Times New Roman"/>
          <w:b/>
          <w:sz w:val="24"/>
        </w:rPr>
        <w:t>4. PRIEMONĖS „ALTERNATYVA“ SĄLYGOS</w:t>
      </w:r>
    </w:p>
    <w:tbl>
      <w:tblPr>
        <w:tblStyle w:val="TableGrid3"/>
        <w:tblW w:w="15126" w:type="dxa"/>
        <w:tblLook w:val="04A0" w:firstRow="1" w:lastRow="0" w:firstColumn="1" w:lastColumn="0" w:noHBand="0" w:noVBand="1"/>
      </w:tblPr>
      <w:tblGrid>
        <w:gridCol w:w="3139"/>
        <w:gridCol w:w="5928"/>
        <w:gridCol w:w="6059"/>
      </w:tblGrid>
      <w:tr w:rsidR="003F62C9" w:rsidRPr="00B86BF8" w14:paraId="5B1405DB" w14:textId="77777777" w:rsidTr="00096157">
        <w:trPr>
          <w:trHeight w:val="315"/>
        </w:trPr>
        <w:tc>
          <w:tcPr>
            <w:tcW w:w="3139" w:type="dxa"/>
            <w:noWrap/>
          </w:tcPr>
          <w:p w14:paraId="7276E19B" w14:textId="77777777" w:rsidR="003F62C9" w:rsidRPr="00B86BF8" w:rsidRDefault="003F62C9" w:rsidP="00043BA4">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Priemonės pavadinimas</w:t>
            </w:r>
          </w:p>
        </w:tc>
        <w:tc>
          <w:tcPr>
            <w:tcW w:w="11987" w:type="dxa"/>
            <w:gridSpan w:val="2"/>
            <w:noWrap/>
          </w:tcPr>
          <w:p w14:paraId="55B9FC61" w14:textId="77777777" w:rsidR="003F62C9" w:rsidRPr="00B86BF8" w:rsidRDefault="003F62C9" w:rsidP="005D491B">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Skatinamoji finansinė priemonė „Alternatyva“ </w:t>
            </w:r>
          </w:p>
        </w:tc>
      </w:tr>
      <w:tr w:rsidR="00096157" w:rsidRPr="00B86BF8" w14:paraId="2C4B4A34" w14:textId="77777777" w:rsidTr="005B72F7">
        <w:tc>
          <w:tcPr>
            <w:tcW w:w="3139" w:type="dxa"/>
            <w:vMerge w:val="restart"/>
          </w:tcPr>
          <w:p w14:paraId="2A317CA0" w14:textId="1AB36FB4" w:rsidR="00096157" w:rsidRPr="00B86BF8" w:rsidRDefault="00096157" w:rsidP="000C61C4">
            <w:pPr>
              <w:autoSpaceDE w:val="0"/>
              <w:autoSpaceDN w:val="0"/>
              <w:spacing w:after="0" w:line="240" w:lineRule="auto"/>
              <w:contextualSpacing/>
              <w:jc w:val="both"/>
              <w:rPr>
                <w:rFonts w:ascii="Times New Roman" w:hAnsi="Times New Roman"/>
                <w:b/>
                <w:bCs/>
                <w:sz w:val="24"/>
                <w:szCs w:val="24"/>
                <w:lang w:val="lt-LT"/>
              </w:rPr>
            </w:pPr>
            <w:r w:rsidRPr="00B86BF8">
              <w:rPr>
                <w:rFonts w:ascii="Times New Roman" w:hAnsi="Times New Roman"/>
                <w:b/>
                <w:bCs/>
                <w:sz w:val="24"/>
                <w:szCs w:val="24"/>
                <w:lang w:val="lt-LT"/>
              </w:rPr>
              <w:t xml:space="preserve">Priemonės teikimo sąlygos </w:t>
            </w:r>
            <w:r w:rsidR="00AF2A6F" w:rsidRPr="009E2E5A">
              <w:rPr>
                <w:rFonts w:ascii="Times New Roman" w:hAnsi="Times New Roman"/>
                <w:sz w:val="20"/>
                <w:szCs w:val="20"/>
                <w:lang w:val="lt-LT"/>
              </w:rPr>
              <w:t>(pastaba:</w:t>
            </w:r>
            <w:r w:rsidR="00AF2A6F" w:rsidRPr="00B86BF8">
              <w:rPr>
                <w:rFonts w:ascii="Times New Roman" w:hAnsi="Times New Roman"/>
                <w:b/>
                <w:bCs/>
                <w:lang w:val="lt-LT"/>
              </w:rPr>
              <w:t xml:space="preserve"> </w:t>
            </w:r>
            <w:r w:rsidR="00AF2A6F" w:rsidRPr="00CA1B6D">
              <w:rPr>
                <w:rFonts w:ascii="Times New Roman" w:hAnsi="Times New Roman"/>
                <w:sz w:val="20"/>
                <w:szCs w:val="20"/>
                <w:lang w:val="lt-LT"/>
              </w:rPr>
              <w:t>s</w:t>
            </w:r>
            <w:r w:rsidR="00AF2A6F" w:rsidRPr="00B86BF8">
              <w:rPr>
                <w:rFonts w:ascii="Times New Roman" w:hAnsi="Times New Roman"/>
                <w:sz w:val="20"/>
                <w:szCs w:val="20"/>
                <w:lang w:val="lt-LT"/>
              </w:rPr>
              <w:t>ąlygos, kurios yra taikomos tik vienai iš Priemonės „Alternatyva“ dalių nurodomos atskiruose stulpeliuose; sąlygos, kurios yra  taikomos abiem Priemonės „Alternatyva“ dalims, nurodomos bendrai)</w:t>
            </w:r>
          </w:p>
        </w:tc>
        <w:tc>
          <w:tcPr>
            <w:tcW w:w="5928" w:type="dxa"/>
          </w:tcPr>
          <w:p w14:paraId="4786C657" w14:textId="77777777" w:rsidR="00096157" w:rsidRPr="00B86BF8" w:rsidRDefault="00096157" w:rsidP="00591742">
            <w:pPr>
              <w:autoSpaceDE w:val="0"/>
              <w:autoSpaceDN w:val="0"/>
              <w:spacing w:after="0" w:line="240" w:lineRule="auto"/>
              <w:contextualSpacing/>
              <w:jc w:val="both"/>
              <w:rPr>
                <w:rFonts w:ascii="Times New Roman" w:hAnsi="Times New Roman"/>
                <w:b/>
                <w:bCs/>
                <w:sz w:val="24"/>
                <w:szCs w:val="24"/>
                <w:lang w:val="lt-LT"/>
              </w:rPr>
            </w:pPr>
            <w:r w:rsidRPr="00B86BF8">
              <w:rPr>
                <w:rFonts w:ascii="Times New Roman" w:hAnsi="Times New Roman"/>
                <w:b/>
                <w:bCs/>
                <w:sz w:val="24"/>
                <w:szCs w:val="24"/>
                <w:lang w:val="lt-LT"/>
              </w:rPr>
              <w:t>Priemonė „Alternatyva“ rinkos sąlygomis</w:t>
            </w:r>
          </w:p>
        </w:tc>
        <w:tc>
          <w:tcPr>
            <w:tcW w:w="6059" w:type="dxa"/>
            <w:shd w:val="clear" w:color="auto" w:fill="auto"/>
          </w:tcPr>
          <w:p w14:paraId="1873C4A2" w14:textId="77777777" w:rsidR="00096157" w:rsidRPr="00B86BF8" w:rsidRDefault="00096157" w:rsidP="00591742">
            <w:pPr>
              <w:autoSpaceDE w:val="0"/>
              <w:autoSpaceDN w:val="0"/>
              <w:spacing w:after="0" w:line="240" w:lineRule="auto"/>
              <w:contextualSpacing/>
              <w:jc w:val="both"/>
              <w:rPr>
                <w:rFonts w:ascii="Times New Roman" w:hAnsi="Times New Roman"/>
                <w:b/>
                <w:bCs/>
                <w:sz w:val="24"/>
                <w:szCs w:val="24"/>
                <w:lang w:val="lt-LT"/>
              </w:rPr>
            </w:pPr>
            <w:r w:rsidRPr="00B86BF8">
              <w:rPr>
                <w:rFonts w:ascii="Times New Roman" w:hAnsi="Times New Roman"/>
                <w:b/>
                <w:bCs/>
                <w:sz w:val="24"/>
                <w:szCs w:val="24"/>
                <w:lang w:val="lt-LT"/>
              </w:rPr>
              <w:t xml:space="preserve">Priemonė „Alternatyva“ </w:t>
            </w:r>
            <w:r w:rsidRPr="00B86BF8">
              <w:rPr>
                <w:rFonts w:ascii="Times New Roman" w:hAnsi="Times New Roman"/>
                <w:b/>
                <w:bCs/>
                <w:i/>
                <w:iCs/>
                <w:sz w:val="24"/>
                <w:szCs w:val="24"/>
                <w:lang w:val="lt-LT"/>
              </w:rPr>
              <w:t>de minimis</w:t>
            </w:r>
            <w:r w:rsidRPr="00B86BF8">
              <w:rPr>
                <w:rFonts w:ascii="Times New Roman" w:hAnsi="Times New Roman"/>
                <w:b/>
                <w:bCs/>
                <w:sz w:val="24"/>
                <w:szCs w:val="24"/>
                <w:lang w:val="lt-LT"/>
              </w:rPr>
              <w:t xml:space="preserve"> pagalba </w:t>
            </w:r>
          </w:p>
        </w:tc>
      </w:tr>
      <w:tr w:rsidR="00096157" w:rsidRPr="00B86BF8" w14:paraId="59F74EAB" w14:textId="77777777" w:rsidTr="00096157">
        <w:tc>
          <w:tcPr>
            <w:tcW w:w="3139" w:type="dxa"/>
            <w:vMerge/>
          </w:tcPr>
          <w:p w14:paraId="5F6A6E14" w14:textId="77777777" w:rsidR="00096157" w:rsidRPr="00DE1B1F" w:rsidRDefault="00096157" w:rsidP="00591742">
            <w:pPr>
              <w:spacing w:after="0" w:line="240" w:lineRule="auto"/>
              <w:rPr>
                <w:rFonts w:ascii="Times New Roman" w:hAnsi="Times New Roman"/>
                <w:b/>
                <w:sz w:val="24"/>
                <w:lang w:val="lt-LT"/>
              </w:rPr>
            </w:pPr>
          </w:p>
        </w:tc>
        <w:tc>
          <w:tcPr>
            <w:tcW w:w="11987" w:type="dxa"/>
            <w:gridSpan w:val="2"/>
          </w:tcPr>
          <w:p w14:paraId="110DD028" w14:textId="0A682621" w:rsidR="00096157" w:rsidRPr="00B86BF8" w:rsidRDefault="00096157" w:rsidP="00591742">
            <w:pPr>
              <w:autoSpaceDE w:val="0"/>
              <w:autoSpaceDN w:val="0"/>
              <w:spacing w:after="0" w:line="240" w:lineRule="auto"/>
              <w:contextualSpacing/>
              <w:jc w:val="both"/>
              <w:rPr>
                <w:rFonts w:ascii="Times New Roman" w:hAnsi="Times New Roman"/>
                <w:b/>
                <w:bCs/>
                <w:sz w:val="24"/>
                <w:szCs w:val="24"/>
                <w:lang w:val="lt-LT"/>
              </w:rPr>
            </w:pPr>
          </w:p>
        </w:tc>
      </w:tr>
      <w:tr w:rsidR="006830DE" w:rsidRPr="00B86BF8" w14:paraId="6033ED6E" w14:textId="77777777" w:rsidTr="005B72F7">
        <w:tc>
          <w:tcPr>
            <w:tcW w:w="3139" w:type="dxa"/>
          </w:tcPr>
          <w:p w14:paraId="7F91E28A" w14:textId="77777777" w:rsidR="006830DE" w:rsidRPr="00B86BF8" w:rsidRDefault="007D5A0D" w:rsidP="00043BA4">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Valstybės pagalbos nuostatos</w:t>
            </w:r>
          </w:p>
        </w:tc>
        <w:tc>
          <w:tcPr>
            <w:tcW w:w="5928" w:type="dxa"/>
          </w:tcPr>
          <w:p w14:paraId="1AACC1F8" w14:textId="77777777" w:rsidR="006830DE" w:rsidRPr="00B86BF8" w:rsidRDefault="006830DE" w:rsidP="005D491B">
            <w:pPr>
              <w:autoSpaceDE w:val="0"/>
              <w:autoSpaceDN w:val="0"/>
              <w:spacing w:after="0" w:line="240" w:lineRule="auto"/>
              <w:contextualSpacing/>
              <w:jc w:val="both"/>
              <w:rPr>
                <w:rFonts w:ascii="Times New Roman" w:eastAsia="Times New Roman" w:hAnsi="Times New Roman"/>
                <w:sz w:val="24"/>
                <w:szCs w:val="24"/>
                <w:lang w:val="lt-LT"/>
              </w:rPr>
            </w:pPr>
            <w:r w:rsidRPr="00B86BF8">
              <w:rPr>
                <w:rFonts w:ascii="Times New Roman" w:eastAsia="Times New Roman" w:hAnsi="Times New Roman"/>
                <w:sz w:val="24"/>
                <w:szCs w:val="24"/>
                <w:lang w:val="lt-LT"/>
              </w:rPr>
              <w:t>Teikiant rinkos sąlygomis, valstybės pagalbos nuostatos netaikomos</w:t>
            </w:r>
          </w:p>
        </w:tc>
        <w:tc>
          <w:tcPr>
            <w:tcW w:w="6059" w:type="dxa"/>
          </w:tcPr>
          <w:p w14:paraId="709A080E" w14:textId="77777777" w:rsidR="006830DE" w:rsidRPr="00B86BF8" w:rsidRDefault="006830DE" w:rsidP="005D491B">
            <w:pPr>
              <w:autoSpaceDE w:val="0"/>
              <w:autoSpaceDN w:val="0"/>
              <w:spacing w:after="0" w:line="240" w:lineRule="auto"/>
              <w:contextualSpacing/>
              <w:jc w:val="both"/>
              <w:rPr>
                <w:rFonts w:ascii="Times New Roman" w:eastAsia="Times New Roman" w:hAnsi="Times New Roman"/>
                <w:sz w:val="24"/>
                <w:szCs w:val="24"/>
                <w:lang w:val="lt-LT"/>
              </w:rPr>
            </w:pPr>
            <w:r w:rsidRPr="00B86BF8">
              <w:rPr>
                <w:rFonts w:ascii="Times New Roman" w:eastAsia="Times New Roman" w:hAnsi="Times New Roman"/>
                <w:sz w:val="24"/>
                <w:szCs w:val="24"/>
                <w:lang w:val="lt-LT"/>
              </w:rPr>
              <w:t xml:space="preserve">2013 m. gruodžio 18 d. Komisijos Reglamentas (ES) Nr. 1407/2013 dėl Sutarties dėl Europos Sąjungos veikimo 107 ir 108 straipsnių taikymo </w:t>
            </w:r>
            <w:r w:rsidRPr="00B86BF8">
              <w:rPr>
                <w:rFonts w:ascii="Times New Roman" w:eastAsia="Times New Roman" w:hAnsi="Times New Roman"/>
                <w:i/>
                <w:sz w:val="24"/>
                <w:szCs w:val="24"/>
                <w:lang w:val="lt-LT"/>
              </w:rPr>
              <w:t>de minimis</w:t>
            </w:r>
            <w:r w:rsidRPr="00B86BF8">
              <w:rPr>
                <w:rFonts w:ascii="Times New Roman" w:eastAsia="Times New Roman" w:hAnsi="Times New Roman"/>
                <w:sz w:val="24"/>
                <w:szCs w:val="24"/>
                <w:lang w:val="lt-LT"/>
              </w:rPr>
              <w:t xml:space="preserve"> pagalbai (OJ 2013 L 352, p. 1) (toliau – Reglamentas (ES) Nr. 1407/2013)</w:t>
            </w:r>
          </w:p>
        </w:tc>
      </w:tr>
      <w:tr w:rsidR="00F2401D" w:rsidRPr="00B86BF8" w14:paraId="52BEE018" w14:textId="77777777" w:rsidTr="00096157">
        <w:tc>
          <w:tcPr>
            <w:tcW w:w="3139" w:type="dxa"/>
          </w:tcPr>
          <w:p w14:paraId="432887FA" w14:textId="77777777" w:rsidR="00F2401D" w:rsidRPr="00B86BF8" w:rsidRDefault="00F2401D" w:rsidP="00F2401D">
            <w:pPr>
              <w:spacing w:after="0" w:line="240" w:lineRule="auto"/>
              <w:rPr>
                <w:rFonts w:ascii="Times New Roman" w:hAnsi="Times New Roman"/>
                <w:b/>
                <w:bCs/>
                <w:sz w:val="24"/>
                <w:szCs w:val="24"/>
                <w:lang w:val="lt-LT"/>
              </w:rPr>
            </w:pPr>
            <w:r w:rsidRPr="00B86BF8">
              <w:rPr>
                <w:rFonts w:ascii="Times New Roman" w:hAnsi="Times New Roman"/>
                <w:b/>
                <w:bCs/>
                <w:sz w:val="24"/>
                <w:szCs w:val="24"/>
                <w:lang w:val="lt-LT"/>
              </w:rPr>
              <w:t>Sutartis</w:t>
            </w:r>
          </w:p>
        </w:tc>
        <w:tc>
          <w:tcPr>
            <w:tcW w:w="11987" w:type="dxa"/>
            <w:gridSpan w:val="2"/>
          </w:tcPr>
          <w:p w14:paraId="04F554B2" w14:textId="4FDFA09E" w:rsidR="00F2401D" w:rsidRPr="00B86BF8" w:rsidRDefault="00F2401D" w:rsidP="00F2401D">
            <w:pPr>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Sutartis, pasirašyta su tinkamumo reikalavimus atitinkančiu FT</w:t>
            </w:r>
            <w:r w:rsidR="00F9175B" w:rsidRPr="00B86BF8">
              <w:rPr>
                <w:rFonts w:ascii="Times New Roman" w:hAnsi="Times New Roman"/>
                <w:sz w:val="24"/>
                <w:szCs w:val="24"/>
                <w:lang w:val="lt-LT"/>
              </w:rPr>
              <w:t xml:space="preserve"> dėl priemonės „Alternatyva“ įgyvendinimo</w:t>
            </w:r>
          </w:p>
        </w:tc>
      </w:tr>
      <w:tr w:rsidR="00F2401D" w:rsidRPr="00B86BF8" w14:paraId="1DB6E56E" w14:textId="77777777" w:rsidTr="00096157">
        <w:tc>
          <w:tcPr>
            <w:tcW w:w="3139" w:type="dxa"/>
          </w:tcPr>
          <w:p w14:paraId="7FA7D1BB" w14:textId="77777777" w:rsidR="00F2401D" w:rsidRPr="00B86BF8" w:rsidRDefault="00F2401D" w:rsidP="00F2401D">
            <w:pPr>
              <w:autoSpaceDE w:val="0"/>
              <w:autoSpaceDN w:val="0"/>
              <w:spacing w:after="0" w:line="240" w:lineRule="auto"/>
              <w:contextualSpacing/>
              <w:rPr>
                <w:rFonts w:ascii="Times New Roman" w:hAnsi="Times New Roman"/>
                <w:b/>
                <w:sz w:val="24"/>
                <w:szCs w:val="24"/>
                <w:lang w:val="lt-LT"/>
              </w:rPr>
            </w:pPr>
            <w:r w:rsidRPr="00B86BF8">
              <w:rPr>
                <w:rFonts w:ascii="Times New Roman" w:hAnsi="Times New Roman"/>
                <w:b/>
                <w:sz w:val="24"/>
                <w:szCs w:val="24"/>
                <w:lang w:val="lt-LT"/>
              </w:rPr>
              <w:t>Paskola</w:t>
            </w:r>
          </w:p>
        </w:tc>
        <w:tc>
          <w:tcPr>
            <w:tcW w:w="11987" w:type="dxa"/>
            <w:gridSpan w:val="2"/>
          </w:tcPr>
          <w:p w14:paraId="6425EB0B" w14:textId="77777777" w:rsidR="00F2401D" w:rsidRPr="00B86BF8" w:rsidRDefault="00F2401D" w:rsidP="00F2401D">
            <w:pPr>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FT Paskolos gavėjui iš Priemonės „Alternatyva“ lėšų suteikta paskola, įskaitant faktoringą (klasikinį, atvirkštinį ir slaptą) ir finansinę nuomą (lizingą)</w:t>
            </w:r>
          </w:p>
        </w:tc>
      </w:tr>
      <w:tr w:rsidR="00F2401D" w:rsidRPr="00B86BF8" w14:paraId="1D7457A0" w14:textId="77777777" w:rsidTr="00096157">
        <w:tc>
          <w:tcPr>
            <w:tcW w:w="3139" w:type="dxa"/>
          </w:tcPr>
          <w:p w14:paraId="0C8C7E09" w14:textId="77777777" w:rsidR="00F2401D" w:rsidRPr="00B86BF8" w:rsidRDefault="00F2401D" w:rsidP="00F2401D">
            <w:pPr>
              <w:autoSpaceDE w:val="0"/>
              <w:autoSpaceDN w:val="0"/>
              <w:spacing w:after="0" w:line="240" w:lineRule="auto"/>
              <w:contextualSpacing/>
              <w:rPr>
                <w:rFonts w:ascii="Times New Roman" w:hAnsi="Times New Roman"/>
                <w:b/>
                <w:sz w:val="24"/>
                <w:szCs w:val="24"/>
                <w:lang w:val="lt-LT"/>
              </w:rPr>
            </w:pPr>
            <w:r w:rsidRPr="00B86BF8">
              <w:rPr>
                <w:rFonts w:ascii="Times New Roman" w:hAnsi="Times New Roman"/>
                <w:b/>
                <w:sz w:val="24"/>
                <w:szCs w:val="24"/>
                <w:lang w:val="lt-LT"/>
              </w:rPr>
              <w:t>Paskolos sutartis</w:t>
            </w:r>
          </w:p>
        </w:tc>
        <w:tc>
          <w:tcPr>
            <w:tcW w:w="11987" w:type="dxa"/>
            <w:gridSpan w:val="2"/>
          </w:tcPr>
          <w:p w14:paraId="04CBE748" w14:textId="77777777" w:rsidR="00F2401D" w:rsidRPr="00B86BF8" w:rsidRDefault="00A46064" w:rsidP="00F2401D">
            <w:pPr>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P</w:t>
            </w:r>
            <w:r w:rsidR="00F2401D" w:rsidRPr="00B86BF8">
              <w:rPr>
                <w:rFonts w:ascii="Times New Roman" w:hAnsi="Times New Roman"/>
                <w:sz w:val="24"/>
                <w:szCs w:val="24"/>
                <w:lang w:val="lt-LT"/>
              </w:rPr>
              <w:t>askolos sutartis, pasirašyta tarp FT ir Paskolos gavėjo</w:t>
            </w:r>
          </w:p>
        </w:tc>
      </w:tr>
      <w:tr w:rsidR="00F2401D" w:rsidRPr="00B86BF8" w14:paraId="71F87D00" w14:textId="77777777" w:rsidTr="00096157">
        <w:trPr>
          <w:trHeight w:val="398"/>
        </w:trPr>
        <w:tc>
          <w:tcPr>
            <w:tcW w:w="3139" w:type="dxa"/>
            <w:noWrap/>
          </w:tcPr>
          <w:p w14:paraId="13525DE2" w14:textId="77777777" w:rsidR="00F2401D" w:rsidRPr="00B86BF8" w:rsidRDefault="00F2401D"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Finansų tarpininkai</w:t>
            </w:r>
          </w:p>
          <w:p w14:paraId="59E868E3" w14:textId="77777777" w:rsidR="00F2401D" w:rsidRPr="00B86BF8" w:rsidRDefault="00F2401D" w:rsidP="00F2401D">
            <w:pPr>
              <w:spacing w:after="0" w:line="240" w:lineRule="auto"/>
              <w:rPr>
                <w:rFonts w:ascii="Times New Roman" w:hAnsi="Times New Roman"/>
                <w:b/>
                <w:sz w:val="24"/>
                <w:szCs w:val="24"/>
                <w:lang w:val="lt-LT"/>
              </w:rPr>
            </w:pPr>
          </w:p>
        </w:tc>
        <w:tc>
          <w:tcPr>
            <w:tcW w:w="11987" w:type="dxa"/>
            <w:gridSpan w:val="2"/>
          </w:tcPr>
          <w:p w14:paraId="440CB8BC" w14:textId="77777777" w:rsidR="00F2401D" w:rsidRPr="00B86BF8" w:rsidRDefault="00F2401D" w:rsidP="00F2401D">
            <w:pPr>
              <w:numPr>
                <w:ilvl w:val="0"/>
                <w:numId w:val="29"/>
              </w:numPr>
              <w:tabs>
                <w:tab w:val="left" w:pos="250"/>
                <w:tab w:val="left" w:pos="430"/>
              </w:tabs>
              <w:spacing w:after="0" w:line="240" w:lineRule="auto"/>
              <w:ind w:left="0" w:firstLine="0"/>
              <w:contextualSpacing/>
              <w:jc w:val="both"/>
              <w:rPr>
                <w:rFonts w:ascii="Times New Roman" w:hAnsi="Times New Roman"/>
                <w:sz w:val="24"/>
                <w:szCs w:val="24"/>
                <w:lang w:val="lt-LT"/>
              </w:rPr>
            </w:pPr>
            <w:r w:rsidRPr="00B86BF8">
              <w:rPr>
                <w:rFonts w:ascii="Times New Roman" w:hAnsi="Times New Roman"/>
                <w:sz w:val="24"/>
                <w:szCs w:val="24"/>
                <w:lang w:val="lt-LT"/>
              </w:rPr>
              <w:t xml:space="preserve">Lietuvos Respublikoje įsteigtos ir veikiančios finansų įmonės (išskyrus kredito įstaigas ir jų susijusias įmones), kurių pagrindinę veiklos dalį sudaro Lietuvos Respublikos finansų įstaigų įstatymo 3 straipsnio 1 dalies 2 ir 3 punktuose nurodytos </w:t>
            </w:r>
            <w:r w:rsidRPr="00B86BF8">
              <w:rPr>
                <w:rFonts w:ascii="Times New Roman" w:hAnsi="Times New Roman"/>
                <w:sz w:val="24"/>
                <w:szCs w:val="24"/>
                <w:lang w:val="lt-LT"/>
              </w:rPr>
              <w:lastRenderedPageBreak/>
              <w:t>finansinės paslaugos, t. y. skolinimas juridiniams asmenims ir individualią veiklą vykdantiems fiziniams asmenims, įskaitant faktoringą ir finansinę nuomą (lizingą);</w:t>
            </w:r>
          </w:p>
          <w:p w14:paraId="3717F032" w14:textId="77777777" w:rsidR="00F2401D" w:rsidRPr="00B86BF8" w:rsidRDefault="00F2401D" w:rsidP="00F2401D">
            <w:pPr>
              <w:numPr>
                <w:ilvl w:val="0"/>
                <w:numId w:val="29"/>
              </w:numPr>
              <w:tabs>
                <w:tab w:val="left" w:pos="250"/>
                <w:tab w:val="left" w:pos="430"/>
              </w:tabs>
              <w:spacing w:after="0" w:line="240" w:lineRule="auto"/>
              <w:ind w:left="0" w:firstLine="0"/>
              <w:contextualSpacing/>
              <w:jc w:val="both"/>
              <w:rPr>
                <w:rFonts w:ascii="Times New Roman" w:hAnsi="Times New Roman"/>
                <w:b/>
                <w:sz w:val="24"/>
                <w:szCs w:val="24"/>
                <w:lang w:val="lt-LT"/>
              </w:rPr>
            </w:pPr>
            <w:r w:rsidRPr="00B86BF8">
              <w:rPr>
                <w:rFonts w:ascii="Times New Roman" w:hAnsi="Times New Roman"/>
                <w:sz w:val="24"/>
                <w:szCs w:val="24"/>
                <w:lang w:val="lt-LT"/>
              </w:rPr>
              <w:t>Kolektyvinio investavimo subjektai, veikiantys pagal Lietuvos Respublikos kolektyvinio investavimo subjektų įstatymą, Lietuvos Respublikos alternatyviųjų kolektyvinio investavimo subjektų valdytojų įstatymą, Lietuvos Respublikos informuotiesiems investuotojams skirtų kolektyvinio investavimo subjektų įstatymą, ir kurių veiklos dokumentai numato kolektyvinio investavimo subjekto lėšų investavimą paskolos formomis (toliau – Kolektyvinio investavimo subjektai), ar, jei jų valdymas perduotas valdymo įmonėms, valdymo įmonės</w:t>
            </w:r>
            <w:r w:rsidR="00070CCC" w:rsidRPr="00B86BF8">
              <w:rPr>
                <w:rFonts w:ascii="Times New Roman" w:hAnsi="Times New Roman"/>
                <w:sz w:val="24"/>
                <w:szCs w:val="24"/>
                <w:lang w:val="lt-LT"/>
              </w:rPr>
              <w:t>.</w:t>
            </w:r>
          </w:p>
          <w:p w14:paraId="49FA7C16" w14:textId="77777777" w:rsidR="00F2401D" w:rsidRDefault="00F2401D" w:rsidP="00F2401D">
            <w:pPr>
              <w:tabs>
                <w:tab w:val="left" w:pos="250"/>
                <w:tab w:val="left" w:pos="430"/>
              </w:tabs>
              <w:spacing w:after="0" w:line="240" w:lineRule="auto"/>
              <w:contextualSpacing/>
              <w:jc w:val="both"/>
              <w:rPr>
                <w:rFonts w:ascii="Times New Roman" w:hAnsi="Times New Roman"/>
                <w:sz w:val="24"/>
                <w:szCs w:val="24"/>
                <w:lang w:val="lt-LT"/>
              </w:rPr>
            </w:pPr>
            <w:bookmarkStart w:id="13" w:name="_Hlk38717997"/>
            <w:r w:rsidRPr="00B86BF8">
              <w:rPr>
                <w:rFonts w:ascii="Times New Roman" w:hAnsi="Times New Roman"/>
                <w:sz w:val="24"/>
                <w:szCs w:val="24"/>
                <w:lang w:val="lt-LT"/>
              </w:rPr>
              <w:t>FT P</w:t>
            </w:r>
            <w:r w:rsidR="003F62C9" w:rsidRPr="00B86BF8">
              <w:rPr>
                <w:rFonts w:ascii="Times New Roman" w:hAnsi="Times New Roman"/>
                <w:sz w:val="24"/>
                <w:szCs w:val="24"/>
                <w:lang w:val="lt-LT"/>
              </w:rPr>
              <w:t>r</w:t>
            </w:r>
            <w:r w:rsidRPr="00B86BF8">
              <w:rPr>
                <w:rFonts w:ascii="Times New Roman" w:hAnsi="Times New Roman"/>
                <w:sz w:val="24"/>
                <w:szCs w:val="24"/>
                <w:lang w:val="lt-LT"/>
              </w:rPr>
              <w:t>iemonę „Alternatyva“ gali įgyvendinti pasitelkdamas FT 100 procentų valdomas specialiosios paskirties įmones, kurios turi būti aiškiai nurodytos Sutartyje, tačiau bet kokiu atveju FT yra atsakingas už tinkamą Priemonės „Alternatyva“</w:t>
            </w:r>
            <w:r w:rsidR="003F62C9" w:rsidRPr="00B86BF8">
              <w:rPr>
                <w:rFonts w:ascii="Times New Roman" w:hAnsi="Times New Roman"/>
                <w:sz w:val="24"/>
                <w:szCs w:val="24"/>
                <w:lang w:val="lt-LT"/>
              </w:rPr>
              <w:t xml:space="preserve"> </w:t>
            </w:r>
            <w:r w:rsidRPr="00B86BF8">
              <w:rPr>
                <w:rFonts w:ascii="Times New Roman" w:hAnsi="Times New Roman"/>
                <w:sz w:val="24"/>
                <w:szCs w:val="24"/>
                <w:lang w:val="lt-LT"/>
              </w:rPr>
              <w:t>įgyvendinimą pagal Sutartį</w:t>
            </w:r>
            <w:bookmarkEnd w:id="13"/>
            <w:r w:rsidR="005229B9">
              <w:rPr>
                <w:rFonts w:ascii="Times New Roman" w:hAnsi="Times New Roman"/>
                <w:sz w:val="24"/>
                <w:szCs w:val="24"/>
                <w:lang w:val="lt-LT"/>
              </w:rPr>
              <w:t>.</w:t>
            </w:r>
          </w:p>
          <w:p w14:paraId="2C667738" w14:textId="588B8539" w:rsidR="005229B9" w:rsidRPr="00B86BF8" w:rsidRDefault="005229B9" w:rsidP="00F2401D">
            <w:pPr>
              <w:tabs>
                <w:tab w:val="left" w:pos="250"/>
                <w:tab w:val="left" w:pos="430"/>
              </w:tabs>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FT prašyme turi nurodyti, jei, įgyvendindamas priemonę, jis remsis FT 100 procentų valdomų specialiosios paskirties įmonių pajėgumais</w:t>
            </w:r>
          </w:p>
        </w:tc>
      </w:tr>
      <w:tr w:rsidR="002719A4" w:rsidRPr="00B86BF8" w14:paraId="0AA278C8" w14:textId="77777777" w:rsidTr="00096157">
        <w:trPr>
          <w:trHeight w:val="398"/>
        </w:trPr>
        <w:tc>
          <w:tcPr>
            <w:tcW w:w="3139" w:type="dxa"/>
            <w:noWrap/>
          </w:tcPr>
          <w:p w14:paraId="64E06B26" w14:textId="77777777" w:rsidR="002719A4" w:rsidRPr="00B86BF8" w:rsidRDefault="002719A4"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lastRenderedPageBreak/>
              <w:t>Priemonės lėšų suma vienam Finansų tarpininkui</w:t>
            </w:r>
          </w:p>
        </w:tc>
        <w:tc>
          <w:tcPr>
            <w:tcW w:w="11987" w:type="dxa"/>
            <w:gridSpan w:val="2"/>
          </w:tcPr>
          <w:p w14:paraId="107B7E47" w14:textId="64446C9A" w:rsidR="000209BE" w:rsidRPr="00B86BF8" w:rsidRDefault="002719A4"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Didžiausia Priemonės „Alternatyva“ lėšų suma, kuri</w:t>
            </w:r>
            <w:r w:rsidR="00424FA2" w:rsidRPr="00B86BF8">
              <w:rPr>
                <w:rFonts w:ascii="Times New Roman" w:hAnsi="Times New Roman"/>
                <w:sz w:val="24"/>
                <w:szCs w:val="24"/>
                <w:lang w:val="lt-LT"/>
              </w:rPr>
              <w:t>a</w:t>
            </w:r>
            <w:r w:rsidRPr="00B86BF8">
              <w:rPr>
                <w:rFonts w:ascii="Times New Roman" w:hAnsi="Times New Roman"/>
                <w:sz w:val="24"/>
                <w:szCs w:val="24"/>
                <w:lang w:val="lt-LT"/>
              </w:rPr>
              <w:t xml:space="preserve"> FT gali pasinaudoti </w:t>
            </w:r>
            <w:r w:rsidR="000209BE" w:rsidRPr="00B86BF8">
              <w:rPr>
                <w:rFonts w:ascii="Times New Roman" w:hAnsi="Times New Roman"/>
                <w:sz w:val="24"/>
                <w:szCs w:val="24"/>
                <w:lang w:val="lt-LT"/>
              </w:rPr>
              <w:t>P</w:t>
            </w:r>
            <w:r w:rsidRPr="00B86BF8">
              <w:rPr>
                <w:rFonts w:ascii="Times New Roman" w:hAnsi="Times New Roman"/>
                <w:sz w:val="24"/>
                <w:szCs w:val="24"/>
                <w:lang w:val="lt-LT"/>
              </w:rPr>
              <w:t xml:space="preserve">riemonei „Alternatyva“ įgyvendinti, negali būti </w:t>
            </w:r>
            <w:r w:rsidR="00070CCC" w:rsidRPr="00B86BF8">
              <w:rPr>
                <w:rFonts w:ascii="Times New Roman" w:hAnsi="Times New Roman"/>
                <w:sz w:val="24"/>
                <w:szCs w:val="24"/>
                <w:lang w:val="lt-LT"/>
              </w:rPr>
              <w:t>20 </w:t>
            </w:r>
            <w:r w:rsidRPr="00B86BF8">
              <w:rPr>
                <w:rFonts w:ascii="Times New Roman" w:hAnsi="Times New Roman"/>
                <w:sz w:val="24"/>
                <w:szCs w:val="24"/>
                <w:lang w:val="lt-LT"/>
              </w:rPr>
              <w:t xml:space="preserve">kartų didesnė nei </w:t>
            </w:r>
            <w:r w:rsidR="00057B5C" w:rsidRPr="00B86BF8">
              <w:rPr>
                <w:rFonts w:ascii="Times New Roman" w:hAnsi="Times New Roman"/>
                <w:sz w:val="24"/>
                <w:szCs w:val="24"/>
                <w:lang w:val="lt-LT"/>
              </w:rPr>
              <w:t xml:space="preserve">FT </w:t>
            </w:r>
            <w:r w:rsidRPr="00B86BF8">
              <w:rPr>
                <w:rFonts w:ascii="Times New Roman" w:hAnsi="Times New Roman"/>
                <w:sz w:val="24"/>
                <w:szCs w:val="24"/>
                <w:lang w:val="lt-LT"/>
              </w:rPr>
              <w:t xml:space="preserve">koreguotas kapitalas*, </w:t>
            </w:r>
            <w:r w:rsidR="00667838" w:rsidRPr="00B86BF8">
              <w:rPr>
                <w:rFonts w:ascii="Times New Roman" w:hAnsi="Times New Roman"/>
                <w:sz w:val="24"/>
                <w:szCs w:val="24"/>
                <w:lang w:val="lt-LT"/>
              </w:rPr>
              <w:t>o jeigu FT yra Kolektyvinio investavimo subjektas – ne didesnė kaip Kolektyvinio investavimo subjekto valdomo fondo grynųjų aktyvų vertė padauginta iš 4, tačiau, bet kokiu atveju, ne daugiau kaip 20 mln. Eur</w:t>
            </w:r>
            <w:r w:rsidR="005D7148" w:rsidRPr="00B86BF8">
              <w:rPr>
                <w:rFonts w:ascii="Times New Roman" w:hAnsi="Times New Roman"/>
                <w:sz w:val="24"/>
                <w:szCs w:val="24"/>
                <w:lang w:val="lt-LT"/>
              </w:rPr>
              <w:t>.</w:t>
            </w:r>
            <w:r w:rsidR="009969A0" w:rsidRPr="00B86BF8">
              <w:rPr>
                <w:rFonts w:ascii="Times New Roman" w:hAnsi="Times New Roman"/>
                <w:sz w:val="24"/>
                <w:szCs w:val="24"/>
                <w:lang w:val="lt-LT"/>
              </w:rPr>
              <w:t xml:space="preserve"> </w:t>
            </w:r>
          </w:p>
          <w:p w14:paraId="6CA82BBA" w14:textId="1AF2163F" w:rsidR="001B374D" w:rsidRPr="00B86BF8" w:rsidRDefault="0090776A" w:rsidP="00403557">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Ne mažiau kaip 50 proc. </w:t>
            </w:r>
            <w:r w:rsidR="00062E1B" w:rsidRPr="00B86BF8">
              <w:rPr>
                <w:rFonts w:ascii="Times New Roman" w:hAnsi="Times New Roman"/>
                <w:sz w:val="24"/>
                <w:szCs w:val="24"/>
                <w:lang w:val="lt-LT"/>
              </w:rPr>
              <w:t>Priemonės „Alternatyva“ lėšų sumos</w:t>
            </w:r>
            <w:r w:rsidR="00403557" w:rsidRPr="00B86BF8">
              <w:rPr>
                <w:rFonts w:ascii="Times New Roman" w:hAnsi="Times New Roman"/>
                <w:sz w:val="24"/>
                <w:szCs w:val="24"/>
                <w:lang w:val="lt-LT"/>
              </w:rPr>
              <w:t xml:space="preserve"> (vertinama pagal teikiamus mokėjimo prašymus Sutartyje nustatyta tvarka)</w:t>
            </w:r>
            <w:r w:rsidRPr="00B86BF8">
              <w:rPr>
                <w:rFonts w:ascii="Times New Roman" w:hAnsi="Times New Roman"/>
                <w:sz w:val="24"/>
                <w:szCs w:val="24"/>
                <w:lang w:val="lt-LT"/>
              </w:rPr>
              <w:t xml:space="preserve"> turi būti panaudota Paskoloms Priemonės „Alternatyva“ </w:t>
            </w:r>
            <w:r w:rsidRPr="00B86BF8">
              <w:rPr>
                <w:rFonts w:ascii="Times New Roman" w:hAnsi="Times New Roman"/>
                <w:i/>
                <w:iCs/>
                <w:sz w:val="24"/>
                <w:szCs w:val="24"/>
                <w:lang w:val="lt-LT"/>
              </w:rPr>
              <w:t>de minimis</w:t>
            </w:r>
            <w:r w:rsidRPr="00B86BF8">
              <w:rPr>
                <w:rFonts w:ascii="Times New Roman" w:hAnsi="Times New Roman"/>
                <w:sz w:val="24"/>
                <w:szCs w:val="24"/>
                <w:lang w:val="lt-LT"/>
              </w:rPr>
              <w:t xml:space="preserve"> pagalba sąlygomis finansuoti</w:t>
            </w:r>
            <w:r w:rsidR="00AF2A6F" w:rsidRPr="00B86BF8">
              <w:rPr>
                <w:rFonts w:ascii="Times New Roman" w:hAnsi="Times New Roman"/>
                <w:sz w:val="24"/>
                <w:szCs w:val="24"/>
                <w:lang w:val="lt-LT"/>
              </w:rPr>
              <w:t xml:space="preserve">. </w:t>
            </w:r>
            <w:r w:rsidR="00005FF2" w:rsidRPr="00B86BF8">
              <w:rPr>
                <w:rFonts w:ascii="Times New Roman" w:hAnsi="Times New Roman"/>
                <w:sz w:val="24"/>
                <w:szCs w:val="24"/>
                <w:lang w:val="lt-LT"/>
              </w:rPr>
              <w:t>Priemonės „Alternatyva“ lėšų suma</w:t>
            </w:r>
            <w:r w:rsidR="00D808C3" w:rsidRPr="00B86BF8">
              <w:rPr>
                <w:rFonts w:ascii="Times New Roman" w:hAnsi="Times New Roman"/>
                <w:sz w:val="24"/>
                <w:szCs w:val="24"/>
                <w:lang w:val="lt-LT"/>
              </w:rPr>
              <w:t>i</w:t>
            </w:r>
            <w:r w:rsidR="00005FF2" w:rsidRPr="00B86BF8">
              <w:rPr>
                <w:rFonts w:ascii="Times New Roman" w:hAnsi="Times New Roman"/>
                <w:sz w:val="24"/>
                <w:szCs w:val="24"/>
                <w:lang w:val="lt-LT"/>
              </w:rPr>
              <w:t xml:space="preserve">, kuri </w:t>
            </w:r>
            <w:r w:rsidR="00D808C3" w:rsidRPr="00B86BF8">
              <w:rPr>
                <w:rFonts w:ascii="Times New Roman" w:hAnsi="Times New Roman"/>
                <w:sz w:val="24"/>
                <w:szCs w:val="24"/>
                <w:lang w:val="lt-LT"/>
              </w:rPr>
              <w:t>išmokama</w:t>
            </w:r>
            <w:r w:rsidR="00005FF2" w:rsidRPr="00B86BF8">
              <w:rPr>
                <w:rFonts w:ascii="Times New Roman" w:hAnsi="Times New Roman"/>
                <w:sz w:val="24"/>
                <w:szCs w:val="24"/>
                <w:lang w:val="lt-LT"/>
              </w:rPr>
              <w:t xml:space="preserve"> FT pagal </w:t>
            </w:r>
            <w:r w:rsidR="00D808C3" w:rsidRPr="00B86BF8">
              <w:rPr>
                <w:rFonts w:ascii="Times New Roman" w:hAnsi="Times New Roman"/>
                <w:sz w:val="24"/>
                <w:szCs w:val="24"/>
                <w:lang w:val="lt-LT"/>
              </w:rPr>
              <w:t xml:space="preserve">pirmojo kvietimo etapo metu sudarytos </w:t>
            </w:r>
            <w:r w:rsidR="00005FF2" w:rsidRPr="00B86BF8">
              <w:rPr>
                <w:rFonts w:ascii="Times New Roman" w:hAnsi="Times New Roman"/>
                <w:sz w:val="24"/>
                <w:szCs w:val="24"/>
                <w:lang w:val="lt-LT"/>
              </w:rPr>
              <w:t>Sutart</w:t>
            </w:r>
            <w:r w:rsidR="00D808C3" w:rsidRPr="00B86BF8">
              <w:rPr>
                <w:rFonts w:ascii="Times New Roman" w:hAnsi="Times New Roman"/>
                <w:sz w:val="24"/>
                <w:szCs w:val="24"/>
                <w:lang w:val="lt-LT"/>
              </w:rPr>
              <w:t>ies sąlygas</w:t>
            </w:r>
            <w:r w:rsidR="00005FF2" w:rsidRPr="00B86BF8">
              <w:rPr>
                <w:rFonts w:ascii="Times New Roman" w:hAnsi="Times New Roman"/>
                <w:sz w:val="24"/>
                <w:szCs w:val="24"/>
                <w:lang w:val="lt-LT"/>
              </w:rPr>
              <w:t xml:space="preserve"> </w:t>
            </w:r>
            <w:r w:rsidR="00D808C3" w:rsidRPr="00B86BF8">
              <w:rPr>
                <w:rFonts w:ascii="Times New Roman" w:hAnsi="Times New Roman"/>
                <w:sz w:val="24"/>
                <w:szCs w:val="24"/>
                <w:lang w:val="lt-LT"/>
              </w:rPr>
              <w:t>(t. y. iki pagal aktualias Aprašo nuostatas atnaujintos Sutarties pasirašymo teikiamiems FT mokėjimo prašymams)ši sąlyga netaikoma.</w:t>
            </w:r>
          </w:p>
        </w:tc>
      </w:tr>
      <w:tr w:rsidR="00F2401D" w:rsidRPr="00B86BF8" w14:paraId="5EB71B66" w14:textId="77777777" w:rsidTr="005B72F7">
        <w:trPr>
          <w:trHeight w:val="699"/>
        </w:trPr>
        <w:tc>
          <w:tcPr>
            <w:tcW w:w="3139" w:type="dxa"/>
          </w:tcPr>
          <w:p w14:paraId="16004E07" w14:textId="77777777" w:rsidR="00F2401D" w:rsidRPr="00B86BF8" w:rsidRDefault="00F2401D"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Paskolos gavėjas</w:t>
            </w:r>
          </w:p>
        </w:tc>
        <w:tc>
          <w:tcPr>
            <w:tcW w:w="5928" w:type="dxa"/>
          </w:tcPr>
          <w:p w14:paraId="24BE0CF4" w14:textId="77777777" w:rsidR="00F2401D" w:rsidRPr="00B86BF8" w:rsidRDefault="00F2401D"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Lietuvos Respublikoje veikiantis SVV subjektas, kaip jis apibrėžtas Smulkiojo ir vidutinio verslo plėtros įstatyme.</w:t>
            </w:r>
          </w:p>
          <w:p w14:paraId="2A03BF23" w14:textId="77777777" w:rsidR="00F2401D" w:rsidRPr="00B86BF8" w:rsidRDefault="00F2401D"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SVV subjektas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p>
          <w:p w14:paraId="594F6441" w14:textId="544C30D3" w:rsidR="00F2401D" w:rsidRPr="00B86BF8" w:rsidRDefault="00F2401D"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lastRenderedPageBreak/>
              <w:t xml:space="preserve">Paskolos gavėjo veikla FT vertinimu </w:t>
            </w:r>
            <w:r w:rsidR="00547D56" w:rsidRPr="00B86BF8">
              <w:rPr>
                <w:rFonts w:ascii="Times New Roman" w:hAnsi="Times New Roman"/>
                <w:sz w:val="24"/>
                <w:szCs w:val="24"/>
                <w:lang w:val="lt-LT"/>
              </w:rPr>
              <w:t xml:space="preserve">pagal FT </w:t>
            </w:r>
            <w:r w:rsidR="00005FF2" w:rsidRPr="00B86BF8">
              <w:rPr>
                <w:rFonts w:ascii="Times New Roman" w:hAnsi="Times New Roman"/>
                <w:sz w:val="24"/>
                <w:szCs w:val="24"/>
                <w:lang w:val="lt-LT"/>
              </w:rPr>
              <w:t xml:space="preserve">taikomas </w:t>
            </w:r>
            <w:r w:rsidR="00547D56" w:rsidRPr="00B86BF8">
              <w:rPr>
                <w:rFonts w:ascii="Times New Roman" w:hAnsi="Times New Roman"/>
                <w:sz w:val="24"/>
                <w:szCs w:val="24"/>
                <w:lang w:val="lt-LT"/>
              </w:rPr>
              <w:t xml:space="preserve">tvarkas </w:t>
            </w:r>
            <w:r w:rsidRPr="00B86BF8">
              <w:rPr>
                <w:rFonts w:ascii="Times New Roman" w:hAnsi="Times New Roman"/>
                <w:sz w:val="24"/>
                <w:szCs w:val="24"/>
                <w:lang w:val="lt-LT"/>
              </w:rPr>
              <w:t>turi būti tvari, o planuojami piniginiai srautai pakankami įsipareigojimams vykdyti</w:t>
            </w:r>
            <w:r w:rsidR="00E86983" w:rsidRPr="00B86BF8">
              <w:rPr>
                <w:rFonts w:ascii="Times New Roman" w:hAnsi="Times New Roman"/>
                <w:sz w:val="24"/>
                <w:szCs w:val="24"/>
                <w:lang w:val="lt-LT"/>
              </w:rPr>
              <w:t>.</w:t>
            </w:r>
          </w:p>
          <w:p w14:paraId="632E5B11" w14:textId="77777777" w:rsidR="00E86983" w:rsidRPr="00B86BF8" w:rsidRDefault="00E86983" w:rsidP="00F2401D">
            <w:pPr>
              <w:spacing w:after="0" w:line="240" w:lineRule="auto"/>
              <w:jc w:val="both"/>
              <w:rPr>
                <w:rFonts w:ascii="Times New Roman" w:hAnsi="Times New Roman"/>
                <w:sz w:val="24"/>
                <w:szCs w:val="24"/>
                <w:lang w:val="lt-LT"/>
              </w:rPr>
            </w:pPr>
          </w:p>
          <w:p w14:paraId="6CC87B07" w14:textId="3BE5E5AA" w:rsidR="00E86983" w:rsidRPr="00B86BF8" w:rsidRDefault="00E86983"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SVV subjektai, kuriems atsižvelgiant į Juridinių asmenų nemokumo įstatymo 4 straipsnį yra pradėta bankroto procedūra teismo arba ne teismo būdu, o fizinių asmenų kurie verčiasi ekonomine veikla atveju – kuriems, atsižvelgiant į Fizinių asmenų bankroto įstatymo 2 straipsnio 2 dalyje numatytas fizinio asmens nemokumo sąlygas, yra pradėta fizinio asmens bankroto procedūra yra netinkami Paskolos gavėjai</w:t>
            </w:r>
          </w:p>
        </w:tc>
        <w:tc>
          <w:tcPr>
            <w:tcW w:w="6059" w:type="dxa"/>
          </w:tcPr>
          <w:p w14:paraId="6224A929" w14:textId="77777777" w:rsidR="002719A4" w:rsidRPr="00B86BF8" w:rsidRDefault="002719A4" w:rsidP="002719A4">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lastRenderedPageBreak/>
              <w:t>Lietuvos Respublikoje veikiantis SVV subjektas, kaip jis apibrėžtas Smulkiojo ir vidutinio verslo plėtros įstatyme</w:t>
            </w:r>
            <w:r w:rsidR="00AD17A2" w:rsidRPr="00B86BF8">
              <w:rPr>
                <w:rFonts w:ascii="Times New Roman" w:hAnsi="Times New Roman"/>
                <w:sz w:val="24"/>
                <w:szCs w:val="24"/>
                <w:lang w:val="lt-LT"/>
              </w:rPr>
              <w:t>, išskyrus:</w:t>
            </w:r>
          </w:p>
          <w:p w14:paraId="337A8035" w14:textId="77777777" w:rsidR="00AD17A2" w:rsidRPr="00B86BF8" w:rsidRDefault="002719A4" w:rsidP="00A46064">
            <w:pPr>
              <w:pStyle w:val="ListParagraph"/>
              <w:numPr>
                <w:ilvl w:val="0"/>
                <w:numId w:val="30"/>
              </w:numPr>
              <w:tabs>
                <w:tab w:val="left" w:pos="312"/>
              </w:tabs>
              <w:spacing w:after="0" w:line="240" w:lineRule="auto"/>
              <w:ind w:left="0" w:firstLine="0"/>
              <w:jc w:val="both"/>
              <w:rPr>
                <w:rFonts w:ascii="Times New Roman" w:hAnsi="Times New Roman"/>
                <w:sz w:val="24"/>
                <w:szCs w:val="24"/>
                <w:lang w:val="lt-LT"/>
              </w:rPr>
            </w:pPr>
            <w:r w:rsidRPr="00B86BF8">
              <w:rPr>
                <w:rFonts w:ascii="Times New Roman" w:hAnsi="Times New Roman"/>
                <w:sz w:val="24"/>
                <w:szCs w:val="24"/>
                <w:lang w:val="lt-LT"/>
              </w:rPr>
              <w:t>veikian</w:t>
            </w:r>
            <w:r w:rsidR="00AD17A2" w:rsidRPr="00B86BF8">
              <w:rPr>
                <w:rFonts w:ascii="Times New Roman" w:hAnsi="Times New Roman"/>
                <w:sz w:val="24"/>
                <w:szCs w:val="24"/>
                <w:lang w:val="lt-LT"/>
              </w:rPr>
              <w:t xml:space="preserve">čius </w:t>
            </w:r>
            <w:r w:rsidRPr="00B86BF8">
              <w:rPr>
                <w:rFonts w:ascii="Times New Roman" w:hAnsi="Times New Roman"/>
                <w:sz w:val="24"/>
                <w:szCs w:val="24"/>
                <w:lang w:val="lt-LT"/>
              </w:rPr>
              <w:t xml:space="preserve">Reglamento (ES) Nr. 1407/2013 </w:t>
            </w:r>
            <w:r w:rsidR="00F55EFB" w:rsidRPr="00B86BF8">
              <w:rPr>
                <w:rFonts w:ascii="Times New Roman" w:hAnsi="Times New Roman"/>
                <w:sz w:val="24"/>
                <w:szCs w:val="24"/>
                <w:lang w:val="lt-LT"/>
              </w:rPr>
              <w:t>1 </w:t>
            </w:r>
            <w:r w:rsidRPr="00B86BF8">
              <w:rPr>
                <w:rFonts w:ascii="Times New Roman" w:hAnsi="Times New Roman"/>
                <w:sz w:val="24"/>
                <w:szCs w:val="24"/>
                <w:lang w:val="lt-LT"/>
              </w:rPr>
              <w:t>straipsnio 1 dalyje išvardytuose sektoriuose;</w:t>
            </w:r>
          </w:p>
          <w:p w14:paraId="7D9543D2" w14:textId="77777777" w:rsidR="002719A4" w:rsidRPr="00B86BF8" w:rsidRDefault="002719A4" w:rsidP="00A46064">
            <w:pPr>
              <w:pStyle w:val="ListParagraph"/>
              <w:numPr>
                <w:ilvl w:val="0"/>
                <w:numId w:val="30"/>
              </w:numPr>
              <w:tabs>
                <w:tab w:val="left" w:pos="312"/>
              </w:tabs>
              <w:spacing w:after="0" w:line="240" w:lineRule="auto"/>
              <w:ind w:left="0" w:firstLine="0"/>
              <w:jc w:val="both"/>
              <w:rPr>
                <w:rFonts w:ascii="Times New Roman" w:hAnsi="Times New Roman"/>
                <w:sz w:val="24"/>
                <w:szCs w:val="24"/>
                <w:lang w:val="lt-LT"/>
              </w:rPr>
            </w:pPr>
            <w:r w:rsidRPr="00B86BF8">
              <w:rPr>
                <w:rFonts w:ascii="Times New Roman" w:hAnsi="Times New Roman"/>
                <w:sz w:val="24"/>
                <w:szCs w:val="24"/>
                <w:lang w:val="lt-LT"/>
              </w:rPr>
              <w:t>kuriems galėtų būti ir (arba) yra taikoma Reglamento (ES) Nr. 1407/2013 4 straipsnio 3 dalies a punkte nurodyta kolektyvinė nemokumo procedūra;</w:t>
            </w:r>
          </w:p>
          <w:p w14:paraId="6257D5EF" w14:textId="77777777" w:rsidR="00F2401D" w:rsidRPr="00B86BF8" w:rsidRDefault="002719A4" w:rsidP="002719A4">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1 ir 2 punktuose nustatyti kriterijai </w:t>
            </w:r>
            <w:r w:rsidR="00F55EFB" w:rsidRPr="00B86BF8">
              <w:rPr>
                <w:rFonts w:ascii="Times New Roman" w:hAnsi="Times New Roman"/>
                <w:sz w:val="24"/>
                <w:szCs w:val="24"/>
                <w:lang w:val="lt-LT"/>
              </w:rPr>
              <w:t xml:space="preserve">vertinami </w:t>
            </w:r>
            <w:r w:rsidR="00574983" w:rsidRPr="00B86BF8">
              <w:rPr>
                <w:rFonts w:ascii="Times New Roman" w:hAnsi="Times New Roman"/>
                <w:sz w:val="24"/>
                <w:szCs w:val="24"/>
                <w:lang w:val="lt-LT"/>
              </w:rPr>
              <w:t>P</w:t>
            </w:r>
            <w:r w:rsidR="00AD17A2" w:rsidRPr="00B86BF8">
              <w:rPr>
                <w:rFonts w:ascii="Times New Roman" w:hAnsi="Times New Roman"/>
                <w:sz w:val="24"/>
                <w:szCs w:val="24"/>
                <w:lang w:val="lt-LT"/>
              </w:rPr>
              <w:t>askolos</w:t>
            </w:r>
            <w:r w:rsidRPr="00B86BF8">
              <w:rPr>
                <w:rFonts w:ascii="Times New Roman" w:hAnsi="Times New Roman"/>
                <w:sz w:val="24"/>
                <w:szCs w:val="24"/>
                <w:lang w:val="lt-LT"/>
              </w:rPr>
              <w:t xml:space="preserve"> suteikimo metu (</w:t>
            </w:r>
            <w:r w:rsidR="00F60FE3" w:rsidRPr="00B86BF8">
              <w:rPr>
                <w:rFonts w:ascii="Times New Roman" w:hAnsi="Times New Roman"/>
                <w:sz w:val="24"/>
                <w:szCs w:val="24"/>
                <w:lang w:val="lt-LT"/>
              </w:rPr>
              <w:t>P</w:t>
            </w:r>
            <w:r w:rsidR="00AD17A2" w:rsidRPr="00B86BF8">
              <w:rPr>
                <w:rFonts w:ascii="Times New Roman" w:hAnsi="Times New Roman"/>
                <w:sz w:val="24"/>
                <w:szCs w:val="24"/>
                <w:lang w:val="lt-LT"/>
              </w:rPr>
              <w:t>askolos</w:t>
            </w:r>
            <w:r w:rsidRPr="00B86BF8">
              <w:rPr>
                <w:rFonts w:ascii="Times New Roman" w:hAnsi="Times New Roman"/>
                <w:sz w:val="24"/>
                <w:szCs w:val="24"/>
                <w:lang w:val="lt-LT"/>
              </w:rPr>
              <w:t xml:space="preserve"> suteikimas čia ir toliau šiame </w:t>
            </w:r>
            <w:r w:rsidRPr="00B86BF8">
              <w:rPr>
                <w:rFonts w:ascii="Times New Roman" w:hAnsi="Times New Roman"/>
                <w:sz w:val="24"/>
                <w:szCs w:val="24"/>
                <w:lang w:val="lt-LT"/>
              </w:rPr>
              <w:lastRenderedPageBreak/>
              <w:t xml:space="preserve">dokumente suprantamas kaip procesas arba laikotarpis nuo </w:t>
            </w:r>
            <w:r w:rsidR="00AD17A2" w:rsidRPr="00B86BF8">
              <w:rPr>
                <w:rFonts w:ascii="Times New Roman" w:hAnsi="Times New Roman"/>
                <w:sz w:val="24"/>
                <w:szCs w:val="24"/>
                <w:lang w:val="lt-LT"/>
              </w:rPr>
              <w:t>Paskolos</w:t>
            </w:r>
            <w:r w:rsidRPr="00B86BF8">
              <w:rPr>
                <w:rFonts w:ascii="Times New Roman" w:hAnsi="Times New Roman"/>
                <w:sz w:val="24"/>
                <w:szCs w:val="24"/>
                <w:lang w:val="lt-LT"/>
              </w:rPr>
              <w:t xml:space="preserve"> gavėjo kreipimosi į </w:t>
            </w:r>
            <w:r w:rsidR="00AD17A2" w:rsidRPr="00B86BF8">
              <w:rPr>
                <w:rFonts w:ascii="Times New Roman" w:hAnsi="Times New Roman"/>
                <w:sz w:val="24"/>
                <w:szCs w:val="24"/>
                <w:lang w:val="lt-LT"/>
              </w:rPr>
              <w:t>FT</w:t>
            </w:r>
            <w:r w:rsidRPr="00B86BF8">
              <w:rPr>
                <w:rFonts w:ascii="Times New Roman" w:hAnsi="Times New Roman"/>
                <w:sz w:val="24"/>
                <w:szCs w:val="24"/>
                <w:lang w:val="lt-LT"/>
              </w:rPr>
              <w:t xml:space="preserve"> iki </w:t>
            </w:r>
            <w:r w:rsidR="00F60FE3" w:rsidRPr="00B86BF8">
              <w:rPr>
                <w:rFonts w:ascii="Times New Roman" w:hAnsi="Times New Roman"/>
                <w:sz w:val="24"/>
                <w:szCs w:val="24"/>
                <w:lang w:val="lt-LT"/>
              </w:rPr>
              <w:t>P</w:t>
            </w:r>
            <w:r w:rsidR="00AD17A2" w:rsidRPr="00B86BF8">
              <w:rPr>
                <w:rFonts w:ascii="Times New Roman" w:hAnsi="Times New Roman"/>
                <w:sz w:val="24"/>
                <w:szCs w:val="24"/>
                <w:lang w:val="lt-LT"/>
              </w:rPr>
              <w:t>askolos</w:t>
            </w:r>
            <w:r w:rsidRPr="00B86BF8">
              <w:rPr>
                <w:rFonts w:ascii="Times New Roman" w:hAnsi="Times New Roman"/>
                <w:sz w:val="24"/>
                <w:szCs w:val="24"/>
                <w:lang w:val="lt-LT"/>
              </w:rPr>
              <w:t xml:space="preserve"> sutarties pasirašymo dienos)</w:t>
            </w:r>
          </w:p>
        </w:tc>
      </w:tr>
      <w:tr w:rsidR="00AD17A2" w:rsidRPr="00B86BF8" w14:paraId="43A6E5FA" w14:textId="77777777" w:rsidTr="00096157">
        <w:trPr>
          <w:trHeight w:val="577"/>
        </w:trPr>
        <w:tc>
          <w:tcPr>
            <w:tcW w:w="3139" w:type="dxa"/>
            <w:noWrap/>
            <w:hideMark/>
          </w:tcPr>
          <w:p w14:paraId="31A2EF46" w14:textId="77777777" w:rsidR="00AD17A2" w:rsidRPr="00B86BF8" w:rsidRDefault="00AD17A2"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lastRenderedPageBreak/>
              <w:t>Priemonės lėšos paskoloje</w:t>
            </w:r>
          </w:p>
          <w:p w14:paraId="52C21464" w14:textId="77777777" w:rsidR="00AD17A2" w:rsidRPr="00B86BF8" w:rsidRDefault="00AD17A2" w:rsidP="00F2401D">
            <w:pPr>
              <w:spacing w:after="0" w:line="240" w:lineRule="auto"/>
              <w:rPr>
                <w:rFonts w:ascii="Times New Roman" w:hAnsi="Times New Roman"/>
                <w:b/>
                <w:sz w:val="24"/>
                <w:szCs w:val="24"/>
                <w:lang w:val="lt-LT"/>
              </w:rPr>
            </w:pPr>
          </w:p>
        </w:tc>
        <w:tc>
          <w:tcPr>
            <w:tcW w:w="11987" w:type="dxa"/>
            <w:gridSpan w:val="2"/>
            <w:hideMark/>
          </w:tcPr>
          <w:p w14:paraId="7A951080" w14:textId="77777777" w:rsidR="00AD17A2" w:rsidRPr="00B86BF8" w:rsidRDefault="00AD17A2"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Paskolos gavėjui iš Priemonės „Alternatyva“ skiriamos lėšos gali sudaryti iki 90 proc. paskolos sumos. FT lėšų dalis privalo būti ne mažesnė nei 10 proc. paskolos sumos</w:t>
            </w:r>
          </w:p>
        </w:tc>
      </w:tr>
      <w:tr w:rsidR="00AD17A2" w:rsidRPr="00B86BF8" w14:paraId="2BAFDC18" w14:textId="77777777" w:rsidTr="00096157">
        <w:trPr>
          <w:trHeight w:val="265"/>
        </w:trPr>
        <w:tc>
          <w:tcPr>
            <w:tcW w:w="3139" w:type="dxa"/>
            <w:noWrap/>
            <w:hideMark/>
          </w:tcPr>
          <w:p w14:paraId="74D17BD0" w14:textId="77777777" w:rsidR="00AD17A2" w:rsidRPr="00B86BF8" w:rsidRDefault="00AD17A2"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Priemonės lėšos</w:t>
            </w:r>
          </w:p>
        </w:tc>
        <w:tc>
          <w:tcPr>
            <w:tcW w:w="11987" w:type="dxa"/>
            <w:gridSpan w:val="2"/>
            <w:noWrap/>
            <w:hideMark/>
          </w:tcPr>
          <w:p w14:paraId="2387CC28" w14:textId="77777777" w:rsidR="00AD17A2" w:rsidRPr="00B86BF8" w:rsidRDefault="00AD17A2" w:rsidP="00F2401D">
            <w:pPr>
              <w:tabs>
                <w:tab w:val="left" w:pos="351"/>
              </w:tabs>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 xml:space="preserve">Priemonei „Alternatyva“ įgyvendinti skiriama </w:t>
            </w:r>
            <w:r w:rsidR="00E373CF" w:rsidRPr="00B86BF8">
              <w:rPr>
                <w:rFonts w:ascii="Times New Roman" w:hAnsi="Times New Roman"/>
                <w:sz w:val="24"/>
                <w:szCs w:val="24"/>
                <w:lang w:val="lt-LT"/>
              </w:rPr>
              <w:t>5</w:t>
            </w:r>
            <w:r w:rsidRPr="00B86BF8">
              <w:rPr>
                <w:rFonts w:ascii="Times New Roman" w:hAnsi="Times New Roman"/>
                <w:sz w:val="24"/>
                <w:szCs w:val="24"/>
                <w:lang w:val="lt-LT"/>
              </w:rPr>
              <w:t>0 mln. EUR. Priemonei skirta lėšų suma gali būti keičiama</w:t>
            </w:r>
            <w:r w:rsidR="00057B5C" w:rsidRPr="00B86BF8">
              <w:rPr>
                <w:rFonts w:ascii="Times New Roman" w:hAnsi="Times New Roman"/>
                <w:sz w:val="24"/>
                <w:szCs w:val="24"/>
                <w:lang w:val="lt-LT"/>
              </w:rPr>
              <w:t xml:space="preserve"> (didinama arba mažinama)</w:t>
            </w:r>
            <w:r w:rsidRPr="00B86BF8">
              <w:rPr>
                <w:rFonts w:ascii="Times New Roman" w:hAnsi="Times New Roman"/>
                <w:sz w:val="24"/>
                <w:szCs w:val="24"/>
                <w:lang w:val="lt-LT"/>
              </w:rPr>
              <w:t>. Priemonės „Alternatyva“ lėšas FT naudoja pagal Priemonės „Alternatyva“ sąlygas</w:t>
            </w:r>
          </w:p>
        </w:tc>
      </w:tr>
      <w:tr w:rsidR="00AD17A2" w:rsidRPr="00B86BF8" w14:paraId="593EB7C2" w14:textId="77777777" w:rsidTr="00096157">
        <w:trPr>
          <w:trHeight w:val="630"/>
        </w:trPr>
        <w:tc>
          <w:tcPr>
            <w:tcW w:w="3139" w:type="dxa"/>
            <w:noWrap/>
            <w:hideMark/>
          </w:tcPr>
          <w:p w14:paraId="149B5C17" w14:textId="77777777" w:rsidR="00AD17A2" w:rsidRPr="00B86BF8" w:rsidRDefault="00AD17A2"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Tinkamumo laikotarpis (iki kada pasirašomos Paskolos sutartys)</w:t>
            </w:r>
          </w:p>
        </w:tc>
        <w:tc>
          <w:tcPr>
            <w:tcW w:w="11987" w:type="dxa"/>
            <w:gridSpan w:val="2"/>
          </w:tcPr>
          <w:p w14:paraId="272889E4" w14:textId="77777777" w:rsidR="00AD17A2" w:rsidRPr="00B86BF8" w:rsidRDefault="00AD17A2"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FT </w:t>
            </w:r>
            <w:r w:rsidR="00C108E3" w:rsidRPr="00B86BF8">
              <w:rPr>
                <w:rFonts w:ascii="Times New Roman" w:hAnsi="Times New Roman"/>
                <w:sz w:val="24"/>
                <w:szCs w:val="24"/>
                <w:lang w:val="lt-LT"/>
              </w:rPr>
              <w:t>P</w:t>
            </w:r>
            <w:r w:rsidRPr="00B86BF8">
              <w:rPr>
                <w:rFonts w:ascii="Times New Roman" w:hAnsi="Times New Roman"/>
                <w:sz w:val="24"/>
                <w:szCs w:val="24"/>
                <w:lang w:val="lt-LT"/>
              </w:rPr>
              <w:t xml:space="preserve">askolos sutartis su Paskolos gavėjais gali pasirašyti </w:t>
            </w:r>
            <w:r w:rsidR="00B81CC5" w:rsidRPr="00B86BF8">
              <w:rPr>
                <w:rFonts w:ascii="Times New Roman" w:hAnsi="Times New Roman"/>
                <w:sz w:val="24"/>
                <w:szCs w:val="24"/>
                <w:lang w:val="lt-LT"/>
              </w:rPr>
              <w:t>ne vėliau kaip iki 202</w:t>
            </w:r>
            <w:r w:rsidR="00D14F52" w:rsidRPr="00B86BF8">
              <w:rPr>
                <w:rFonts w:ascii="Times New Roman" w:hAnsi="Times New Roman"/>
                <w:sz w:val="24"/>
                <w:szCs w:val="24"/>
                <w:lang w:val="lt-LT"/>
              </w:rPr>
              <w:t>3</w:t>
            </w:r>
            <w:r w:rsidR="00B81CC5" w:rsidRPr="00B86BF8">
              <w:rPr>
                <w:rFonts w:ascii="Times New Roman" w:hAnsi="Times New Roman"/>
                <w:sz w:val="24"/>
                <w:szCs w:val="24"/>
                <w:lang w:val="lt-LT"/>
              </w:rPr>
              <w:t xml:space="preserve"> m. liepos 31</w:t>
            </w:r>
            <w:r w:rsidR="000A7D77" w:rsidRPr="00B86BF8">
              <w:rPr>
                <w:rFonts w:ascii="Times New Roman" w:hAnsi="Times New Roman"/>
                <w:sz w:val="24"/>
                <w:szCs w:val="24"/>
                <w:lang w:val="lt-LT"/>
              </w:rPr>
              <w:t xml:space="preserve"> d</w:t>
            </w:r>
            <w:r w:rsidR="005E5AC4" w:rsidRPr="00B86BF8">
              <w:rPr>
                <w:rFonts w:ascii="Times New Roman" w:hAnsi="Times New Roman"/>
                <w:sz w:val="24"/>
                <w:szCs w:val="24"/>
                <w:lang w:val="lt-LT"/>
              </w:rPr>
              <w:t xml:space="preserve">., </w:t>
            </w:r>
            <w:r w:rsidRPr="00B86BF8">
              <w:rPr>
                <w:rFonts w:ascii="Times New Roman" w:hAnsi="Times New Roman"/>
                <w:sz w:val="24"/>
                <w:szCs w:val="24"/>
                <w:lang w:val="lt-LT"/>
              </w:rPr>
              <w:t>su galimybe šį terminą pratęsti</w:t>
            </w:r>
          </w:p>
        </w:tc>
      </w:tr>
      <w:tr w:rsidR="00573B59" w:rsidRPr="00B86BF8" w14:paraId="49A6E37B" w14:textId="77777777" w:rsidTr="00096157">
        <w:trPr>
          <w:trHeight w:val="630"/>
        </w:trPr>
        <w:tc>
          <w:tcPr>
            <w:tcW w:w="3139" w:type="dxa"/>
            <w:noWrap/>
          </w:tcPr>
          <w:p w14:paraId="561C75B3" w14:textId="77777777" w:rsidR="00573B59" w:rsidRPr="00B86BF8" w:rsidRDefault="00CF0127"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Priemonės „Alternatyva“ lėšų grąžinimo terminas</w:t>
            </w:r>
          </w:p>
        </w:tc>
        <w:tc>
          <w:tcPr>
            <w:tcW w:w="11987" w:type="dxa"/>
            <w:gridSpan w:val="2"/>
          </w:tcPr>
          <w:p w14:paraId="1CDC4745" w14:textId="77777777" w:rsidR="00573B59" w:rsidRPr="00B86BF8" w:rsidRDefault="00CF0127"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Priemonės „Alternatyva“ lėšos „Invegai“ turi būti grąžintos ne vėliau nei per </w:t>
            </w:r>
            <w:r w:rsidR="00D14F52" w:rsidRPr="00B86BF8">
              <w:rPr>
                <w:rFonts w:ascii="Times New Roman" w:hAnsi="Times New Roman"/>
                <w:sz w:val="24"/>
                <w:szCs w:val="24"/>
                <w:lang w:val="lt-LT"/>
              </w:rPr>
              <w:t>3</w:t>
            </w:r>
            <w:r w:rsidRPr="00B86BF8">
              <w:rPr>
                <w:rFonts w:ascii="Times New Roman" w:hAnsi="Times New Roman"/>
                <w:sz w:val="24"/>
                <w:szCs w:val="24"/>
                <w:lang w:val="lt-LT"/>
              </w:rPr>
              <w:t xml:space="preserve"> metus nuo Tinkamumo laikotarpio pabaigos</w:t>
            </w:r>
          </w:p>
        </w:tc>
      </w:tr>
      <w:tr w:rsidR="00AD17A2" w:rsidRPr="00B86BF8" w14:paraId="08474509" w14:textId="77777777" w:rsidTr="00096157">
        <w:trPr>
          <w:trHeight w:val="630"/>
        </w:trPr>
        <w:tc>
          <w:tcPr>
            <w:tcW w:w="3139" w:type="dxa"/>
            <w:noWrap/>
          </w:tcPr>
          <w:p w14:paraId="2271AF1E" w14:textId="77777777" w:rsidR="00AD17A2" w:rsidRPr="00B86BF8" w:rsidRDefault="00AD17A2"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Paskolų išmokėjimo laikotarpis</w:t>
            </w:r>
          </w:p>
        </w:tc>
        <w:tc>
          <w:tcPr>
            <w:tcW w:w="11987" w:type="dxa"/>
            <w:gridSpan w:val="2"/>
          </w:tcPr>
          <w:p w14:paraId="7E57C5AC" w14:textId="09F9E280" w:rsidR="00AD17A2" w:rsidRPr="00B86BF8" w:rsidRDefault="00AD17A2" w:rsidP="00F2401D">
            <w:pPr>
              <w:keepNext/>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 xml:space="preserve">Lėšos pagal pasirašytas </w:t>
            </w:r>
            <w:r w:rsidR="00547D56" w:rsidRPr="00B86BF8">
              <w:rPr>
                <w:rFonts w:ascii="Times New Roman" w:hAnsi="Times New Roman"/>
                <w:sz w:val="24"/>
                <w:szCs w:val="24"/>
                <w:lang w:val="lt-LT"/>
              </w:rPr>
              <w:t>P</w:t>
            </w:r>
            <w:r w:rsidRPr="00B86BF8">
              <w:rPr>
                <w:rFonts w:ascii="Times New Roman" w:hAnsi="Times New Roman"/>
                <w:sz w:val="24"/>
                <w:szCs w:val="24"/>
                <w:lang w:val="lt-LT"/>
              </w:rPr>
              <w:t>askolos sutartis Paskolų gavėjams gali būti išmokamos ne vėliau kaip per 90 dienų nuo Tinkamumo laikotarpio pabaigos</w:t>
            </w:r>
          </w:p>
        </w:tc>
      </w:tr>
      <w:tr w:rsidR="00AD17A2" w:rsidRPr="00B86BF8" w14:paraId="69764354" w14:textId="77777777" w:rsidTr="00096157">
        <w:trPr>
          <w:trHeight w:val="903"/>
        </w:trPr>
        <w:tc>
          <w:tcPr>
            <w:tcW w:w="3139" w:type="dxa"/>
          </w:tcPr>
          <w:p w14:paraId="31300CF6" w14:textId="77777777" w:rsidR="00AD17A2" w:rsidRPr="00B86BF8" w:rsidRDefault="00AD17A2"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Paskolų rizikos prisiėmimas</w:t>
            </w:r>
          </w:p>
        </w:tc>
        <w:tc>
          <w:tcPr>
            <w:tcW w:w="11987" w:type="dxa"/>
            <w:gridSpan w:val="2"/>
            <w:noWrap/>
          </w:tcPr>
          <w:p w14:paraId="1B6E1708" w14:textId="4E7DEED6" w:rsidR="00AD17A2" w:rsidRPr="00B86BF8" w:rsidRDefault="00AD17A2"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FT prisiima visą su Priemonės „Alternatyva“ lėšų skolinimu SVV subjektams susijusią riziką</w:t>
            </w:r>
            <w:r w:rsidR="00E86983" w:rsidRPr="00B86BF8">
              <w:rPr>
                <w:rFonts w:ascii="Times New Roman" w:hAnsi="Times New Roman"/>
                <w:sz w:val="24"/>
                <w:szCs w:val="24"/>
                <w:lang w:val="lt-LT"/>
              </w:rPr>
              <w:t xml:space="preserve">, t.y. FT </w:t>
            </w:r>
            <w:r w:rsidR="00E86983" w:rsidRPr="00FE0BE3">
              <w:rPr>
                <w:rFonts w:ascii="Times New Roman" w:hAnsi="Times New Roman"/>
                <w:sz w:val="24"/>
                <w:szCs w:val="24"/>
                <w:lang w:val="lt-LT"/>
              </w:rPr>
              <w:t xml:space="preserve">turi besąlygiškai grąžinti Priemonės </w:t>
            </w:r>
            <w:r w:rsidR="00E86983" w:rsidRPr="00B86BF8">
              <w:rPr>
                <w:rFonts w:ascii="Times New Roman" w:hAnsi="Times New Roman"/>
                <w:sz w:val="24"/>
                <w:szCs w:val="24"/>
                <w:lang w:val="lt-LT"/>
              </w:rPr>
              <w:t>„</w:t>
            </w:r>
            <w:r w:rsidR="00E86983" w:rsidRPr="00FE0BE3">
              <w:rPr>
                <w:rFonts w:ascii="Times New Roman" w:hAnsi="Times New Roman"/>
                <w:sz w:val="24"/>
                <w:szCs w:val="24"/>
                <w:lang w:val="lt-LT"/>
              </w:rPr>
              <w:t>Alternatyva”</w:t>
            </w:r>
            <w:r w:rsidR="005B72F7" w:rsidRPr="00FE0BE3">
              <w:rPr>
                <w:rFonts w:ascii="Times New Roman" w:hAnsi="Times New Roman"/>
                <w:sz w:val="24"/>
                <w:szCs w:val="24"/>
                <w:lang w:val="lt-LT"/>
              </w:rPr>
              <w:t xml:space="preserve"> </w:t>
            </w:r>
            <w:r w:rsidR="00E86983" w:rsidRPr="00FE0BE3">
              <w:rPr>
                <w:rFonts w:ascii="Times New Roman" w:hAnsi="Times New Roman"/>
                <w:sz w:val="24"/>
                <w:szCs w:val="24"/>
                <w:lang w:val="lt-LT"/>
              </w:rPr>
              <w:t>lėšas į INVEGOS fondą</w:t>
            </w:r>
            <w:r w:rsidR="00E86983" w:rsidRPr="00B86BF8">
              <w:rPr>
                <w:rFonts w:ascii="Times New Roman" w:hAnsi="Times New Roman"/>
                <w:szCs w:val="24"/>
                <w:lang w:val="lt-LT"/>
              </w:rPr>
              <w:t xml:space="preserve"> </w:t>
            </w:r>
          </w:p>
        </w:tc>
      </w:tr>
      <w:tr w:rsidR="00F2401D" w:rsidRPr="00B86BF8" w14:paraId="2DCBF60B" w14:textId="77777777" w:rsidTr="005B72F7">
        <w:trPr>
          <w:trHeight w:val="630"/>
        </w:trPr>
        <w:tc>
          <w:tcPr>
            <w:tcW w:w="3139" w:type="dxa"/>
            <w:noWrap/>
            <w:hideMark/>
          </w:tcPr>
          <w:p w14:paraId="7901DAE8" w14:textId="77777777" w:rsidR="00F2401D" w:rsidRPr="00B86BF8" w:rsidRDefault="00F2401D" w:rsidP="00F2401D">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Paskolos tinkamumo sąlygos</w:t>
            </w:r>
          </w:p>
          <w:p w14:paraId="5737FDFA" w14:textId="77777777" w:rsidR="00F2401D" w:rsidRPr="00B86BF8" w:rsidRDefault="00F2401D" w:rsidP="00F2401D">
            <w:pPr>
              <w:spacing w:after="0" w:line="240" w:lineRule="auto"/>
              <w:rPr>
                <w:rFonts w:ascii="Times New Roman" w:hAnsi="Times New Roman"/>
                <w:b/>
                <w:sz w:val="24"/>
                <w:szCs w:val="24"/>
                <w:lang w:val="lt-LT"/>
              </w:rPr>
            </w:pPr>
          </w:p>
        </w:tc>
        <w:tc>
          <w:tcPr>
            <w:tcW w:w="5928" w:type="dxa"/>
            <w:hideMark/>
          </w:tcPr>
          <w:p w14:paraId="1A1737DD" w14:textId="45B225D7" w:rsidR="00F2401D" w:rsidRPr="00B86BF8" w:rsidRDefault="00F2401D"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Tinkamomis yra paskolos, skirtos SVV subjekto investicijoms finansuoti ir (ar) apyvartinio kapitalo trūkumui papildyti, jeigu toks finansavimas yra susijęs su </w:t>
            </w:r>
            <w:r w:rsidRPr="00B86BF8">
              <w:rPr>
                <w:rFonts w:ascii="Times New Roman" w:hAnsi="Times New Roman"/>
                <w:sz w:val="24"/>
                <w:szCs w:val="24"/>
                <w:lang w:val="lt-LT"/>
              </w:rPr>
              <w:lastRenderedPageBreak/>
              <w:t xml:space="preserve">SVV subjekto naujos veiklos pradėjimu arba esamos veiklos palaikymu, stiprinimu ar plėtra. </w:t>
            </w:r>
          </w:p>
          <w:p w14:paraId="07C6DD2D" w14:textId="0423D124" w:rsidR="00F2401D" w:rsidRPr="00B86BF8" w:rsidRDefault="00F2401D"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FT Sutartyje nustatyta tvarka gali iki 30 proc. </w:t>
            </w:r>
            <w:r w:rsidR="00E86983" w:rsidRPr="00B86BF8">
              <w:rPr>
                <w:rFonts w:ascii="Times New Roman" w:hAnsi="Times New Roman"/>
                <w:sz w:val="24"/>
                <w:szCs w:val="24"/>
                <w:lang w:val="lt-LT"/>
              </w:rPr>
              <w:t>FT</w:t>
            </w:r>
            <w:r w:rsidRPr="00B86BF8">
              <w:rPr>
                <w:rFonts w:ascii="Times New Roman" w:hAnsi="Times New Roman"/>
                <w:sz w:val="24"/>
                <w:szCs w:val="24"/>
                <w:lang w:val="lt-LT"/>
              </w:rPr>
              <w:t xml:space="preserve"> paskolintų (pervestų) Priemonės „Alternatyva“ lėšų iki 2020 m. gruodžio 31 d. naudoti </w:t>
            </w:r>
            <w:r w:rsidR="0049162A" w:rsidRPr="00B86BF8">
              <w:rPr>
                <w:rFonts w:ascii="Times New Roman" w:hAnsi="Times New Roman"/>
                <w:sz w:val="24"/>
                <w:szCs w:val="24"/>
                <w:lang w:val="lt-LT"/>
              </w:rPr>
              <w:t xml:space="preserve">FT suteiktoms </w:t>
            </w:r>
            <w:r w:rsidRPr="00B86BF8">
              <w:rPr>
                <w:rFonts w:ascii="Times New Roman" w:hAnsi="Times New Roman"/>
                <w:sz w:val="24"/>
                <w:szCs w:val="24"/>
                <w:lang w:val="lt-LT"/>
              </w:rPr>
              <w:t>paskoloms</w:t>
            </w:r>
            <w:r w:rsidR="008E3812" w:rsidRPr="00B86BF8">
              <w:rPr>
                <w:rFonts w:ascii="Times New Roman" w:hAnsi="Times New Roman"/>
                <w:sz w:val="24"/>
                <w:szCs w:val="24"/>
                <w:lang w:val="lt-LT"/>
              </w:rPr>
              <w:t xml:space="preserve"> perfinansuoti</w:t>
            </w:r>
            <w:r w:rsidRPr="00B86BF8">
              <w:rPr>
                <w:rFonts w:ascii="Times New Roman" w:hAnsi="Times New Roman"/>
                <w:sz w:val="24"/>
                <w:szCs w:val="24"/>
                <w:lang w:val="lt-LT"/>
              </w:rPr>
              <w:t xml:space="preserve">, </w:t>
            </w:r>
            <w:r w:rsidR="008E3812" w:rsidRPr="00B86BF8">
              <w:rPr>
                <w:rFonts w:ascii="Times New Roman" w:hAnsi="Times New Roman"/>
                <w:sz w:val="24"/>
                <w:szCs w:val="24"/>
                <w:lang w:val="lt-LT"/>
              </w:rPr>
              <w:t>kai</w:t>
            </w:r>
            <w:r w:rsidRPr="00B86BF8">
              <w:rPr>
                <w:rFonts w:ascii="Times New Roman" w:hAnsi="Times New Roman"/>
                <w:sz w:val="24"/>
                <w:szCs w:val="24"/>
                <w:lang w:val="lt-LT"/>
              </w:rPr>
              <w:t xml:space="preserve"> siekiama pagerinti Paskolų gavėjų finansavimo sąlygas, t. y. keičiami paskolų grąžinimo grafikai (ilginant grąžinimo terminą) ar atidedamas paskolos įmokų grąžinimas. FT turi turėti Priemonės „Alternatyva“ lėšomis finansuotos Paskolos gavėjui suteiktos paskolos paskirtį (panaudojimą) pagrindžiančius dokumentus, išskyrus tuos atvejus, kai </w:t>
            </w:r>
            <w:r w:rsidR="00FE0BE3">
              <w:rPr>
                <w:rFonts w:ascii="Times New Roman" w:hAnsi="Times New Roman"/>
                <w:sz w:val="24"/>
                <w:szCs w:val="24"/>
                <w:lang w:val="lt-LT"/>
              </w:rPr>
              <w:t>Paskolos s</w:t>
            </w:r>
            <w:r w:rsidRPr="00B86BF8">
              <w:rPr>
                <w:rFonts w:ascii="Times New Roman" w:hAnsi="Times New Roman"/>
                <w:sz w:val="24"/>
                <w:szCs w:val="24"/>
                <w:lang w:val="lt-LT"/>
              </w:rPr>
              <w:t>utartyje yra nurodyta, kad tokius dokumentus turi kaupti pats Paskolos gavėjas.</w:t>
            </w:r>
          </w:p>
          <w:p w14:paraId="731FAA30" w14:textId="77777777" w:rsidR="00F2401D" w:rsidRPr="00B86BF8" w:rsidRDefault="00F2401D" w:rsidP="00F2401D">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Paskolomis, skirtomis investicijoms, laikomos tokios paskolos, kai paskolos dalis, skirta investicijoms finansuoti, sudaro ne mažiau kaip 51 proc. visos paskolos sumos, o likusi paskolos dalis gali būti skirta apyvartinio kapitalo trūkumui papildyti. Visais kitais atvejais laikoma, kad visa paskola yra skirta apyvartai</w:t>
            </w:r>
          </w:p>
        </w:tc>
        <w:tc>
          <w:tcPr>
            <w:tcW w:w="6059" w:type="dxa"/>
          </w:tcPr>
          <w:p w14:paraId="20D0DF09" w14:textId="5157CA5F" w:rsidR="003F4ACF"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lastRenderedPageBreak/>
              <w:t>Tinkamomis yra paskolos, skirtos SVV subjekto investicijoms finansuoti ir (ar) apyvartinio kapitalo trūkumui papildyti</w:t>
            </w:r>
            <w:r w:rsidR="00087A0F" w:rsidRPr="00B86BF8">
              <w:rPr>
                <w:rFonts w:ascii="Times New Roman" w:hAnsi="Times New Roman"/>
                <w:sz w:val="24"/>
                <w:szCs w:val="24"/>
                <w:lang w:val="lt-LT"/>
              </w:rPr>
              <w:t xml:space="preserve">, </w:t>
            </w:r>
            <w:r w:rsidRPr="00B86BF8">
              <w:rPr>
                <w:rFonts w:ascii="Times New Roman" w:hAnsi="Times New Roman"/>
                <w:sz w:val="24"/>
                <w:szCs w:val="24"/>
                <w:lang w:val="lt-LT"/>
              </w:rPr>
              <w:t xml:space="preserve">jeigu toks finansavimas yra susijęs su SVV </w:t>
            </w:r>
            <w:r w:rsidRPr="00B86BF8">
              <w:rPr>
                <w:rFonts w:ascii="Times New Roman" w:hAnsi="Times New Roman"/>
                <w:sz w:val="24"/>
                <w:szCs w:val="24"/>
                <w:lang w:val="lt-LT"/>
              </w:rPr>
              <w:lastRenderedPageBreak/>
              <w:t xml:space="preserve">subjekto naujos veiklos pradėjimu arba esamos veiklos palaikymu, stiprinimu ar plėtra. </w:t>
            </w:r>
          </w:p>
          <w:p w14:paraId="2FFB7594" w14:textId="5934EE17" w:rsidR="00E86983" w:rsidRPr="00B86BF8" w:rsidRDefault="00E86983"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Paskolos perfinansavimui neteikiamos. </w:t>
            </w:r>
          </w:p>
          <w:p w14:paraId="08092FD1" w14:textId="6D1B1031" w:rsidR="003F4ACF"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FT turi turėti Priemonės „Alternatyva“ lėšomis finansuotos Paskolos gavėjui suteiktos paskolos paskirtį (panaudojimą) pagrindžiančius dokumentus, išskyrus tuos atvejus, kai </w:t>
            </w:r>
            <w:r w:rsidR="00547D56" w:rsidRPr="00B86BF8">
              <w:rPr>
                <w:rFonts w:ascii="Times New Roman" w:hAnsi="Times New Roman"/>
                <w:sz w:val="24"/>
                <w:szCs w:val="24"/>
                <w:lang w:val="lt-LT"/>
              </w:rPr>
              <w:t>Paskolos s</w:t>
            </w:r>
            <w:r w:rsidRPr="00B86BF8">
              <w:rPr>
                <w:rFonts w:ascii="Times New Roman" w:hAnsi="Times New Roman"/>
                <w:sz w:val="24"/>
                <w:szCs w:val="24"/>
                <w:lang w:val="lt-LT"/>
              </w:rPr>
              <w:t>utartyje yra nurodyta, kad tokius dokumentus turi kaupti pats Paskolos gavėjas.</w:t>
            </w:r>
          </w:p>
          <w:p w14:paraId="637C2CB5" w14:textId="77777777" w:rsidR="00F2401D"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Paskolomis, skirtomis investicijoms, laikomos tokios paskolos, kai paskolos dalis, skirta investicijoms finansuoti, sudaro ne mažiau kaip 51 proc. visos paskolos sumos, o likusi paskolos dalis gali būti skirta apyvartinio kapitalo trūkumui papildyti. Visais kitais atvejais laikoma, kad visa paskola yra skirta apyvartai</w:t>
            </w:r>
          </w:p>
        </w:tc>
      </w:tr>
      <w:tr w:rsidR="00690897" w:rsidRPr="00B86BF8" w14:paraId="168D3F78" w14:textId="77777777" w:rsidTr="00690897">
        <w:trPr>
          <w:trHeight w:val="278"/>
        </w:trPr>
        <w:tc>
          <w:tcPr>
            <w:tcW w:w="3139" w:type="dxa"/>
            <w:vMerge w:val="restart"/>
            <w:noWrap/>
            <w:hideMark/>
          </w:tcPr>
          <w:p w14:paraId="4EFA9282" w14:textId="77777777" w:rsidR="00690897" w:rsidRPr="00B86BF8" w:rsidRDefault="00690897" w:rsidP="003F4ACF">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lastRenderedPageBreak/>
              <w:t>Netinkamos paskolos pagal priemonę</w:t>
            </w:r>
          </w:p>
          <w:p w14:paraId="7DD35F96" w14:textId="77777777" w:rsidR="00690897" w:rsidRPr="00B86BF8" w:rsidRDefault="00690897" w:rsidP="003F4ACF">
            <w:pPr>
              <w:spacing w:after="0" w:line="240" w:lineRule="auto"/>
              <w:rPr>
                <w:rFonts w:ascii="Times New Roman" w:hAnsi="Times New Roman"/>
                <w:b/>
                <w:sz w:val="24"/>
                <w:szCs w:val="24"/>
                <w:lang w:val="lt-LT"/>
              </w:rPr>
            </w:pPr>
          </w:p>
        </w:tc>
        <w:tc>
          <w:tcPr>
            <w:tcW w:w="11987" w:type="dxa"/>
            <w:gridSpan w:val="2"/>
            <w:hideMark/>
          </w:tcPr>
          <w:p w14:paraId="3106FFF2" w14:textId="77777777" w:rsidR="00690897" w:rsidRPr="00B86BF8" w:rsidRDefault="00690897"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1. </w:t>
            </w:r>
            <w:bookmarkStart w:id="14" w:name="_Hlk37921472"/>
            <w:r w:rsidRPr="00B86BF8">
              <w:rPr>
                <w:rFonts w:ascii="Times New Roman" w:hAnsi="Times New Roman"/>
                <w:sz w:val="24"/>
                <w:szCs w:val="24"/>
                <w:lang w:val="lt-LT"/>
              </w:rPr>
              <w:t>Paskolos gyvenamųjų pastatų, butų (apartamentų) įsigijimui, statybai ir (ar) investicijoms į gyvenamųjų pastatų, butų (apartamentų) būklės pagerinimą, kai tai nėra tiesiogiai susiję su SVV subjekto vykdoma veikla;</w:t>
            </w:r>
          </w:p>
          <w:bookmarkEnd w:id="14"/>
          <w:p w14:paraId="7495A387" w14:textId="77777777" w:rsidR="00690897" w:rsidRPr="00B86BF8" w:rsidRDefault="00690897"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2. Paskolos, suteiktos SVV subjektams, vykdantiems grynai finansinę veiklą, kai šios veiklos vykdomos kaip finansinių investicijų veikla (išskyrus kai šie Paskolų gavėjai vysto finansines technologijas). Finansinės technologijos (angl. FinTech) – tai technologijomis pagrįstos finansinės inovacijos, padedančios kurti naujus verslo modelius, veiklos programas, procesus ir produktus. Šios inovacijos turi reikšmingą poveikį finansų rinkoms, institucijoms ir finansinėms paslaugoms.</w:t>
            </w:r>
          </w:p>
          <w:p w14:paraId="2BAF7039" w14:textId="77777777" w:rsidR="00690897" w:rsidRPr="00B86BF8" w:rsidRDefault="00690897"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3. Paskolos, suteiktos SVV subjektams, kurie tiesiogiai veikia ginklų ir šaudmenų, tabako ir tabako gaminių bei distiliuotų alkoholinių gėrimų gamybos, perdirbimo bei prekybos sektoriuose;</w:t>
            </w:r>
          </w:p>
          <w:p w14:paraId="0471100E" w14:textId="77777777" w:rsidR="00690897" w:rsidRPr="00B86BF8" w:rsidRDefault="00690897"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4. Paskolos skirtos investicijoms į įmones, užsiimančias azartinių lošimų organizavimu;</w:t>
            </w:r>
          </w:p>
          <w:p w14:paraId="7EAB8EAB" w14:textId="26C0C9F6" w:rsidR="00690897" w:rsidRPr="00B86BF8" w:rsidRDefault="00690897" w:rsidP="00FE0BE3">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lastRenderedPageBreak/>
              <w:t xml:space="preserve">5. Paskolos lėšos negali būti skirtos išsimokėti dividendus, mažinti kapitalą išmokant lėšas Paskolos gavėjo dalyviams, supirkti savas akcijas ar atlikti kitokius mokėjimus iš kapitalo Paskolos gavėjo dalyviams, taip pat negali būti skirtas grąžinti arba suteikti paskolas Paskolos gavėjo dalyviams ar su jais susijusiems asmenims. </w:t>
            </w:r>
          </w:p>
        </w:tc>
      </w:tr>
      <w:tr w:rsidR="00690897" w:rsidRPr="00B86BF8" w14:paraId="4501089B" w14:textId="54590970" w:rsidTr="008F7C9D">
        <w:trPr>
          <w:trHeight w:val="278"/>
        </w:trPr>
        <w:tc>
          <w:tcPr>
            <w:tcW w:w="3139" w:type="dxa"/>
            <w:vMerge/>
            <w:noWrap/>
          </w:tcPr>
          <w:p w14:paraId="2C5C2A37" w14:textId="77777777" w:rsidR="00690897" w:rsidRPr="00B86BF8" w:rsidRDefault="00690897" w:rsidP="003F4ACF">
            <w:pPr>
              <w:spacing w:after="0" w:line="240" w:lineRule="auto"/>
              <w:rPr>
                <w:rFonts w:ascii="Times New Roman" w:hAnsi="Times New Roman"/>
                <w:b/>
                <w:sz w:val="24"/>
                <w:szCs w:val="24"/>
                <w:lang w:val="lt-LT"/>
              </w:rPr>
            </w:pPr>
          </w:p>
        </w:tc>
        <w:tc>
          <w:tcPr>
            <w:tcW w:w="5928" w:type="dxa"/>
          </w:tcPr>
          <w:p w14:paraId="66CC41B1" w14:textId="77777777" w:rsidR="00690897" w:rsidRPr="00B86BF8" w:rsidRDefault="00690897" w:rsidP="003F4ACF">
            <w:pPr>
              <w:spacing w:after="0" w:line="240" w:lineRule="auto"/>
              <w:jc w:val="both"/>
              <w:rPr>
                <w:rFonts w:ascii="Times New Roman" w:hAnsi="Times New Roman"/>
                <w:sz w:val="24"/>
                <w:szCs w:val="24"/>
                <w:lang w:val="lt-LT"/>
              </w:rPr>
            </w:pPr>
          </w:p>
        </w:tc>
        <w:tc>
          <w:tcPr>
            <w:tcW w:w="6059" w:type="dxa"/>
          </w:tcPr>
          <w:p w14:paraId="76CBFB3B" w14:textId="278C0F22" w:rsidR="00690897" w:rsidRPr="00B86BF8" w:rsidRDefault="00690897" w:rsidP="00B86BF8">
            <w:pPr>
              <w:pStyle w:val="ListParagraph"/>
              <w:numPr>
                <w:ilvl w:val="0"/>
                <w:numId w:val="39"/>
              </w:numPr>
              <w:tabs>
                <w:tab w:val="left" w:pos="298"/>
              </w:tabs>
              <w:spacing w:after="0" w:line="240" w:lineRule="auto"/>
              <w:ind w:left="0" w:firstLine="0"/>
              <w:jc w:val="both"/>
              <w:rPr>
                <w:rFonts w:ascii="Times New Roman" w:hAnsi="Times New Roman"/>
                <w:sz w:val="24"/>
                <w:szCs w:val="24"/>
                <w:lang w:val="lt-LT"/>
              </w:rPr>
            </w:pPr>
            <w:r w:rsidRPr="00B86BF8">
              <w:rPr>
                <w:rFonts w:ascii="Times New Roman" w:hAnsi="Times New Roman"/>
                <w:sz w:val="24"/>
                <w:szCs w:val="24"/>
                <w:lang w:val="lt-LT"/>
              </w:rPr>
              <w:t>Paskolos gavėjo finansinių įsipareigojimų perfinansavimui</w:t>
            </w:r>
          </w:p>
        </w:tc>
      </w:tr>
      <w:tr w:rsidR="003F4ACF" w:rsidRPr="00B86BF8" w14:paraId="650F55EE" w14:textId="77777777" w:rsidTr="00096157">
        <w:trPr>
          <w:trHeight w:val="562"/>
        </w:trPr>
        <w:tc>
          <w:tcPr>
            <w:tcW w:w="3139" w:type="dxa"/>
            <w:noWrap/>
          </w:tcPr>
          <w:p w14:paraId="008082A2" w14:textId="77777777" w:rsidR="003F4ACF" w:rsidRPr="00B86BF8" w:rsidRDefault="003F4ACF" w:rsidP="003F4ACF">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 xml:space="preserve">Priemonės „Alternatyva“ lėšų, skirtų paskoloms teikti, išmokėjimas </w:t>
            </w:r>
          </w:p>
        </w:tc>
        <w:tc>
          <w:tcPr>
            <w:tcW w:w="11987" w:type="dxa"/>
            <w:gridSpan w:val="2"/>
          </w:tcPr>
          <w:p w14:paraId="5D202BA2" w14:textId="77777777" w:rsidR="003F4ACF"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Priemonės „Alternatyva“ lėšos gali būti naudojamos tik finansuoti Paskolos gavėją. Priemonės „Alternatyva“ lėšos yra pervedamos Sutartyje nustatyta tvarka į FT sąskait</w:t>
            </w:r>
            <w:r w:rsidR="00457125" w:rsidRPr="00B86BF8">
              <w:rPr>
                <w:rFonts w:ascii="Times New Roman" w:hAnsi="Times New Roman"/>
                <w:sz w:val="24"/>
                <w:szCs w:val="24"/>
                <w:lang w:val="lt-LT"/>
              </w:rPr>
              <w:t>as</w:t>
            </w:r>
            <w:r w:rsidR="00310326" w:rsidRPr="00B86BF8">
              <w:rPr>
                <w:rFonts w:ascii="Times New Roman" w:hAnsi="Times New Roman"/>
                <w:sz w:val="24"/>
                <w:szCs w:val="24"/>
                <w:lang w:val="lt-LT"/>
              </w:rPr>
              <w:t xml:space="preserve">, atidarytas </w:t>
            </w:r>
            <w:r w:rsidR="00EB6B14" w:rsidRPr="00B86BF8">
              <w:rPr>
                <w:rFonts w:ascii="Times New Roman" w:hAnsi="Times New Roman"/>
                <w:sz w:val="24"/>
                <w:szCs w:val="24"/>
                <w:lang w:val="lt-LT"/>
              </w:rPr>
              <w:t>Priemon</w:t>
            </w:r>
            <w:r w:rsidR="00CD0EE6" w:rsidRPr="00B86BF8">
              <w:rPr>
                <w:rFonts w:ascii="Times New Roman" w:hAnsi="Times New Roman"/>
                <w:sz w:val="24"/>
                <w:szCs w:val="24"/>
                <w:lang w:val="lt-LT"/>
              </w:rPr>
              <w:t>ei „Alternatyva“ rinkos sąlygomis</w:t>
            </w:r>
            <w:r w:rsidR="00EB6B14" w:rsidRPr="00B86BF8">
              <w:rPr>
                <w:rFonts w:ascii="Times New Roman" w:hAnsi="Times New Roman"/>
                <w:sz w:val="24"/>
                <w:szCs w:val="24"/>
                <w:lang w:val="lt-LT"/>
              </w:rPr>
              <w:t xml:space="preserve"> </w:t>
            </w:r>
            <w:r w:rsidR="00310326" w:rsidRPr="00B86BF8">
              <w:rPr>
                <w:rFonts w:ascii="Times New Roman" w:hAnsi="Times New Roman"/>
                <w:sz w:val="24"/>
                <w:szCs w:val="24"/>
                <w:lang w:val="lt-LT"/>
              </w:rPr>
              <w:t xml:space="preserve">ir </w:t>
            </w:r>
            <w:r w:rsidR="00CD0EE6" w:rsidRPr="00B86BF8">
              <w:rPr>
                <w:rFonts w:ascii="Times New Roman" w:hAnsi="Times New Roman"/>
                <w:sz w:val="24"/>
                <w:szCs w:val="24"/>
                <w:lang w:val="lt-LT"/>
              </w:rPr>
              <w:t xml:space="preserve">Priemonei „Alternatyva“ </w:t>
            </w:r>
            <w:r w:rsidR="00CD0EE6" w:rsidRPr="00B86BF8">
              <w:rPr>
                <w:rFonts w:ascii="Times New Roman" w:hAnsi="Times New Roman"/>
                <w:i/>
                <w:iCs/>
                <w:sz w:val="24"/>
                <w:szCs w:val="24"/>
                <w:lang w:val="lt-LT"/>
              </w:rPr>
              <w:t>de minimis</w:t>
            </w:r>
            <w:r w:rsidR="00CD0EE6" w:rsidRPr="00B86BF8">
              <w:rPr>
                <w:rFonts w:ascii="Times New Roman" w:hAnsi="Times New Roman"/>
                <w:sz w:val="24"/>
                <w:szCs w:val="24"/>
                <w:lang w:val="lt-LT"/>
              </w:rPr>
              <w:t xml:space="preserve"> pagalba</w:t>
            </w:r>
            <w:r w:rsidR="00310326" w:rsidRPr="00B86BF8">
              <w:rPr>
                <w:rFonts w:ascii="Times New Roman" w:hAnsi="Times New Roman"/>
                <w:sz w:val="24"/>
                <w:szCs w:val="24"/>
                <w:lang w:val="lt-LT"/>
              </w:rPr>
              <w:t>.</w:t>
            </w:r>
          </w:p>
          <w:p w14:paraId="3636DB31" w14:textId="77777777" w:rsidR="003F4ACF"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bCs/>
                <w:sz w:val="24"/>
                <w:szCs w:val="24"/>
                <w:lang w:val="lt-LT"/>
              </w:rPr>
              <w:t>Po Sutarties pasirašymo ir sąlygų dėl užtikrinimo priemonių įvykdymo, FT prašymu FT gali būti pervedamas avansas paskoloms teikti, kuris negali būti didesnis kaip 200 000 Eur. FT panaudojus avanso lėšas, jis gali teikti prašymą atstatyti avanso sumą.</w:t>
            </w:r>
          </w:p>
          <w:p w14:paraId="7183B6F9" w14:textId="77777777" w:rsidR="003F4ACF"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Lėšos FT pervedamos dalimis pagal FT pateiktus mokėjimo prašymus pagrindinėse s</w:t>
            </w:r>
            <w:r w:rsidR="00741209" w:rsidRPr="00B86BF8">
              <w:rPr>
                <w:rFonts w:ascii="Times New Roman" w:hAnsi="Times New Roman"/>
                <w:sz w:val="24"/>
                <w:szCs w:val="24"/>
                <w:lang w:val="lt-LT"/>
              </w:rPr>
              <w:t>ą</w:t>
            </w:r>
            <w:r w:rsidRPr="00B86BF8">
              <w:rPr>
                <w:rFonts w:ascii="Times New Roman" w:hAnsi="Times New Roman"/>
                <w:sz w:val="24"/>
                <w:szCs w:val="24"/>
                <w:lang w:val="lt-LT"/>
              </w:rPr>
              <w:t>lygose ir Sutartyje nustatyta tvarka</w:t>
            </w:r>
          </w:p>
        </w:tc>
      </w:tr>
      <w:tr w:rsidR="003F4ACF" w:rsidRPr="00B86BF8" w14:paraId="4237B957" w14:textId="77777777" w:rsidTr="005B72F7">
        <w:trPr>
          <w:trHeight w:val="699"/>
        </w:trPr>
        <w:tc>
          <w:tcPr>
            <w:tcW w:w="3139" w:type="dxa"/>
            <w:shd w:val="clear" w:color="auto" w:fill="auto"/>
          </w:tcPr>
          <w:p w14:paraId="186085D2" w14:textId="77777777" w:rsidR="003F4ACF" w:rsidRPr="00B86BF8" w:rsidRDefault="003F4ACF" w:rsidP="003F4ACF">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Finansų tarpininko mokamos palūkanos ir jų mokėjimo tvarka</w:t>
            </w:r>
          </w:p>
        </w:tc>
        <w:tc>
          <w:tcPr>
            <w:tcW w:w="5928" w:type="dxa"/>
            <w:shd w:val="clear" w:color="auto" w:fill="auto"/>
          </w:tcPr>
          <w:p w14:paraId="49FA9484" w14:textId="77777777" w:rsidR="00674BF2"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Už Priemonės „Alternatyva“ </w:t>
            </w:r>
            <w:r w:rsidR="007602C0" w:rsidRPr="00B86BF8">
              <w:rPr>
                <w:rFonts w:ascii="Times New Roman" w:hAnsi="Times New Roman"/>
                <w:sz w:val="24"/>
                <w:szCs w:val="24"/>
                <w:lang w:val="lt-LT"/>
              </w:rPr>
              <w:t>rinkos sąlygom</w:t>
            </w:r>
            <w:r w:rsidR="00DD55EB" w:rsidRPr="00B86BF8">
              <w:rPr>
                <w:rFonts w:ascii="Times New Roman" w:hAnsi="Times New Roman"/>
                <w:sz w:val="24"/>
                <w:szCs w:val="24"/>
                <w:lang w:val="lt-LT"/>
              </w:rPr>
              <w:t xml:space="preserve">is </w:t>
            </w:r>
            <w:r w:rsidRPr="00B86BF8">
              <w:rPr>
                <w:rFonts w:ascii="Times New Roman" w:hAnsi="Times New Roman"/>
                <w:sz w:val="24"/>
                <w:szCs w:val="24"/>
                <w:lang w:val="lt-LT"/>
              </w:rPr>
              <w:t xml:space="preserve">lėšas FT „Invegai“ moka fiksuotą palūkanų normą, </w:t>
            </w:r>
            <w:r w:rsidR="00DE0B5B" w:rsidRPr="00B86BF8">
              <w:rPr>
                <w:rFonts w:ascii="Times New Roman" w:hAnsi="Times New Roman"/>
                <w:sz w:val="24"/>
                <w:szCs w:val="24"/>
                <w:lang w:val="lt-LT"/>
              </w:rPr>
              <w:t xml:space="preserve">bet ne mažiau kaip 6 proc. metinių palūkanų, </w:t>
            </w:r>
            <w:r w:rsidRPr="00B86BF8">
              <w:rPr>
                <w:rFonts w:ascii="Times New Roman" w:hAnsi="Times New Roman"/>
                <w:sz w:val="24"/>
                <w:szCs w:val="24"/>
                <w:lang w:val="lt-LT"/>
              </w:rPr>
              <w:t>kuri apskaičiuojama, kaip</w:t>
            </w:r>
            <w:r w:rsidR="00674BF2" w:rsidRPr="00B86BF8">
              <w:rPr>
                <w:rFonts w:ascii="Times New Roman" w:hAnsi="Times New Roman"/>
                <w:sz w:val="24"/>
                <w:szCs w:val="24"/>
                <w:lang w:val="lt-LT"/>
              </w:rPr>
              <w:t>:</w:t>
            </w:r>
          </w:p>
          <w:p w14:paraId="2D2073E1" w14:textId="77777777" w:rsidR="00B517FC" w:rsidRPr="00B86BF8" w:rsidRDefault="003F4ACF" w:rsidP="00591742">
            <w:pPr>
              <w:pStyle w:val="ListParagraph"/>
              <w:numPr>
                <w:ilvl w:val="0"/>
                <w:numId w:val="37"/>
              </w:numPr>
              <w:tabs>
                <w:tab w:val="left" w:pos="391"/>
              </w:tabs>
              <w:spacing w:after="0" w:line="240" w:lineRule="auto"/>
              <w:ind w:left="38" w:firstLine="0"/>
              <w:jc w:val="both"/>
              <w:rPr>
                <w:rFonts w:ascii="Times New Roman" w:hAnsi="Times New Roman"/>
                <w:sz w:val="24"/>
                <w:szCs w:val="24"/>
                <w:lang w:val="lt-LT"/>
              </w:rPr>
            </w:pPr>
            <w:r w:rsidRPr="00B86BF8">
              <w:rPr>
                <w:rFonts w:ascii="Times New Roman" w:hAnsi="Times New Roman"/>
                <w:sz w:val="24"/>
                <w:szCs w:val="24"/>
                <w:lang w:val="lt-LT"/>
              </w:rPr>
              <w:t>paskutinių penkių FT sudarytų skolinimosi sandorių (skolinimosi sandoriai sudaryti tarp FT ir susijusių asmenų** nevertinami) svertinis vidutinės metinės palūkanų normos vidurkis</w:t>
            </w:r>
            <w:r w:rsidR="0032636D" w:rsidRPr="00B86BF8">
              <w:rPr>
                <w:rFonts w:ascii="Times New Roman" w:hAnsi="Times New Roman"/>
                <w:sz w:val="24"/>
                <w:szCs w:val="24"/>
                <w:lang w:val="lt-LT"/>
              </w:rPr>
              <w:t xml:space="preserve">, </w:t>
            </w:r>
            <w:r w:rsidR="00B517FC" w:rsidRPr="00B86BF8">
              <w:rPr>
                <w:rFonts w:ascii="Times New Roman" w:hAnsi="Times New Roman"/>
                <w:sz w:val="24"/>
                <w:szCs w:val="24"/>
                <w:lang w:val="lt-LT"/>
              </w:rPr>
              <w:t>arba</w:t>
            </w:r>
            <w:bookmarkStart w:id="15" w:name="_Hlk38964391"/>
            <w:bookmarkStart w:id="16" w:name="_Hlk38970598"/>
          </w:p>
          <w:p w14:paraId="510A561B" w14:textId="3197F384" w:rsidR="002C43C7" w:rsidRPr="00B86BF8" w:rsidRDefault="00C81961" w:rsidP="00591742">
            <w:pPr>
              <w:pStyle w:val="ListParagraph"/>
              <w:numPr>
                <w:ilvl w:val="0"/>
                <w:numId w:val="37"/>
              </w:numPr>
              <w:tabs>
                <w:tab w:val="left" w:pos="391"/>
              </w:tabs>
              <w:spacing w:after="0" w:line="240" w:lineRule="auto"/>
              <w:ind w:left="38" w:firstLine="0"/>
              <w:jc w:val="both"/>
              <w:rPr>
                <w:rFonts w:ascii="Times New Roman" w:hAnsi="Times New Roman"/>
                <w:sz w:val="24"/>
                <w:szCs w:val="24"/>
                <w:lang w:val="lt-LT"/>
              </w:rPr>
            </w:pPr>
            <w:r w:rsidRPr="00B86BF8">
              <w:rPr>
                <w:rFonts w:ascii="Times New Roman" w:hAnsi="Times New Roman"/>
                <w:sz w:val="24"/>
                <w:szCs w:val="24"/>
                <w:lang w:val="lt-LT"/>
              </w:rPr>
              <w:t>svertinis palūkanų normų, taikomų kitiems FT, dėl kurių yra priimti sprendimai sudaryti Sutartis paskolinant Priemonės „Alternatyva“ lėšas, vidurkis</w:t>
            </w:r>
            <w:r w:rsidR="00BC765B" w:rsidRPr="00B86BF8">
              <w:rPr>
                <w:rFonts w:ascii="Times New Roman" w:hAnsi="Times New Roman"/>
                <w:sz w:val="24"/>
                <w:szCs w:val="24"/>
                <w:lang w:val="lt-LT"/>
              </w:rPr>
              <w:t>, jeigu FT</w:t>
            </w:r>
            <w:r w:rsidR="00DC303D" w:rsidRPr="00B86BF8">
              <w:rPr>
                <w:rFonts w:ascii="Times New Roman" w:hAnsi="Times New Roman"/>
                <w:sz w:val="24"/>
                <w:szCs w:val="24"/>
                <w:lang w:val="lt-LT"/>
              </w:rPr>
              <w:t xml:space="preserve"> yra k</w:t>
            </w:r>
            <w:r w:rsidR="003F4ACF" w:rsidRPr="00B86BF8">
              <w:rPr>
                <w:rFonts w:ascii="Times New Roman" w:hAnsi="Times New Roman"/>
                <w:sz w:val="24"/>
                <w:szCs w:val="24"/>
                <w:lang w:val="lt-LT"/>
              </w:rPr>
              <w:t>olektyvinio investavimo subjektas ar valdymo įmonė, jei kolektyvinio investavimo subjekto valdymas perduotas valdymo įmonei</w:t>
            </w:r>
            <w:r w:rsidR="0052765D" w:rsidRPr="00B86BF8">
              <w:rPr>
                <w:rFonts w:ascii="Times New Roman" w:hAnsi="Times New Roman"/>
                <w:sz w:val="24"/>
                <w:szCs w:val="24"/>
                <w:lang w:val="lt-LT"/>
              </w:rPr>
              <w:t>, arba,</w:t>
            </w:r>
          </w:p>
          <w:p w14:paraId="14961BB5" w14:textId="77777777" w:rsidR="00DC303D" w:rsidRPr="00B86BF8" w:rsidRDefault="00033E86" w:rsidP="00591742">
            <w:pPr>
              <w:pStyle w:val="ListParagraph"/>
              <w:numPr>
                <w:ilvl w:val="0"/>
                <w:numId w:val="37"/>
              </w:numPr>
              <w:tabs>
                <w:tab w:val="left" w:pos="391"/>
              </w:tabs>
              <w:spacing w:after="0" w:line="240" w:lineRule="auto"/>
              <w:ind w:left="38" w:firstLine="0"/>
              <w:jc w:val="both"/>
              <w:rPr>
                <w:rFonts w:ascii="Times New Roman" w:hAnsi="Times New Roman"/>
                <w:sz w:val="24"/>
                <w:szCs w:val="24"/>
                <w:lang w:val="lt-LT"/>
              </w:rPr>
            </w:pPr>
            <w:r w:rsidRPr="00B86BF8">
              <w:rPr>
                <w:rFonts w:ascii="Times New Roman" w:hAnsi="Times New Roman"/>
                <w:sz w:val="24"/>
                <w:szCs w:val="24"/>
                <w:lang w:val="lt-LT"/>
              </w:rPr>
              <w:t>FT arba FT 100 proc. valdančios įmonės paskutinės viešai išplatintos obligacijų emisijos palūkanų norma</w:t>
            </w:r>
            <w:r w:rsidR="0052765D" w:rsidRPr="00B86BF8">
              <w:rPr>
                <w:rFonts w:ascii="Times New Roman" w:hAnsi="Times New Roman"/>
                <w:sz w:val="24"/>
                <w:szCs w:val="24"/>
                <w:lang w:val="lt-LT"/>
              </w:rPr>
              <w:t>.</w:t>
            </w:r>
          </w:p>
          <w:bookmarkEnd w:id="15"/>
          <w:p w14:paraId="5DB1B6AF" w14:textId="77777777" w:rsidR="003F4ACF" w:rsidRPr="00B86BF8" w:rsidRDefault="007B652E" w:rsidP="00DC303D">
            <w:pPr>
              <w:pStyle w:val="ListParagraph"/>
              <w:tabs>
                <w:tab w:val="left" w:pos="391"/>
              </w:tabs>
              <w:spacing w:after="0" w:line="240" w:lineRule="auto"/>
              <w:ind w:left="38"/>
              <w:jc w:val="both"/>
              <w:rPr>
                <w:rFonts w:ascii="Times New Roman" w:hAnsi="Times New Roman"/>
                <w:sz w:val="24"/>
                <w:szCs w:val="24"/>
                <w:lang w:val="lt-LT"/>
              </w:rPr>
            </w:pPr>
            <w:r w:rsidRPr="00B86BF8">
              <w:rPr>
                <w:rFonts w:ascii="Times New Roman" w:hAnsi="Times New Roman"/>
                <w:sz w:val="24"/>
                <w:szCs w:val="24"/>
                <w:lang w:val="lt-LT"/>
              </w:rPr>
              <w:t>Nustatant palūkanų normą vertinami ne mažesni kaip 100 000 Eur skolinimosi sandoriai</w:t>
            </w:r>
            <w:r w:rsidR="00240107" w:rsidRPr="00B86BF8">
              <w:rPr>
                <w:rFonts w:ascii="Times New Roman" w:hAnsi="Times New Roman"/>
                <w:sz w:val="24"/>
                <w:szCs w:val="24"/>
                <w:lang w:val="lt-LT"/>
              </w:rPr>
              <w:t>.</w:t>
            </w:r>
            <w:r w:rsidRPr="00B86BF8">
              <w:rPr>
                <w:rStyle w:val="CommentReference"/>
                <w:rFonts w:cs="Times New Roman"/>
                <w:lang w:val="lt-LT" w:eastAsia="lt-LT"/>
              </w:rPr>
              <w:t xml:space="preserve"> </w:t>
            </w:r>
          </w:p>
          <w:bookmarkEnd w:id="16"/>
          <w:p w14:paraId="05BA3FCE" w14:textId="77777777" w:rsidR="003F4ACF" w:rsidRPr="00B86BF8" w:rsidRDefault="003F4ACF" w:rsidP="003F4ACF">
            <w:pPr>
              <w:spacing w:after="0" w:line="240" w:lineRule="auto"/>
              <w:jc w:val="both"/>
              <w:rPr>
                <w:rFonts w:ascii="Times New Roman" w:hAnsi="Times New Roman"/>
                <w:strike/>
                <w:sz w:val="24"/>
                <w:szCs w:val="24"/>
                <w:lang w:val="lt-LT"/>
              </w:rPr>
            </w:pPr>
            <w:r w:rsidRPr="00B86BF8">
              <w:rPr>
                <w:rFonts w:ascii="Times New Roman" w:hAnsi="Times New Roman"/>
                <w:sz w:val="24"/>
                <w:szCs w:val="24"/>
                <w:lang w:val="lt-LT"/>
              </w:rPr>
              <w:lastRenderedPageBreak/>
              <w:t xml:space="preserve">FT „Invegai“ mokėtinoms palūkanoms apskaičiuoti imami metiniai duomenys. </w:t>
            </w:r>
          </w:p>
          <w:p w14:paraId="552E6859" w14:textId="77777777" w:rsidR="003F4ACF"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Skaičiuojant palūkanas, laikoma, kad metai turi 360 dienų, o mėnuo – 30 dienų.</w:t>
            </w:r>
          </w:p>
          <w:p w14:paraId="7066061B" w14:textId="77777777" w:rsidR="00B220D8" w:rsidRPr="00B86BF8" w:rsidRDefault="00B220D8"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Palūkanos, kurios mokamos pagal tarp „Invegos“ ir FT </w:t>
            </w:r>
            <w:r w:rsidR="00691E1A" w:rsidRPr="00B86BF8">
              <w:rPr>
                <w:rFonts w:ascii="Times New Roman" w:hAnsi="Times New Roman"/>
                <w:sz w:val="24"/>
                <w:szCs w:val="24"/>
                <w:lang w:val="lt-LT"/>
              </w:rPr>
              <w:t>pasirašytą</w:t>
            </w:r>
            <w:r w:rsidRPr="00B86BF8">
              <w:rPr>
                <w:rFonts w:ascii="Times New Roman" w:hAnsi="Times New Roman"/>
                <w:sz w:val="24"/>
                <w:szCs w:val="24"/>
                <w:lang w:val="lt-LT"/>
              </w:rPr>
              <w:t xml:space="preserve"> Sutartį, turi būti pervedamos „Invegai“ Sutartyje nustatytais terminais ir tvarka</w:t>
            </w:r>
          </w:p>
        </w:tc>
        <w:tc>
          <w:tcPr>
            <w:tcW w:w="6059" w:type="dxa"/>
            <w:shd w:val="clear" w:color="auto" w:fill="auto"/>
          </w:tcPr>
          <w:p w14:paraId="1505299B" w14:textId="69F5FDD0" w:rsidR="00240F00" w:rsidRPr="00B86BF8" w:rsidRDefault="003F4ACF"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lastRenderedPageBreak/>
              <w:t>Už Priemonės „Alternatyva“</w:t>
            </w:r>
            <w:r w:rsidR="00F221E1" w:rsidRPr="00B86BF8">
              <w:rPr>
                <w:rFonts w:ascii="Times New Roman" w:hAnsi="Times New Roman"/>
                <w:b/>
                <w:bCs/>
                <w:sz w:val="24"/>
                <w:szCs w:val="24"/>
                <w:lang w:val="lt-LT"/>
              </w:rPr>
              <w:t xml:space="preserve"> </w:t>
            </w:r>
            <w:r w:rsidR="00F221E1" w:rsidRPr="00B86BF8">
              <w:rPr>
                <w:rFonts w:ascii="Times New Roman" w:hAnsi="Times New Roman"/>
                <w:i/>
                <w:iCs/>
                <w:sz w:val="24"/>
                <w:szCs w:val="24"/>
                <w:lang w:val="lt-LT"/>
              </w:rPr>
              <w:t>de minimis</w:t>
            </w:r>
            <w:r w:rsidR="00F221E1" w:rsidRPr="00B86BF8">
              <w:rPr>
                <w:rFonts w:ascii="Times New Roman" w:hAnsi="Times New Roman"/>
                <w:sz w:val="24"/>
                <w:szCs w:val="24"/>
                <w:lang w:val="lt-LT"/>
              </w:rPr>
              <w:t xml:space="preserve"> pagalba</w:t>
            </w:r>
            <w:r w:rsidR="00F221E1" w:rsidRPr="00B86BF8">
              <w:rPr>
                <w:rFonts w:ascii="Times New Roman" w:hAnsi="Times New Roman"/>
                <w:b/>
                <w:bCs/>
                <w:sz w:val="24"/>
                <w:szCs w:val="24"/>
                <w:lang w:val="lt-LT"/>
              </w:rPr>
              <w:t xml:space="preserve"> </w:t>
            </w:r>
            <w:r w:rsidRPr="00B86BF8">
              <w:rPr>
                <w:rFonts w:ascii="Times New Roman" w:hAnsi="Times New Roman"/>
                <w:sz w:val="24"/>
                <w:szCs w:val="24"/>
                <w:lang w:val="lt-LT"/>
              </w:rPr>
              <w:t xml:space="preserve">lėšas FT „Invegai“ moka </w:t>
            </w:r>
            <w:r w:rsidR="00E673D9" w:rsidRPr="00B86BF8">
              <w:rPr>
                <w:rFonts w:ascii="Times New Roman" w:hAnsi="Times New Roman"/>
                <w:sz w:val="24"/>
                <w:szCs w:val="24"/>
                <w:lang w:val="lt-LT"/>
              </w:rPr>
              <w:t xml:space="preserve">palūkanas, kurios sudaro </w:t>
            </w:r>
            <w:r w:rsidR="00E673D9" w:rsidRPr="005B72F7">
              <w:rPr>
                <w:rFonts w:ascii="Times New Roman" w:hAnsi="Times New Roman"/>
                <w:sz w:val="24"/>
                <w:lang w:val="lt-LT"/>
              </w:rPr>
              <w:t>1 proc. m</w:t>
            </w:r>
            <w:r w:rsidR="00E673D9" w:rsidRPr="00B86BF8">
              <w:rPr>
                <w:rFonts w:ascii="Times New Roman" w:hAnsi="Times New Roman"/>
                <w:sz w:val="24"/>
                <w:szCs w:val="24"/>
                <w:lang w:val="lt-LT"/>
              </w:rPr>
              <w:t>etin</w:t>
            </w:r>
            <w:r w:rsidR="005A0C12" w:rsidRPr="00B86BF8">
              <w:rPr>
                <w:rFonts w:ascii="Times New Roman" w:hAnsi="Times New Roman"/>
                <w:sz w:val="24"/>
                <w:szCs w:val="24"/>
                <w:lang w:val="lt-LT"/>
              </w:rPr>
              <w:t>ę</w:t>
            </w:r>
            <w:r w:rsidR="00E673D9" w:rsidRPr="00B86BF8">
              <w:rPr>
                <w:rFonts w:ascii="Times New Roman" w:hAnsi="Times New Roman"/>
                <w:sz w:val="24"/>
                <w:szCs w:val="24"/>
                <w:lang w:val="lt-LT"/>
              </w:rPr>
              <w:t xml:space="preserve"> </w:t>
            </w:r>
            <w:r w:rsidRPr="00B86BF8">
              <w:rPr>
                <w:rFonts w:ascii="Times New Roman" w:hAnsi="Times New Roman"/>
                <w:sz w:val="24"/>
                <w:szCs w:val="24"/>
                <w:lang w:val="lt-LT"/>
              </w:rPr>
              <w:t>pal</w:t>
            </w:r>
            <w:r w:rsidR="005D75D7" w:rsidRPr="00B86BF8">
              <w:rPr>
                <w:rFonts w:ascii="Times New Roman" w:hAnsi="Times New Roman"/>
                <w:sz w:val="24"/>
                <w:szCs w:val="24"/>
                <w:lang w:val="lt-LT"/>
              </w:rPr>
              <w:t>ūkanų</w:t>
            </w:r>
            <w:r w:rsidR="00E673D9" w:rsidRPr="00B86BF8">
              <w:rPr>
                <w:rFonts w:ascii="Times New Roman" w:hAnsi="Times New Roman"/>
                <w:sz w:val="24"/>
                <w:szCs w:val="24"/>
                <w:lang w:val="lt-LT"/>
              </w:rPr>
              <w:t xml:space="preserve"> norm</w:t>
            </w:r>
            <w:r w:rsidR="00240F00" w:rsidRPr="00B86BF8">
              <w:rPr>
                <w:rFonts w:ascii="Times New Roman" w:hAnsi="Times New Roman"/>
                <w:sz w:val="24"/>
                <w:szCs w:val="24"/>
                <w:lang w:val="lt-LT"/>
              </w:rPr>
              <w:t>ą.</w:t>
            </w:r>
          </w:p>
          <w:p w14:paraId="0219D317" w14:textId="77777777" w:rsidR="005D75D7" w:rsidRPr="00D100E2" w:rsidRDefault="00560398"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Paskola SVV </w:t>
            </w:r>
            <w:r w:rsidR="00B77784" w:rsidRPr="00B86BF8">
              <w:rPr>
                <w:rFonts w:ascii="Times New Roman" w:hAnsi="Times New Roman"/>
                <w:sz w:val="24"/>
                <w:szCs w:val="24"/>
                <w:lang w:val="lt-LT"/>
              </w:rPr>
              <w:t xml:space="preserve">subjektams </w:t>
            </w:r>
            <w:r w:rsidRPr="00B86BF8">
              <w:rPr>
                <w:rFonts w:ascii="Times New Roman" w:hAnsi="Times New Roman"/>
                <w:sz w:val="24"/>
                <w:szCs w:val="24"/>
                <w:lang w:val="lt-LT"/>
              </w:rPr>
              <w:t xml:space="preserve">teikiama kaip </w:t>
            </w:r>
            <w:r w:rsidRPr="00B86BF8">
              <w:rPr>
                <w:rFonts w:ascii="Times New Roman" w:hAnsi="Times New Roman"/>
                <w:i/>
                <w:iCs/>
                <w:sz w:val="24"/>
                <w:szCs w:val="24"/>
                <w:lang w:val="lt-LT"/>
              </w:rPr>
              <w:t>de mini</w:t>
            </w:r>
            <w:r w:rsidR="009C1C5A" w:rsidRPr="00B86BF8">
              <w:rPr>
                <w:rFonts w:ascii="Times New Roman" w:hAnsi="Times New Roman"/>
                <w:i/>
                <w:iCs/>
                <w:sz w:val="24"/>
                <w:szCs w:val="24"/>
                <w:lang w:val="lt-LT"/>
              </w:rPr>
              <w:t>mis</w:t>
            </w:r>
            <w:r w:rsidR="009C1C5A" w:rsidRPr="00B86BF8">
              <w:rPr>
                <w:rFonts w:ascii="Times New Roman" w:hAnsi="Times New Roman"/>
                <w:sz w:val="24"/>
                <w:szCs w:val="24"/>
                <w:lang w:val="lt-LT"/>
              </w:rPr>
              <w:t xml:space="preserve"> pagalba</w:t>
            </w:r>
            <w:r w:rsidR="005D75D7" w:rsidRPr="00B86BF8">
              <w:rPr>
                <w:rFonts w:ascii="Times New Roman" w:hAnsi="Times New Roman"/>
                <w:sz w:val="24"/>
                <w:szCs w:val="24"/>
                <w:lang w:val="lt-LT"/>
              </w:rPr>
              <w:t xml:space="preserve">. </w:t>
            </w:r>
            <w:r w:rsidR="00741209" w:rsidRPr="00B86BF8">
              <w:rPr>
                <w:rFonts w:ascii="Times New Roman" w:hAnsi="Times New Roman"/>
                <w:sz w:val="24"/>
                <w:szCs w:val="24"/>
                <w:lang w:val="lt-LT"/>
              </w:rPr>
              <w:t>P</w:t>
            </w:r>
            <w:r w:rsidR="005D75D7" w:rsidRPr="00B86BF8">
              <w:rPr>
                <w:rFonts w:ascii="Times New Roman" w:hAnsi="Times New Roman"/>
                <w:sz w:val="24"/>
                <w:szCs w:val="24"/>
                <w:lang w:val="lt-LT"/>
              </w:rPr>
              <w:t>riemonės „Alternatyv</w:t>
            </w:r>
            <w:r w:rsidR="00741209" w:rsidRPr="00B86BF8">
              <w:rPr>
                <w:rFonts w:ascii="Times New Roman" w:hAnsi="Times New Roman"/>
                <w:sz w:val="24"/>
                <w:szCs w:val="24"/>
                <w:lang w:val="lt-LT"/>
              </w:rPr>
              <w:t>a</w:t>
            </w:r>
            <w:r w:rsidR="005D75D7" w:rsidRPr="00B86BF8">
              <w:rPr>
                <w:rFonts w:ascii="Times New Roman" w:hAnsi="Times New Roman"/>
                <w:sz w:val="24"/>
                <w:szCs w:val="24"/>
                <w:lang w:val="lt-LT"/>
              </w:rPr>
              <w:t>“</w:t>
            </w:r>
            <w:r w:rsidR="00701D46" w:rsidRPr="00B86BF8">
              <w:rPr>
                <w:rFonts w:ascii="Times New Roman" w:hAnsi="Times New Roman"/>
                <w:i/>
                <w:iCs/>
                <w:sz w:val="24"/>
                <w:szCs w:val="24"/>
                <w:lang w:val="lt-LT"/>
              </w:rPr>
              <w:t xml:space="preserve"> de minimis</w:t>
            </w:r>
            <w:r w:rsidR="00701D46" w:rsidRPr="00B86BF8">
              <w:rPr>
                <w:rFonts w:ascii="Times New Roman" w:hAnsi="Times New Roman"/>
                <w:sz w:val="24"/>
                <w:szCs w:val="24"/>
                <w:lang w:val="lt-LT"/>
              </w:rPr>
              <w:t xml:space="preserve"> pagalba</w:t>
            </w:r>
            <w:r w:rsidR="005D75D7" w:rsidRPr="00B86BF8">
              <w:rPr>
                <w:rFonts w:ascii="Times New Roman" w:hAnsi="Times New Roman"/>
                <w:sz w:val="24"/>
                <w:szCs w:val="24"/>
                <w:lang w:val="lt-LT"/>
              </w:rPr>
              <w:t xml:space="preserve"> nauda </w:t>
            </w:r>
            <w:r w:rsidR="009D521B" w:rsidRPr="00B86BF8">
              <w:rPr>
                <w:rFonts w:ascii="Times New Roman" w:hAnsi="Times New Roman"/>
                <w:sz w:val="24"/>
                <w:szCs w:val="24"/>
                <w:lang w:val="lt-LT"/>
              </w:rPr>
              <w:t xml:space="preserve">perduodama </w:t>
            </w:r>
            <w:r w:rsidR="005D75D7" w:rsidRPr="00B86BF8">
              <w:rPr>
                <w:rFonts w:ascii="Times New Roman" w:hAnsi="Times New Roman"/>
                <w:sz w:val="24"/>
                <w:szCs w:val="24"/>
                <w:lang w:val="lt-LT"/>
              </w:rPr>
              <w:t>SVV subjektams (</w:t>
            </w:r>
            <w:r w:rsidR="009E5B88" w:rsidRPr="00B86BF8">
              <w:rPr>
                <w:rFonts w:ascii="Times New Roman" w:hAnsi="Times New Roman"/>
                <w:sz w:val="24"/>
                <w:szCs w:val="24"/>
                <w:lang w:val="lt-LT"/>
              </w:rPr>
              <w:t>P</w:t>
            </w:r>
            <w:r w:rsidR="005D75D7" w:rsidRPr="00B86BF8">
              <w:rPr>
                <w:rFonts w:ascii="Times New Roman" w:hAnsi="Times New Roman"/>
                <w:sz w:val="24"/>
                <w:szCs w:val="24"/>
                <w:lang w:val="lt-LT"/>
              </w:rPr>
              <w:t>askolos gavėjams)</w:t>
            </w:r>
            <w:r w:rsidR="00901BF5" w:rsidRPr="00B86BF8">
              <w:rPr>
                <w:rFonts w:ascii="Times New Roman" w:hAnsi="Times New Roman"/>
                <w:sz w:val="24"/>
                <w:szCs w:val="24"/>
                <w:lang w:val="lt-LT"/>
              </w:rPr>
              <w:t xml:space="preserve">, </w:t>
            </w:r>
            <w:r w:rsidR="00901BF5" w:rsidRPr="00D100E2">
              <w:rPr>
                <w:rFonts w:ascii="Times New Roman" w:hAnsi="Times New Roman"/>
                <w:sz w:val="24"/>
                <w:szCs w:val="24"/>
                <w:lang w:val="lt-LT"/>
              </w:rPr>
              <w:t xml:space="preserve">suteikiant </w:t>
            </w:r>
            <w:r w:rsidR="00901BF5" w:rsidRPr="00D100E2">
              <w:rPr>
                <w:rFonts w:ascii="Times New Roman" w:hAnsi="Times New Roman"/>
                <w:i/>
                <w:iCs/>
                <w:sz w:val="24"/>
                <w:szCs w:val="24"/>
                <w:lang w:val="lt-LT"/>
              </w:rPr>
              <w:t>de minimis</w:t>
            </w:r>
            <w:r w:rsidR="00901BF5" w:rsidRPr="00D100E2">
              <w:rPr>
                <w:rFonts w:ascii="Times New Roman" w:hAnsi="Times New Roman"/>
                <w:sz w:val="24"/>
                <w:szCs w:val="24"/>
                <w:lang w:val="lt-LT"/>
              </w:rPr>
              <w:t xml:space="preserve"> pagalbą</w:t>
            </w:r>
          </w:p>
          <w:p w14:paraId="5E7D4D20" w14:textId="77777777" w:rsidR="00A27C53" w:rsidRPr="00D100E2" w:rsidRDefault="00A27C53" w:rsidP="00A27C53">
            <w:pPr>
              <w:spacing w:after="0" w:line="240" w:lineRule="auto"/>
              <w:jc w:val="both"/>
              <w:rPr>
                <w:rFonts w:ascii="Times New Roman" w:hAnsi="Times New Roman"/>
                <w:strike/>
                <w:sz w:val="24"/>
                <w:szCs w:val="24"/>
                <w:lang w:val="lt-LT"/>
              </w:rPr>
            </w:pPr>
            <w:r w:rsidRPr="00D100E2">
              <w:rPr>
                <w:rFonts w:ascii="Times New Roman" w:hAnsi="Times New Roman"/>
                <w:sz w:val="24"/>
                <w:szCs w:val="24"/>
                <w:lang w:val="lt-LT"/>
              </w:rPr>
              <w:t xml:space="preserve">FT „Invegai“ mokėtinoms palūkanoms apskaičiuoti imami metiniai duomenys. </w:t>
            </w:r>
          </w:p>
          <w:p w14:paraId="0804C08F" w14:textId="77777777" w:rsidR="00A27C53" w:rsidRPr="00D100E2" w:rsidRDefault="00A27C53" w:rsidP="00A27C53">
            <w:pPr>
              <w:spacing w:after="0" w:line="240" w:lineRule="auto"/>
              <w:jc w:val="both"/>
              <w:rPr>
                <w:rFonts w:ascii="Times New Roman" w:hAnsi="Times New Roman"/>
                <w:sz w:val="24"/>
                <w:szCs w:val="24"/>
                <w:lang w:val="lt-LT"/>
              </w:rPr>
            </w:pPr>
            <w:r w:rsidRPr="00D100E2">
              <w:rPr>
                <w:rFonts w:ascii="Times New Roman" w:hAnsi="Times New Roman"/>
                <w:sz w:val="24"/>
                <w:szCs w:val="24"/>
                <w:lang w:val="lt-LT"/>
              </w:rPr>
              <w:t>Skaičiuojant palūkanas, laikoma, kad metai turi 360 dienų, o mėnuo – 30 dienų.</w:t>
            </w:r>
          </w:p>
          <w:p w14:paraId="33C3BA2D" w14:textId="0915E5EE" w:rsidR="003F4ACF" w:rsidRPr="00B86BF8" w:rsidRDefault="00A27C53" w:rsidP="00A27C53">
            <w:pPr>
              <w:spacing w:after="0" w:line="240" w:lineRule="auto"/>
              <w:jc w:val="both"/>
              <w:rPr>
                <w:rFonts w:ascii="Times New Roman" w:hAnsi="Times New Roman"/>
                <w:strike/>
                <w:sz w:val="24"/>
                <w:szCs w:val="24"/>
                <w:lang w:val="lt-LT"/>
              </w:rPr>
            </w:pPr>
            <w:r w:rsidRPr="00D100E2">
              <w:rPr>
                <w:rFonts w:ascii="Times New Roman" w:hAnsi="Times New Roman"/>
                <w:sz w:val="24"/>
                <w:szCs w:val="24"/>
                <w:lang w:val="lt-LT"/>
              </w:rPr>
              <w:t>Palūkanos, kurios mokamos pagal tarp „Invegos“ ir FT pasirašytą Sutartį, turi būti pervedamos „Invegai“ Sutartyje nustatytais terminais ir tvarka</w:t>
            </w:r>
          </w:p>
          <w:p w14:paraId="76CA1941" w14:textId="77777777" w:rsidR="003F4ACF" w:rsidRPr="00B86BF8" w:rsidRDefault="003F4ACF" w:rsidP="003F4ACF">
            <w:pPr>
              <w:spacing w:after="0" w:line="240" w:lineRule="auto"/>
              <w:jc w:val="both"/>
              <w:rPr>
                <w:rFonts w:ascii="Times New Roman" w:hAnsi="Times New Roman"/>
                <w:sz w:val="24"/>
                <w:szCs w:val="24"/>
                <w:lang w:val="lt-LT"/>
              </w:rPr>
            </w:pPr>
          </w:p>
        </w:tc>
      </w:tr>
      <w:tr w:rsidR="009E5B88" w:rsidRPr="00B86BF8" w14:paraId="360D88E3" w14:textId="77777777" w:rsidTr="00096157">
        <w:trPr>
          <w:trHeight w:val="699"/>
        </w:trPr>
        <w:tc>
          <w:tcPr>
            <w:tcW w:w="3139" w:type="dxa"/>
          </w:tcPr>
          <w:p w14:paraId="6ECE19A4" w14:textId="77777777" w:rsidR="009E5B88" w:rsidRPr="00B86BF8" w:rsidRDefault="009E5B88" w:rsidP="009E5B88">
            <w:pPr>
              <w:tabs>
                <w:tab w:val="left" w:pos="993"/>
              </w:tabs>
              <w:autoSpaceDE w:val="0"/>
              <w:autoSpaceDN w:val="0"/>
              <w:adjustRightInd w:val="0"/>
              <w:spacing w:after="0" w:line="240" w:lineRule="auto"/>
              <w:jc w:val="both"/>
              <w:rPr>
                <w:rFonts w:ascii="Times New Roman" w:hAnsi="Times New Roman"/>
                <w:b/>
                <w:bCs/>
                <w:sz w:val="24"/>
                <w:szCs w:val="24"/>
                <w:lang w:val="lt-LT"/>
              </w:rPr>
            </w:pPr>
            <w:r w:rsidRPr="00B86BF8">
              <w:rPr>
                <w:rFonts w:ascii="Times New Roman" w:hAnsi="Times New Roman"/>
                <w:b/>
                <w:bCs/>
                <w:sz w:val="24"/>
                <w:szCs w:val="24"/>
                <w:lang w:val="lt-LT"/>
              </w:rPr>
              <w:t xml:space="preserve">Valdymo mokestis </w:t>
            </w:r>
          </w:p>
        </w:tc>
        <w:tc>
          <w:tcPr>
            <w:tcW w:w="11987" w:type="dxa"/>
            <w:gridSpan w:val="2"/>
          </w:tcPr>
          <w:p w14:paraId="592686C8" w14:textId="28229349" w:rsidR="009E5B88" w:rsidRPr="00B86BF8" w:rsidRDefault="009E5B88" w:rsidP="003F4ACF">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Už Priemonės „Alternatyva“ įgyvendinimą FT nėra mokamas valdymo mokestis</w:t>
            </w:r>
          </w:p>
        </w:tc>
      </w:tr>
      <w:tr w:rsidR="003F4ACF" w:rsidRPr="00B86BF8" w14:paraId="14047C9E" w14:textId="77777777" w:rsidTr="005B72F7">
        <w:trPr>
          <w:trHeight w:val="278"/>
        </w:trPr>
        <w:tc>
          <w:tcPr>
            <w:tcW w:w="3139" w:type="dxa"/>
            <w:noWrap/>
          </w:tcPr>
          <w:p w14:paraId="40494B53" w14:textId="77777777" w:rsidR="003F4ACF" w:rsidRPr="00B86BF8" w:rsidRDefault="003F4ACF" w:rsidP="003F4ACF">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Netinkami paskolų gavėjai</w:t>
            </w:r>
          </w:p>
        </w:tc>
        <w:tc>
          <w:tcPr>
            <w:tcW w:w="5928" w:type="dxa"/>
          </w:tcPr>
          <w:p w14:paraId="56DB8758" w14:textId="77777777" w:rsidR="003F4ACF" w:rsidRPr="00B86BF8" w:rsidRDefault="003F4ACF" w:rsidP="006E0758">
            <w:pPr>
              <w:pStyle w:val="ListParagraph"/>
              <w:numPr>
                <w:ilvl w:val="0"/>
                <w:numId w:val="32"/>
              </w:numPr>
              <w:tabs>
                <w:tab w:val="left" w:pos="312"/>
              </w:tabs>
              <w:spacing w:after="0" w:line="240" w:lineRule="auto"/>
              <w:ind w:left="38" w:hanging="10"/>
              <w:jc w:val="both"/>
              <w:rPr>
                <w:rFonts w:ascii="Times New Roman" w:hAnsi="Times New Roman"/>
                <w:sz w:val="24"/>
                <w:szCs w:val="24"/>
                <w:lang w:val="lt-LT"/>
              </w:rPr>
            </w:pPr>
            <w:r w:rsidRPr="00B86BF8">
              <w:rPr>
                <w:rFonts w:ascii="Times New Roman" w:hAnsi="Times New Roman"/>
                <w:sz w:val="24"/>
                <w:szCs w:val="24"/>
                <w:lang w:val="lt-LT"/>
              </w:rPr>
              <w:t>SVV subjektai, kuriems atsižvelgiant į Juridinių asmenų nemokumo įstatymo 4 straipsnį yra pradėta bankroto procedūra teismo arba ne teismo būdu, o fizinių asmenų kurie verčiasi ekonomine veikla atveju – kuriems, atsižvelgiant į Fizinių asmenų bankroto įstatymo 2 straipsnio 2 dalyje numatytas fizinio asmens nemokumo sąlygas, yra pradėta fizinio asmens bankroto procedūra;</w:t>
            </w:r>
          </w:p>
          <w:p w14:paraId="3EE40CCA" w14:textId="77777777" w:rsidR="003F4ACF" w:rsidRPr="00B86BF8" w:rsidRDefault="00CC1030" w:rsidP="006E0758">
            <w:pPr>
              <w:pStyle w:val="ListParagraph"/>
              <w:numPr>
                <w:ilvl w:val="0"/>
                <w:numId w:val="32"/>
              </w:numPr>
              <w:tabs>
                <w:tab w:val="left" w:pos="312"/>
              </w:tabs>
              <w:spacing w:after="0" w:line="240" w:lineRule="auto"/>
              <w:ind w:left="38" w:hanging="10"/>
              <w:jc w:val="both"/>
              <w:rPr>
                <w:rFonts w:ascii="Times New Roman" w:hAnsi="Times New Roman"/>
                <w:sz w:val="24"/>
                <w:szCs w:val="24"/>
                <w:lang w:val="lt-LT"/>
              </w:rPr>
            </w:pPr>
            <w:bookmarkStart w:id="17" w:name="_Hlk45806184"/>
            <w:r w:rsidRPr="00B86BF8">
              <w:rPr>
                <w:rFonts w:ascii="Times New Roman" w:hAnsi="Times New Roman"/>
                <w:sz w:val="24"/>
                <w:szCs w:val="24"/>
                <w:lang w:val="lt-LT"/>
              </w:rPr>
              <w:t>S</w:t>
            </w:r>
            <w:r w:rsidR="003F4ACF" w:rsidRPr="00B86BF8">
              <w:rPr>
                <w:rFonts w:ascii="Times New Roman" w:hAnsi="Times New Roman"/>
                <w:sz w:val="24"/>
                <w:szCs w:val="24"/>
                <w:lang w:val="lt-LT"/>
              </w:rPr>
              <w:t>VV subjektai, kurie yra įtraukti į Valstybinės mokesčių inspekcijos administruojamą nepatikimų mokesčių mokėtojų sąrašą „Neatitinka minimalių patikimo mokesčių mokėtojo kriterijų“; </w:t>
            </w:r>
            <w:bookmarkEnd w:id="17"/>
          </w:p>
          <w:p w14:paraId="4DCB88B5" w14:textId="77777777" w:rsidR="003F4ACF" w:rsidRPr="00B86BF8" w:rsidRDefault="003F4ACF" w:rsidP="006E0758">
            <w:pPr>
              <w:pStyle w:val="ListParagraph"/>
              <w:numPr>
                <w:ilvl w:val="0"/>
                <w:numId w:val="32"/>
              </w:numPr>
              <w:tabs>
                <w:tab w:val="left" w:pos="312"/>
              </w:tabs>
              <w:spacing w:after="0" w:line="240" w:lineRule="auto"/>
              <w:ind w:left="38" w:hanging="10"/>
              <w:jc w:val="both"/>
              <w:rPr>
                <w:rFonts w:ascii="Times New Roman" w:hAnsi="Times New Roman"/>
                <w:sz w:val="24"/>
                <w:szCs w:val="24"/>
                <w:lang w:val="lt-LT"/>
              </w:rPr>
            </w:pPr>
            <w:r w:rsidRPr="00B86BF8">
              <w:rPr>
                <w:rFonts w:ascii="Times New Roman" w:hAnsi="Times New Roman"/>
                <w:sz w:val="24"/>
                <w:szCs w:val="24"/>
                <w:lang w:val="lt-LT"/>
              </w:rPr>
              <w:t>Su FT ar jo vadovais susiję asmenys**</w:t>
            </w:r>
          </w:p>
        </w:tc>
        <w:tc>
          <w:tcPr>
            <w:tcW w:w="6059" w:type="dxa"/>
          </w:tcPr>
          <w:p w14:paraId="1448741A" w14:textId="77777777" w:rsidR="005D75D7" w:rsidRPr="00B86BF8" w:rsidRDefault="005D75D7" w:rsidP="00240F00">
            <w:pPr>
              <w:pStyle w:val="ListParagraph"/>
              <w:numPr>
                <w:ilvl w:val="0"/>
                <w:numId w:val="38"/>
              </w:numPr>
              <w:tabs>
                <w:tab w:val="left" w:pos="312"/>
              </w:tabs>
              <w:spacing w:after="0" w:line="240" w:lineRule="auto"/>
              <w:ind w:left="16" w:firstLine="0"/>
              <w:jc w:val="both"/>
              <w:rPr>
                <w:rFonts w:ascii="Times New Roman" w:hAnsi="Times New Roman"/>
                <w:sz w:val="24"/>
                <w:szCs w:val="24"/>
                <w:lang w:val="lt-LT"/>
              </w:rPr>
            </w:pPr>
            <w:r w:rsidRPr="00B86BF8">
              <w:rPr>
                <w:rFonts w:ascii="Times New Roman" w:hAnsi="Times New Roman"/>
                <w:sz w:val="24"/>
                <w:szCs w:val="24"/>
                <w:lang w:val="lt-LT"/>
              </w:rPr>
              <w:t>SVV</w:t>
            </w:r>
            <w:r w:rsidR="00B77784" w:rsidRPr="00B86BF8">
              <w:rPr>
                <w:rFonts w:ascii="Times New Roman" w:hAnsi="Times New Roman"/>
                <w:sz w:val="24"/>
                <w:szCs w:val="24"/>
                <w:lang w:val="lt-LT"/>
              </w:rPr>
              <w:t xml:space="preserve"> subjektai</w:t>
            </w:r>
            <w:r w:rsidRPr="00B86BF8">
              <w:rPr>
                <w:rFonts w:ascii="Times New Roman" w:hAnsi="Times New Roman"/>
                <w:sz w:val="24"/>
                <w:szCs w:val="24"/>
                <w:lang w:val="lt-LT"/>
              </w:rPr>
              <w:t>, kuriems galėtų būti ir (arba) yra taikoma Reglamento (ES) Nr. 1407/2013 4 straipsnio 3 dalies a punkte nurodyta kolektyvinė nemokumo procedūra</w:t>
            </w:r>
            <w:r w:rsidR="001B74A3" w:rsidRPr="00B86BF8">
              <w:rPr>
                <w:rFonts w:ascii="Times New Roman" w:hAnsi="Times New Roman"/>
                <w:sz w:val="24"/>
                <w:szCs w:val="24"/>
                <w:lang w:val="lt-LT"/>
              </w:rPr>
              <w:t>;</w:t>
            </w:r>
          </w:p>
          <w:p w14:paraId="3A9AD5F3" w14:textId="77777777" w:rsidR="005D75D7" w:rsidRPr="00B86BF8" w:rsidRDefault="005D75D7" w:rsidP="00240F00">
            <w:pPr>
              <w:pStyle w:val="ListParagraph"/>
              <w:numPr>
                <w:ilvl w:val="0"/>
                <w:numId w:val="38"/>
              </w:numPr>
              <w:tabs>
                <w:tab w:val="left" w:pos="312"/>
              </w:tabs>
              <w:spacing w:after="0" w:line="240" w:lineRule="auto"/>
              <w:ind w:left="0" w:hanging="10"/>
              <w:jc w:val="both"/>
              <w:rPr>
                <w:rFonts w:ascii="Times New Roman" w:hAnsi="Times New Roman"/>
                <w:sz w:val="24"/>
                <w:szCs w:val="24"/>
                <w:lang w:val="lt-LT"/>
              </w:rPr>
            </w:pPr>
            <w:r w:rsidRPr="00B86BF8">
              <w:rPr>
                <w:rFonts w:ascii="Times New Roman" w:hAnsi="Times New Roman"/>
                <w:sz w:val="24"/>
                <w:szCs w:val="24"/>
                <w:lang w:val="lt-LT"/>
              </w:rPr>
              <w:t>SVV subjektai, kurie yra įtraukti į Valstybinės mokesčių inspekcijos administruojamą nepatikimų mokesčių mokėtojų sąrašą „Neatitinka minimalių patikimo mokesčių mokėtojo kriterijų“; </w:t>
            </w:r>
          </w:p>
          <w:p w14:paraId="610E9036" w14:textId="77777777" w:rsidR="005D75D7" w:rsidRPr="00B86BF8" w:rsidRDefault="005D75D7" w:rsidP="00240F00">
            <w:pPr>
              <w:pStyle w:val="ListParagraph"/>
              <w:numPr>
                <w:ilvl w:val="0"/>
                <w:numId w:val="38"/>
              </w:numPr>
              <w:tabs>
                <w:tab w:val="left" w:pos="406"/>
              </w:tabs>
              <w:spacing w:after="0" w:line="240" w:lineRule="auto"/>
              <w:ind w:left="0" w:firstLine="0"/>
              <w:jc w:val="both"/>
              <w:rPr>
                <w:rFonts w:ascii="Times New Roman" w:hAnsi="Times New Roman"/>
                <w:sz w:val="24"/>
                <w:szCs w:val="24"/>
                <w:lang w:val="lt-LT"/>
              </w:rPr>
            </w:pPr>
            <w:r w:rsidRPr="00B86BF8">
              <w:rPr>
                <w:rFonts w:ascii="Times New Roman" w:hAnsi="Times New Roman"/>
                <w:sz w:val="24"/>
                <w:szCs w:val="24"/>
                <w:lang w:val="lt-LT"/>
              </w:rPr>
              <w:t>Su FT ar jo vadovais susiję asmenys**</w:t>
            </w:r>
          </w:p>
          <w:p w14:paraId="06BF45A8" w14:textId="77777777" w:rsidR="005D75D7" w:rsidRPr="00B86BF8" w:rsidRDefault="005D75D7" w:rsidP="00240F00">
            <w:pPr>
              <w:pStyle w:val="ListParagraph"/>
              <w:numPr>
                <w:ilvl w:val="0"/>
                <w:numId w:val="38"/>
              </w:numPr>
              <w:tabs>
                <w:tab w:val="left" w:pos="406"/>
                <w:tab w:val="left" w:pos="747"/>
              </w:tabs>
              <w:spacing w:after="0" w:line="240" w:lineRule="auto"/>
              <w:ind w:left="0" w:firstLine="0"/>
              <w:jc w:val="both"/>
              <w:rPr>
                <w:rFonts w:ascii="Times New Roman" w:hAnsi="Times New Roman"/>
                <w:sz w:val="24"/>
                <w:szCs w:val="24"/>
                <w:lang w:val="lt-LT"/>
              </w:rPr>
            </w:pPr>
            <w:r w:rsidRPr="00B86BF8">
              <w:rPr>
                <w:rFonts w:ascii="Times New Roman" w:hAnsi="Times New Roman"/>
                <w:sz w:val="24"/>
                <w:szCs w:val="24"/>
                <w:lang w:val="lt-LT"/>
              </w:rPr>
              <w:t>SVV</w:t>
            </w:r>
            <w:r w:rsidR="000C117C" w:rsidRPr="00B86BF8">
              <w:rPr>
                <w:rFonts w:ascii="Times New Roman" w:hAnsi="Times New Roman"/>
                <w:sz w:val="24"/>
                <w:szCs w:val="24"/>
                <w:lang w:val="lt-LT"/>
              </w:rPr>
              <w:t xml:space="preserve"> subjektai</w:t>
            </w:r>
            <w:r w:rsidRPr="00B86BF8">
              <w:rPr>
                <w:rFonts w:ascii="Times New Roman" w:hAnsi="Times New Roman"/>
                <w:sz w:val="24"/>
                <w:szCs w:val="24"/>
                <w:lang w:val="lt-LT"/>
              </w:rPr>
              <w:t xml:space="preserve"> veikiantys Reglamento (ES) Nr. 1407/2013 1  straipsnio 1 dalyje išvardytuose sektoriuose</w:t>
            </w:r>
          </w:p>
          <w:p w14:paraId="72DFEFEE" w14:textId="77777777" w:rsidR="005D75D7" w:rsidRPr="00B86BF8" w:rsidRDefault="005D75D7" w:rsidP="005D75D7">
            <w:pPr>
              <w:pStyle w:val="ListParagraph"/>
              <w:tabs>
                <w:tab w:val="left" w:pos="747"/>
              </w:tabs>
              <w:spacing w:after="0" w:line="240" w:lineRule="auto"/>
              <w:ind w:left="322"/>
              <w:jc w:val="both"/>
              <w:rPr>
                <w:rFonts w:ascii="Times New Roman" w:hAnsi="Times New Roman"/>
                <w:sz w:val="24"/>
                <w:szCs w:val="24"/>
                <w:lang w:val="lt-LT"/>
              </w:rPr>
            </w:pPr>
          </w:p>
        </w:tc>
      </w:tr>
      <w:tr w:rsidR="00BA24D5" w:rsidRPr="00B86BF8" w14:paraId="14F32E98" w14:textId="77777777" w:rsidTr="005B72F7">
        <w:trPr>
          <w:trHeight w:val="278"/>
        </w:trPr>
        <w:tc>
          <w:tcPr>
            <w:tcW w:w="3139" w:type="dxa"/>
            <w:noWrap/>
          </w:tcPr>
          <w:p w14:paraId="0B2D7652" w14:textId="77777777" w:rsidR="00BA24D5" w:rsidRPr="00B86BF8" w:rsidRDefault="00BA24D5" w:rsidP="003F4ACF">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Maksimalus paskolos dydis</w:t>
            </w:r>
          </w:p>
        </w:tc>
        <w:tc>
          <w:tcPr>
            <w:tcW w:w="5928" w:type="dxa"/>
          </w:tcPr>
          <w:p w14:paraId="6A20CEC0" w14:textId="77777777" w:rsidR="00BA24D5" w:rsidRPr="00B86BF8" w:rsidRDefault="00BA24D5" w:rsidP="00BA24D5">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Maksimalus paskolos dydis vienam Paskolos gavėjui yra neribojamas. </w:t>
            </w:r>
          </w:p>
          <w:p w14:paraId="07A886FA" w14:textId="77777777" w:rsidR="00BA24D5" w:rsidRPr="00B86BF8" w:rsidRDefault="00BA24D5" w:rsidP="00BA24D5">
            <w:pPr>
              <w:pStyle w:val="ListParagraph"/>
              <w:tabs>
                <w:tab w:val="left" w:pos="312"/>
              </w:tabs>
              <w:spacing w:after="0" w:line="240" w:lineRule="auto"/>
              <w:ind w:left="38"/>
              <w:jc w:val="both"/>
              <w:rPr>
                <w:rFonts w:ascii="Times New Roman" w:hAnsi="Times New Roman"/>
                <w:sz w:val="24"/>
                <w:szCs w:val="24"/>
                <w:lang w:val="lt-LT"/>
              </w:rPr>
            </w:pPr>
            <w:r w:rsidRPr="00B86BF8">
              <w:rPr>
                <w:rFonts w:ascii="Times New Roman" w:hAnsi="Times New Roman"/>
                <w:sz w:val="24"/>
                <w:szCs w:val="24"/>
                <w:lang w:val="lt-LT"/>
              </w:rPr>
              <w:t>Iš Priemonės „Alternatyva“ lėšų vienai paskolai skiriama ne daugiau kaip 200 000 Eur suma ir finansuojama ne daugiau kaip 90 proc. paskolos sumos</w:t>
            </w:r>
          </w:p>
        </w:tc>
        <w:tc>
          <w:tcPr>
            <w:tcW w:w="6059" w:type="dxa"/>
          </w:tcPr>
          <w:p w14:paraId="674ED586" w14:textId="77777777" w:rsidR="00BA24D5" w:rsidRPr="00B86BF8" w:rsidRDefault="00BA24D5" w:rsidP="00BA24D5">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Maksimalus paskolos dydis vienam Paskolos gavėjui yra neribojamas. </w:t>
            </w:r>
          </w:p>
          <w:p w14:paraId="56625211" w14:textId="77777777" w:rsidR="00BA24D5" w:rsidRPr="00B86BF8" w:rsidRDefault="00BA24D5" w:rsidP="00BA24D5">
            <w:pPr>
              <w:pStyle w:val="ListParagraph"/>
              <w:tabs>
                <w:tab w:val="left" w:pos="312"/>
              </w:tabs>
              <w:spacing w:after="0" w:line="240" w:lineRule="auto"/>
              <w:ind w:left="38"/>
              <w:jc w:val="both"/>
              <w:rPr>
                <w:rFonts w:ascii="Times New Roman" w:hAnsi="Times New Roman"/>
                <w:sz w:val="24"/>
                <w:szCs w:val="24"/>
                <w:lang w:val="lt-LT"/>
              </w:rPr>
            </w:pPr>
            <w:r w:rsidRPr="00B86BF8">
              <w:rPr>
                <w:rFonts w:ascii="Times New Roman" w:hAnsi="Times New Roman"/>
                <w:sz w:val="24"/>
                <w:szCs w:val="24"/>
                <w:lang w:val="lt-LT"/>
              </w:rPr>
              <w:t>Iš Priemonės „Alternatyva“ lėšų vienai paskolai skiriama ne daugiau kaip 500 000 Eur suma ir finansuojama ne daugiau kaip 90 proc. paskolos sumos</w:t>
            </w:r>
          </w:p>
        </w:tc>
      </w:tr>
      <w:tr w:rsidR="00240F00" w:rsidRPr="00B86BF8" w14:paraId="77C021F3" w14:textId="77777777" w:rsidTr="005B72F7">
        <w:trPr>
          <w:trHeight w:val="278"/>
        </w:trPr>
        <w:tc>
          <w:tcPr>
            <w:tcW w:w="3139" w:type="dxa"/>
            <w:noWrap/>
          </w:tcPr>
          <w:p w14:paraId="504F3D95" w14:textId="77777777" w:rsidR="00240F00" w:rsidRPr="005B72F7" w:rsidRDefault="00240F00" w:rsidP="00240F00">
            <w:pPr>
              <w:spacing w:after="0" w:line="240" w:lineRule="auto"/>
              <w:rPr>
                <w:rFonts w:ascii="Times New Roman" w:hAnsi="Times New Roman"/>
                <w:b/>
                <w:sz w:val="24"/>
                <w:lang w:val="lt-LT"/>
              </w:rPr>
            </w:pPr>
            <w:r w:rsidRPr="00B86BF8">
              <w:rPr>
                <w:rFonts w:ascii="Times New Roman" w:hAnsi="Times New Roman"/>
                <w:b/>
                <w:sz w:val="24"/>
                <w:szCs w:val="24"/>
                <w:lang w:val="lt-LT"/>
              </w:rPr>
              <w:t>Paskolos trukmė</w:t>
            </w:r>
          </w:p>
        </w:tc>
        <w:tc>
          <w:tcPr>
            <w:tcW w:w="5928" w:type="dxa"/>
          </w:tcPr>
          <w:p w14:paraId="0AFA5818" w14:textId="77777777" w:rsidR="00240F00" w:rsidRPr="005B72F7" w:rsidRDefault="00240F00" w:rsidP="00240F00">
            <w:pPr>
              <w:spacing w:after="0" w:line="240" w:lineRule="auto"/>
              <w:jc w:val="both"/>
              <w:rPr>
                <w:rFonts w:ascii="Times New Roman" w:hAnsi="Times New Roman"/>
                <w:sz w:val="24"/>
                <w:lang w:val="lt-LT"/>
              </w:rPr>
            </w:pPr>
            <w:r w:rsidRPr="00B86BF8">
              <w:rPr>
                <w:rFonts w:ascii="Times New Roman" w:hAnsi="Times New Roman"/>
                <w:sz w:val="24"/>
                <w:szCs w:val="24"/>
                <w:lang w:val="lt-LT"/>
              </w:rPr>
              <w:t xml:space="preserve">Paskola gali būti teikiama ne ilgesniam kaip 24 mėnesių laikotarpiui. Paskolos sutarties terminas gali būti pratęsiamas, tačiau bet kuriuo atveju ne ilgesniam už leistiną ilgiausią (24 mėn.) paskolos sutarties terminą, atitinkamai </w:t>
            </w:r>
            <w:r w:rsidRPr="00B86BF8">
              <w:rPr>
                <w:rFonts w:ascii="Times New Roman" w:hAnsi="Times New Roman"/>
                <w:sz w:val="24"/>
                <w:szCs w:val="24"/>
                <w:lang w:val="lt-LT"/>
              </w:rPr>
              <w:lastRenderedPageBreak/>
              <w:t>terminą skaičiuojant nuo paskolos sutarties sudarymo dienos</w:t>
            </w:r>
          </w:p>
        </w:tc>
        <w:tc>
          <w:tcPr>
            <w:tcW w:w="6059" w:type="dxa"/>
          </w:tcPr>
          <w:p w14:paraId="411257D3" w14:textId="77777777" w:rsidR="00240F00" w:rsidRPr="005B72F7" w:rsidRDefault="00240F00" w:rsidP="00240F00">
            <w:pPr>
              <w:spacing w:after="0" w:line="240" w:lineRule="auto"/>
              <w:jc w:val="both"/>
              <w:rPr>
                <w:rFonts w:ascii="Times New Roman" w:hAnsi="Times New Roman"/>
                <w:sz w:val="24"/>
                <w:lang w:val="lt-LT"/>
              </w:rPr>
            </w:pPr>
            <w:r w:rsidRPr="00B86BF8">
              <w:rPr>
                <w:rFonts w:ascii="Times New Roman" w:hAnsi="Times New Roman"/>
                <w:sz w:val="24"/>
                <w:szCs w:val="24"/>
                <w:lang w:val="lt-LT"/>
              </w:rPr>
              <w:lastRenderedPageBreak/>
              <w:t xml:space="preserve">Paskola gali būti teikiama ne ilgesniam kaip 36 mėnesių laikotarpiui. Paskolos sutarties terminas gali būti pratęsiamas, tačiau bet kuriuo atveju ne ilgesniam už leistiną ilgiausią (36 </w:t>
            </w:r>
            <w:r w:rsidRPr="00B86BF8">
              <w:rPr>
                <w:rFonts w:ascii="Times New Roman" w:hAnsi="Times New Roman"/>
                <w:sz w:val="24"/>
                <w:szCs w:val="24"/>
                <w:lang w:val="lt-LT"/>
              </w:rPr>
              <w:lastRenderedPageBreak/>
              <w:t>mėn.) paskolos sutarties terminą, atitinkamai terminą skaičiuojant nuo paskolos sutarties sudarymo dienos</w:t>
            </w:r>
          </w:p>
        </w:tc>
      </w:tr>
      <w:tr w:rsidR="00240F00" w:rsidRPr="00B86BF8" w14:paraId="3B4D2028" w14:textId="77777777" w:rsidTr="005B72F7">
        <w:trPr>
          <w:trHeight w:val="585"/>
        </w:trPr>
        <w:tc>
          <w:tcPr>
            <w:tcW w:w="3139" w:type="dxa"/>
            <w:hideMark/>
          </w:tcPr>
          <w:p w14:paraId="20E3617D" w14:textId="77777777" w:rsidR="00240F00" w:rsidRPr="00B86BF8" w:rsidRDefault="00240F00" w:rsidP="00240F00">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lastRenderedPageBreak/>
              <w:t>Paskolų teikimo kaina SVV subjektams</w:t>
            </w:r>
          </w:p>
        </w:tc>
        <w:tc>
          <w:tcPr>
            <w:tcW w:w="5928" w:type="dxa"/>
            <w:noWrap/>
            <w:hideMark/>
          </w:tcPr>
          <w:p w14:paraId="4E1FB5C7" w14:textId="77777777" w:rsidR="00240F00" w:rsidRPr="00B86BF8" w:rsidRDefault="00240F00" w:rsidP="00240F00">
            <w:pPr>
              <w:keepNext/>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Paskolos Paskolų gavėjams yra teikiamos rinkos sąlygomis, t.  y. paskola teikiama taikant FT nustatytą palūkanų normą</w:t>
            </w:r>
          </w:p>
        </w:tc>
        <w:tc>
          <w:tcPr>
            <w:tcW w:w="6059" w:type="dxa"/>
          </w:tcPr>
          <w:p w14:paraId="318D6411" w14:textId="77777777" w:rsidR="00240F00" w:rsidRPr="00B86BF8" w:rsidRDefault="00240F00" w:rsidP="00240F00">
            <w:pPr>
              <w:keepNext/>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 xml:space="preserve">Paskolos kaina (įskaitant visus FT taikomus administravimo ir bet kokius kitus Paskolos gavėjui taikomus mokesčius)  Paskolų gavėjams negali būti didesnė negu 7 proc. metinių palūkanų normos.  </w:t>
            </w:r>
          </w:p>
          <w:p w14:paraId="1844B2AD" w14:textId="77777777" w:rsidR="00240F00" w:rsidRPr="00B86BF8" w:rsidRDefault="00240F00" w:rsidP="00240F00">
            <w:pPr>
              <w:keepNext/>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 xml:space="preserve">Paskolos kainos skirtumas tarp Paskolos kainos, kurią FT taiko Paskolos gavėjui įprastomis rinkos sąlygomis, ir Apraše nustatytos 7 proc. palūkanų normos yra teikiama kaip </w:t>
            </w:r>
            <w:r w:rsidRPr="00B86BF8">
              <w:rPr>
                <w:rFonts w:ascii="Times New Roman" w:hAnsi="Times New Roman"/>
                <w:i/>
                <w:iCs/>
                <w:sz w:val="24"/>
                <w:szCs w:val="24"/>
                <w:lang w:val="lt-LT"/>
              </w:rPr>
              <w:t>de minimis</w:t>
            </w:r>
            <w:r w:rsidRPr="00B86BF8">
              <w:rPr>
                <w:rFonts w:ascii="Times New Roman" w:hAnsi="Times New Roman"/>
                <w:sz w:val="24"/>
                <w:szCs w:val="24"/>
                <w:lang w:val="lt-LT"/>
              </w:rPr>
              <w:t xml:space="preserve"> pagalba Paskolos gavėjui. </w:t>
            </w:r>
          </w:p>
          <w:p w14:paraId="1E8749CD" w14:textId="77777777" w:rsidR="00240F00" w:rsidRPr="00B86BF8" w:rsidRDefault="00240F00" w:rsidP="00240F00">
            <w:pPr>
              <w:keepNext/>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t xml:space="preserve"> </w:t>
            </w:r>
          </w:p>
          <w:p w14:paraId="472704BB" w14:textId="3E48618F" w:rsidR="00240F00" w:rsidRPr="00B86BF8" w:rsidRDefault="00240F00" w:rsidP="00240F00">
            <w:pPr>
              <w:pStyle w:val="ListParagraph"/>
              <w:tabs>
                <w:tab w:val="left" w:pos="412"/>
              </w:tabs>
              <w:spacing w:after="0" w:line="240" w:lineRule="auto"/>
              <w:ind w:left="0"/>
              <w:jc w:val="both"/>
              <w:rPr>
                <w:rFonts w:ascii="Times New Roman" w:hAnsi="Times New Roman"/>
                <w:sz w:val="24"/>
                <w:szCs w:val="24"/>
                <w:lang w:val="lt-LT"/>
              </w:rPr>
            </w:pPr>
            <w:r w:rsidRPr="00B86BF8">
              <w:rPr>
                <w:rFonts w:ascii="Times New Roman" w:hAnsi="Times New Roman"/>
                <w:sz w:val="24"/>
                <w:szCs w:val="24"/>
                <w:lang w:val="lt-LT"/>
              </w:rPr>
              <w:t xml:space="preserve">Paskolos gavėjui Paskolos yra </w:t>
            </w:r>
            <w:r w:rsidRPr="00B86BF8">
              <w:rPr>
                <w:rFonts w:ascii="Times New Roman" w:hAnsi="Times New Roman"/>
                <w:i/>
                <w:sz w:val="24"/>
                <w:szCs w:val="24"/>
                <w:lang w:val="lt-LT"/>
              </w:rPr>
              <w:t>de minimis</w:t>
            </w:r>
            <w:r w:rsidRPr="00B86BF8">
              <w:rPr>
                <w:rFonts w:ascii="Times New Roman" w:hAnsi="Times New Roman"/>
                <w:sz w:val="24"/>
                <w:szCs w:val="24"/>
                <w:lang w:val="lt-LT"/>
              </w:rPr>
              <w:t xml:space="preserve"> pagalba, kuri teikiama pagal Reglamentą (ES) Nr. 1407/2013 ir Priemonės „Alternatyva“ schemą. FT yra atsakingas už tai, kad paskolos būtų suteikiamos vadovaujantis Reglamento (ES) Nr. 1407/2013 ir Priemonės „Alternatyva“ schemos nuostatomis. </w:t>
            </w:r>
          </w:p>
          <w:p w14:paraId="3EED49CF" w14:textId="34D47617" w:rsidR="00240F00" w:rsidRPr="00B86BF8" w:rsidRDefault="00240F00" w:rsidP="00240F00">
            <w:pPr>
              <w:pStyle w:val="ListParagraph"/>
              <w:tabs>
                <w:tab w:val="left" w:pos="412"/>
              </w:tabs>
              <w:spacing w:after="0" w:line="240" w:lineRule="auto"/>
              <w:ind w:left="0"/>
              <w:jc w:val="both"/>
              <w:rPr>
                <w:rFonts w:ascii="Times New Roman" w:hAnsi="Times New Roman"/>
                <w:sz w:val="24"/>
                <w:szCs w:val="24"/>
                <w:lang w:val="lt-LT"/>
              </w:rPr>
            </w:pPr>
            <w:r w:rsidRPr="00B86BF8">
              <w:rPr>
                <w:rFonts w:ascii="Times New Roman" w:hAnsi="Times New Roman"/>
                <w:sz w:val="24"/>
                <w:szCs w:val="24"/>
                <w:lang w:val="lt-LT"/>
              </w:rPr>
              <w:t xml:space="preserve">FT yra atsakingas už </w:t>
            </w:r>
            <w:r w:rsidRPr="00B86BF8">
              <w:rPr>
                <w:rFonts w:ascii="Times New Roman" w:hAnsi="Times New Roman"/>
                <w:i/>
                <w:sz w:val="24"/>
                <w:szCs w:val="24"/>
                <w:lang w:val="lt-LT"/>
              </w:rPr>
              <w:t>de minimis</w:t>
            </w:r>
            <w:r w:rsidRPr="00B86BF8">
              <w:rPr>
                <w:rFonts w:ascii="Times New Roman" w:hAnsi="Times New Roman"/>
                <w:sz w:val="24"/>
                <w:szCs w:val="24"/>
                <w:lang w:val="lt-LT"/>
              </w:rPr>
              <w:t xml:space="preserve"> pagalbos Paskolos gavėjui skaičiavimą ir registravimą </w:t>
            </w:r>
            <w:r w:rsidRPr="00B86BF8">
              <w:rPr>
                <w:rFonts w:ascii="Times New Roman" w:hAnsi="Times New Roman"/>
                <w:sz w:val="24"/>
                <w:lang w:val="lt-LT"/>
              </w:rPr>
              <w:t xml:space="preserve">Suteiktos valstybės pagalbos </w:t>
            </w:r>
            <w:r w:rsidRPr="00B86BF8">
              <w:rPr>
                <w:rFonts w:ascii="Times New Roman" w:hAnsi="Times New Roman"/>
                <w:sz w:val="24"/>
                <w:szCs w:val="24"/>
                <w:lang w:val="lt-LT"/>
              </w:rPr>
              <w:t>ir nereikšmingos (</w:t>
            </w:r>
            <w:r w:rsidRPr="00B86BF8">
              <w:rPr>
                <w:rFonts w:ascii="Times New Roman" w:hAnsi="Times New Roman"/>
                <w:i/>
                <w:sz w:val="24"/>
                <w:szCs w:val="24"/>
                <w:lang w:val="lt-LT"/>
              </w:rPr>
              <w:t>de minimis</w:t>
            </w:r>
            <w:r w:rsidRPr="00B86BF8">
              <w:rPr>
                <w:rFonts w:ascii="Times New Roman" w:hAnsi="Times New Roman"/>
                <w:sz w:val="24"/>
                <w:szCs w:val="24"/>
                <w:lang w:val="lt-LT"/>
              </w:rPr>
              <w:t xml:space="preserve">) pagalbos registre. </w:t>
            </w:r>
            <w:r w:rsidRPr="00B86BF8">
              <w:rPr>
                <w:rFonts w:ascii="Times New Roman" w:hAnsi="Times New Roman"/>
                <w:i/>
                <w:sz w:val="24"/>
                <w:szCs w:val="24"/>
                <w:lang w:val="lt-LT"/>
              </w:rPr>
              <w:t>De minimis</w:t>
            </w:r>
            <w:r w:rsidRPr="00B86BF8">
              <w:rPr>
                <w:rFonts w:ascii="Times New Roman" w:hAnsi="Times New Roman"/>
                <w:sz w:val="24"/>
                <w:szCs w:val="24"/>
                <w:lang w:val="lt-LT"/>
              </w:rPr>
              <w:t xml:space="preserve"> pagalba sumuojama, kaip tai nustatyta Reglamento Nr. 1407/2013 5 straipsnyje.</w:t>
            </w:r>
          </w:p>
          <w:p w14:paraId="303555CE" w14:textId="77777777" w:rsidR="00240F00" w:rsidRPr="00B86BF8" w:rsidRDefault="00240F00" w:rsidP="00240F00">
            <w:pPr>
              <w:pStyle w:val="ListParagraph"/>
              <w:tabs>
                <w:tab w:val="left" w:pos="412"/>
              </w:tabs>
              <w:spacing w:after="0" w:line="240" w:lineRule="auto"/>
              <w:ind w:left="0"/>
              <w:jc w:val="both"/>
              <w:rPr>
                <w:rFonts w:ascii="Times New Roman" w:hAnsi="Times New Roman"/>
                <w:sz w:val="24"/>
                <w:szCs w:val="24"/>
                <w:lang w:val="lt-LT"/>
              </w:rPr>
            </w:pPr>
            <w:r w:rsidRPr="00B86BF8">
              <w:rPr>
                <w:rFonts w:ascii="Times New Roman" w:hAnsi="Times New Roman"/>
                <w:i/>
                <w:sz w:val="24"/>
                <w:szCs w:val="24"/>
                <w:lang w:val="lt-LT"/>
              </w:rPr>
              <w:t>De minimis</w:t>
            </w:r>
            <w:r w:rsidRPr="00B86BF8">
              <w:rPr>
                <w:rFonts w:ascii="Times New Roman" w:hAnsi="Times New Roman"/>
                <w:sz w:val="24"/>
                <w:szCs w:val="24"/>
                <w:lang w:val="lt-LT"/>
              </w:rPr>
              <w:t xml:space="preserve"> pagalbos, suteikiamos Paskolos gavėjui, dydis apskaičiuojamas pagal formulę:</w:t>
            </w:r>
          </w:p>
          <w:p w14:paraId="09297DE1" w14:textId="77777777" w:rsidR="00240F00" w:rsidRPr="00B86BF8" w:rsidRDefault="00240F00" w:rsidP="00240F00">
            <w:pPr>
              <w:pStyle w:val="BasicParagraph"/>
              <w:spacing w:line="240" w:lineRule="auto"/>
              <w:ind w:left="360"/>
              <w:jc w:val="both"/>
              <w:rPr>
                <w:rFonts w:eastAsia="Calibri"/>
                <w:i/>
                <w:color w:val="auto"/>
                <w:lang w:val="lt-LT"/>
              </w:rPr>
            </w:pPr>
            <w:r w:rsidRPr="00B86BF8">
              <w:rPr>
                <w:rFonts w:eastAsia="Calibri"/>
                <w:i/>
                <w:color w:val="auto"/>
                <w:lang w:val="lt-LT"/>
              </w:rPr>
              <w:t>SE = K x T x (N rinkos –7 %), kur</w:t>
            </w:r>
          </w:p>
          <w:p w14:paraId="17CEE381" w14:textId="77777777" w:rsidR="00240F00" w:rsidRPr="00B86BF8" w:rsidRDefault="00240F00" w:rsidP="00240F00">
            <w:pPr>
              <w:pStyle w:val="BasicParagraph"/>
              <w:spacing w:line="240" w:lineRule="auto"/>
              <w:ind w:firstLine="720"/>
              <w:jc w:val="both"/>
              <w:rPr>
                <w:rFonts w:eastAsia="Calibri"/>
                <w:i/>
                <w:color w:val="auto"/>
                <w:lang w:val="lt-LT"/>
              </w:rPr>
            </w:pPr>
          </w:p>
          <w:p w14:paraId="76FA7944" w14:textId="77777777" w:rsidR="00240F00" w:rsidRPr="00B86BF8" w:rsidRDefault="00240F00" w:rsidP="00240F00">
            <w:pPr>
              <w:pStyle w:val="BasicParagraph"/>
              <w:spacing w:line="240" w:lineRule="auto"/>
              <w:ind w:left="720"/>
              <w:jc w:val="both"/>
              <w:rPr>
                <w:rFonts w:eastAsia="Calibri"/>
                <w:i/>
                <w:color w:val="auto"/>
                <w:lang w:val="lt-LT"/>
              </w:rPr>
            </w:pPr>
            <w:r w:rsidRPr="00B86BF8">
              <w:rPr>
                <w:rFonts w:eastAsia="Calibri"/>
                <w:i/>
                <w:color w:val="auto"/>
                <w:lang w:val="lt-LT"/>
              </w:rPr>
              <w:t>SE – de minimis pagalbos dydis, išreikštas subsidijos ekvivalentu;</w:t>
            </w:r>
          </w:p>
          <w:p w14:paraId="020B28C2" w14:textId="77777777" w:rsidR="00240F00" w:rsidRPr="00B86BF8" w:rsidRDefault="00240F00" w:rsidP="00240F00">
            <w:pPr>
              <w:pStyle w:val="BasicParagraph"/>
              <w:spacing w:line="240" w:lineRule="auto"/>
              <w:ind w:left="360" w:firstLine="360"/>
              <w:jc w:val="both"/>
              <w:rPr>
                <w:rFonts w:eastAsia="Calibri"/>
                <w:i/>
                <w:color w:val="auto"/>
                <w:lang w:val="lt-LT"/>
              </w:rPr>
            </w:pPr>
            <w:r w:rsidRPr="00B86BF8">
              <w:rPr>
                <w:rFonts w:eastAsia="Calibri"/>
                <w:i/>
                <w:color w:val="auto"/>
                <w:lang w:val="lt-LT"/>
              </w:rPr>
              <w:t>K – Paskolos suma Eur;</w:t>
            </w:r>
          </w:p>
          <w:p w14:paraId="0127421E" w14:textId="77777777" w:rsidR="00240F00" w:rsidRPr="00B86BF8" w:rsidRDefault="00240F00" w:rsidP="00240F00">
            <w:pPr>
              <w:pStyle w:val="BasicParagraph"/>
              <w:spacing w:line="240" w:lineRule="auto"/>
              <w:ind w:left="360" w:firstLine="360"/>
              <w:jc w:val="both"/>
              <w:rPr>
                <w:rFonts w:eastAsia="Calibri"/>
                <w:i/>
                <w:color w:val="auto"/>
                <w:lang w:val="lt-LT"/>
              </w:rPr>
            </w:pPr>
            <w:r w:rsidRPr="00B86BF8">
              <w:rPr>
                <w:rFonts w:eastAsia="Calibri"/>
                <w:i/>
                <w:color w:val="auto"/>
                <w:lang w:val="lt-LT"/>
              </w:rPr>
              <w:t>T – Paskolos laikotarpis, išreikštas metais;</w:t>
            </w:r>
          </w:p>
          <w:p w14:paraId="5A202FBF" w14:textId="77777777" w:rsidR="00240F00" w:rsidRPr="00B86BF8" w:rsidRDefault="00240F00" w:rsidP="00240F00">
            <w:pPr>
              <w:pStyle w:val="BasicParagraph"/>
              <w:spacing w:line="240" w:lineRule="auto"/>
              <w:ind w:left="360" w:firstLine="360"/>
              <w:jc w:val="both"/>
              <w:rPr>
                <w:rFonts w:eastAsia="Calibri"/>
                <w:i/>
                <w:color w:val="auto"/>
                <w:lang w:val="lt-LT"/>
              </w:rPr>
            </w:pPr>
            <w:r w:rsidRPr="00B86BF8">
              <w:rPr>
                <w:rFonts w:eastAsia="Calibri"/>
                <w:i/>
                <w:color w:val="auto"/>
                <w:lang w:val="lt-LT"/>
              </w:rPr>
              <w:t>N rinkos – FT taikoma rinkos palūkanų norma;</w:t>
            </w:r>
          </w:p>
          <w:p w14:paraId="1FD4A1BA" w14:textId="77777777" w:rsidR="00240F00" w:rsidRPr="00B86BF8" w:rsidRDefault="00240F00" w:rsidP="00240F00">
            <w:pPr>
              <w:keepNext/>
              <w:autoSpaceDE w:val="0"/>
              <w:autoSpaceDN w:val="0"/>
              <w:spacing w:after="0" w:line="240" w:lineRule="auto"/>
              <w:contextualSpacing/>
              <w:jc w:val="both"/>
              <w:rPr>
                <w:rFonts w:ascii="Times New Roman" w:hAnsi="Times New Roman"/>
                <w:sz w:val="24"/>
                <w:szCs w:val="24"/>
                <w:lang w:val="lt-LT"/>
              </w:rPr>
            </w:pPr>
            <w:r w:rsidRPr="00B86BF8">
              <w:rPr>
                <w:rFonts w:ascii="Times New Roman" w:hAnsi="Times New Roman"/>
                <w:sz w:val="24"/>
                <w:szCs w:val="24"/>
                <w:lang w:val="lt-LT"/>
              </w:rPr>
              <w:lastRenderedPageBreak/>
              <w:t xml:space="preserve">Paskolos sutartyje turi būti nuostata, kad Paskola yra teikiama kaip </w:t>
            </w:r>
            <w:r w:rsidRPr="00B86BF8">
              <w:rPr>
                <w:rFonts w:ascii="Times New Roman" w:hAnsi="Times New Roman"/>
                <w:i/>
                <w:sz w:val="24"/>
                <w:szCs w:val="24"/>
                <w:lang w:val="lt-LT"/>
              </w:rPr>
              <w:t>de minimis</w:t>
            </w:r>
            <w:r w:rsidRPr="00B86BF8">
              <w:rPr>
                <w:rFonts w:ascii="Times New Roman" w:hAnsi="Times New Roman"/>
                <w:sz w:val="24"/>
                <w:szCs w:val="24"/>
                <w:lang w:val="lt-LT"/>
              </w:rPr>
              <w:t xml:space="preserve"> pagalba, nurodant </w:t>
            </w:r>
            <w:r w:rsidRPr="00B86BF8">
              <w:rPr>
                <w:rFonts w:ascii="Times New Roman" w:hAnsi="Times New Roman"/>
                <w:i/>
                <w:iCs/>
                <w:sz w:val="24"/>
                <w:szCs w:val="24"/>
                <w:lang w:val="lt-LT"/>
              </w:rPr>
              <w:t>de minimis</w:t>
            </w:r>
            <w:r w:rsidRPr="00B86BF8">
              <w:rPr>
                <w:rFonts w:ascii="Times New Roman" w:hAnsi="Times New Roman"/>
                <w:sz w:val="24"/>
                <w:szCs w:val="24"/>
                <w:lang w:val="lt-LT"/>
              </w:rPr>
              <w:t xml:space="preserve"> pagalbos dydį, išreikštą bendrosios subsidijos ekvivalentu</w:t>
            </w:r>
          </w:p>
        </w:tc>
      </w:tr>
      <w:tr w:rsidR="00240F00" w:rsidRPr="00B86BF8" w14:paraId="4233476E" w14:textId="77777777" w:rsidTr="00096157">
        <w:trPr>
          <w:trHeight w:val="551"/>
        </w:trPr>
        <w:tc>
          <w:tcPr>
            <w:tcW w:w="3139" w:type="dxa"/>
            <w:vAlign w:val="center"/>
          </w:tcPr>
          <w:p w14:paraId="18D7723B" w14:textId="77777777" w:rsidR="00240F00" w:rsidRPr="00B86BF8" w:rsidRDefault="00240F00" w:rsidP="00240F00">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lastRenderedPageBreak/>
              <w:t>Priemonės „Alternatyva“ lėšų naudojimas</w:t>
            </w:r>
          </w:p>
        </w:tc>
        <w:tc>
          <w:tcPr>
            <w:tcW w:w="11987" w:type="dxa"/>
            <w:gridSpan w:val="2"/>
          </w:tcPr>
          <w:p w14:paraId="1C45F0CA" w14:textId="77777777" w:rsidR="00240F00" w:rsidRPr="00B86BF8" w:rsidRDefault="00240F00" w:rsidP="00240F00">
            <w:pPr>
              <w:tabs>
                <w:tab w:val="left" w:pos="317"/>
              </w:tabs>
              <w:spacing w:after="0" w:line="240" w:lineRule="auto"/>
              <w:ind w:left="33"/>
              <w:contextualSpacing/>
              <w:jc w:val="both"/>
              <w:rPr>
                <w:rFonts w:ascii="Times New Roman" w:hAnsi="Times New Roman"/>
                <w:sz w:val="24"/>
                <w:szCs w:val="24"/>
                <w:lang w:val="lt-LT"/>
              </w:rPr>
            </w:pPr>
            <w:r w:rsidRPr="00B86BF8">
              <w:rPr>
                <w:rFonts w:ascii="Times New Roman" w:hAnsi="Times New Roman"/>
                <w:sz w:val="24"/>
                <w:szCs w:val="24"/>
                <w:lang w:val="lt-LT"/>
              </w:rPr>
              <w:t>FT Priemonės „Alternatyva“ lėšas gali pervesti tik Paskolų gavėjams (išskyrus, kai Paskola yra teikiama perfinansavimui), laikydamasis Priemonės „Alternatyva“ ir Sutartyje nustatytų sąlygų ir neturi teisės šių lėšų naudoti kitoms reikmėms</w:t>
            </w:r>
          </w:p>
        </w:tc>
      </w:tr>
      <w:tr w:rsidR="00240F00" w:rsidRPr="00B86BF8" w14:paraId="580CBAA0" w14:textId="77777777" w:rsidTr="00096157">
        <w:tc>
          <w:tcPr>
            <w:tcW w:w="3139" w:type="dxa"/>
          </w:tcPr>
          <w:p w14:paraId="44481CD4" w14:textId="684FBD48" w:rsidR="00240F00" w:rsidRPr="00B86BF8" w:rsidRDefault="00240F00" w:rsidP="00240F00">
            <w:pPr>
              <w:spacing w:after="0" w:line="240" w:lineRule="auto"/>
              <w:contextualSpacing/>
              <w:rPr>
                <w:rFonts w:ascii="Times New Roman" w:hAnsi="Times New Roman"/>
                <w:b/>
                <w:sz w:val="24"/>
                <w:szCs w:val="24"/>
                <w:lang w:val="lt-LT"/>
              </w:rPr>
            </w:pPr>
            <w:r w:rsidRPr="00B86BF8">
              <w:rPr>
                <w:rFonts w:ascii="Times New Roman" w:hAnsi="Times New Roman"/>
                <w:b/>
                <w:sz w:val="24"/>
                <w:szCs w:val="24"/>
                <w:lang w:val="lt-LT"/>
              </w:rPr>
              <w:t xml:space="preserve">Paskolų teikiamų SVV </w:t>
            </w:r>
            <w:r w:rsidR="00761C97">
              <w:rPr>
                <w:rFonts w:ascii="Times New Roman" w:hAnsi="Times New Roman"/>
                <w:b/>
                <w:sz w:val="24"/>
                <w:szCs w:val="24"/>
                <w:lang w:val="lt-LT"/>
              </w:rPr>
              <w:t xml:space="preserve">subjektams </w:t>
            </w:r>
            <w:r w:rsidRPr="00B86BF8">
              <w:rPr>
                <w:rFonts w:ascii="Times New Roman" w:hAnsi="Times New Roman"/>
                <w:b/>
                <w:sz w:val="24"/>
                <w:szCs w:val="24"/>
                <w:lang w:val="lt-LT"/>
              </w:rPr>
              <w:t>užtikrinimo priemonės</w:t>
            </w:r>
          </w:p>
        </w:tc>
        <w:tc>
          <w:tcPr>
            <w:tcW w:w="11987" w:type="dxa"/>
            <w:gridSpan w:val="2"/>
          </w:tcPr>
          <w:p w14:paraId="1D86D100" w14:textId="77777777" w:rsidR="00240F00" w:rsidRPr="00B86BF8" w:rsidRDefault="00240F00" w:rsidP="00240F00">
            <w:pPr>
              <w:tabs>
                <w:tab w:val="left" w:pos="0"/>
              </w:tabs>
              <w:spacing w:after="0" w:line="240" w:lineRule="auto"/>
              <w:jc w:val="both"/>
              <w:rPr>
                <w:rFonts w:ascii="Times New Roman" w:hAnsi="Times New Roman"/>
                <w:bCs/>
                <w:sz w:val="24"/>
                <w:szCs w:val="24"/>
                <w:lang w:val="lt-LT"/>
              </w:rPr>
            </w:pPr>
            <w:r w:rsidRPr="00B86BF8">
              <w:rPr>
                <w:rFonts w:ascii="Times New Roman" w:hAnsi="Times New Roman"/>
                <w:bCs/>
                <w:sz w:val="24"/>
                <w:szCs w:val="24"/>
                <w:lang w:val="lt-LT"/>
              </w:rPr>
              <w:t>Taikomos FT nustatytos paskolų grąžinimo užtikrinimo priemonės</w:t>
            </w:r>
          </w:p>
        </w:tc>
      </w:tr>
      <w:tr w:rsidR="00E20031" w:rsidRPr="00B86BF8" w14:paraId="4D3E6E7B" w14:textId="77777777" w:rsidTr="00096157">
        <w:trPr>
          <w:trHeight w:val="278"/>
        </w:trPr>
        <w:tc>
          <w:tcPr>
            <w:tcW w:w="3139" w:type="dxa"/>
            <w:hideMark/>
          </w:tcPr>
          <w:p w14:paraId="7B606CDB" w14:textId="77777777" w:rsidR="00E20031" w:rsidRPr="00B86BF8" w:rsidRDefault="00E20031" w:rsidP="00E20031">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Užtikrinimo priemonės</w:t>
            </w:r>
          </w:p>
          <w:p w14:paraId="3D3CFA81" w14:textId="77777777" w:rsidR="00E20031" w:rsidRPr="00B86BF8" w:rsidRDefault="00E20031" w:rsidP="00E20031">
            <w:pPr>
              <w:spacing w:after="0" w:line="240" w:lineRule="auto"/>
              <w:rPr>
                <w:rFonts w:ascii="Times New Roman" w:hAnsi="Times New Roman"/>
                <w:b/>
                <w:sz w:val="24"/>
                <w:szCs w:val="24"/>
                <w:lang w:val="lt-LT"/>
              </w:rPr>
            </w:pPr>
          </w:p>
          <w:p w14:paraId="676304E5" w14:textId="77777777" w:rsidR="00E20031" w:rsidRPr="00B86BF8" w:rsidRDefault="00E20031" w:rsidP="00E20031">
            <w:pPr>
              <w:spacing w:after="0" w:line="240" w:lineRule="auto"/>
              <w:rPr>
                <w:rFonts w:ascii="Times New Roman" w:hAnsi="Times New Roman"/>
                <w:b/>
                <w:sz w:val="24"/>
                <w:szCs w:val="24"/>
                <w:lang w:val="lt-LT"/>
              </w:rPr>
            </w:pPr>
          </w:p>
        </w:tc>
        <w:tc>
          <w:tcPr>
            <w:tcW w:w="11987" w:type="dxa"/>
            <w:gridSpan w:val="2"/>
            <w:hideMark/>
          </w:tcPr>
          <w:p w14:paraId="1E3A6906" w14:textId="10BC6684" w:rsidR="00E20031" w:rsidRPr="00B86BF8" w:rsidRDefault="00E20031" w:rsidP="00E20031">
            <w:pPr>
              <w:tabs>
                <w:tab w:val="left" w:pos="1418"/>
              </w:tabs>
              <w:spacing w:after="0" w:line="240" w:lineRule="auto"/>
              <w:jc w:val="both"/>
              <w:rPr>
                <w:rFonts w:ascii="Times New Roman" w:hAnsi="Times New Roman"/>
                <w:sz w:val="24"/>
                <w:szCs w:val="24"/>
                <w:lang w:val="lt-LT"/>
              </w:rPr>
            </w:pPr>
            <w:bookmarkStart w:id="18" w:name="_Hlk37003876"/>
            <w:r w:rsidRPr="00B86BF8">
              <w:rPr>
                <w:rFonts w:ascii="Times New Roman" w:hAnsi="Times New Roman"/>
                <w:sz w:val="24"/>
                <w:szCs w:val="24"/>
                <w:lang w:val="lt-LT"/>
              </w:rPr>
              <w:t>FT, įgyvendindamas Priemonę „Alternatyva“, privalo atidaryti atskirą Priemonės „Alternatyva“ įgyvendinimui naudojamą atsiskaitomąją sąskaitą, skirtą išimtinai Priemonės „Alternatyva“ lėšoms: pervedimams Paskolų gavėjams atlikti, grąžinimams, gautiems iš Paskolų gavėjų;</w:t>
            </w:r>
          </w:p>
          <w:p w14:paraId="41DBE039" w14:textId="44902A17" w:rsidR="00E20031" w:rsidRPr="00B86BF8" w:rsidRDefault="00E20031" w:rsidP="00E20031">
            <w:pPr>
              <w:autoSpaceDE w:val="0"/>
              <w:autoSpaceDN w:val="0"/>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Priemonei „Alternatyva“ įgyvendinti FT privalo:</w:t>
            </w:r>
          </w:p>
          <w:p w14:paraId="2B35CAC4" w14:textId="3A99CACF" w:rsidR="00E20031" w:rsidRPr="00B86BF8" w:rsidRDefault="00E20031" w:rsidP="00E20031">
            <w:pPr>
              <w:autoSpaceDE w:val="0"/>
              <w:autoSpaceDN w:val="0"/>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1. pirminiu įkeitimu įkeisti esamas ir būsimas lėšas, esančias FT ar FT kredito įstaigos (įskaitant užsienio valstybės kredito įstaigos filialą, įsteigtą Lietuvos Respublikoje) arba Lietuvos banko licencijuotoje mokėjimo ar elektroninių pinigų įstaigos sąskaitoje, į kurią „Invega“ perveda FT prašomas Priemonės lėšas, taip pat esamas ir būsimas lėšas, esančias FT bet kitose sąskaitose (pvz., Verslo subjektų pagal paskolų sutartis grąžintų lėšų sąskaitą), jei FT tokias sąskaitas tam tikslui atidaro ir naudoja;</w:t>
            </w:r>
          </w:p>
          <w:p w14:paraId="211F6A51" w14:textId="3906288A" w:rsidR="00E20031" w:rsidRPr="00B86BF8" w:rsidRDefault="00E20031" w:rsidP="00E20031">
            <w:pPr>
              <w:tabs>
                <w:tab w:val="left" w:pos="1418"/>
              </w:tabs>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2. įkeisti FT reikalavimo teises, kylančias iš visų būsimų paskolų sutarčių – Maksimalaus įkeitimo sutartis. Įkeitimo lakšte papildomai turi būti nurodyta, kad FT reikalavimo teisių pagal paskolos sutartį įkeitimas taip pat apima visus ir bet kuriuos FT naudai atliktus Paskolos gavėjo mokėjimus pagal paskolos sutartį po to, kai įkaito gavėjas („Invega“) informuoja įkaito davėją (FT) apie išieškojimo veiksmų pradžią</w:t>
            </w:r>
            <w:bookmarkEnd w:id="18"/>
            <w:r w:rsidRPr="00B86BF8">
              <w:rPr>
                <w:rFonts w:ascii="Times New Roman" w:hAnsi="Times New Roman"/>
                <w:sz w:val="24"/>
                <w:szCs w:val="24"/>
                <w:lang w:val="lt-LT"/>
              </w:rPr>
              <w:t>.</w:t>
            </w:r>
          </w:p>
        </w:tc>
      </w:tr>
      <w:tr w:rsidR="00240F00" w:rsidRPr="00B86BF8" w14:paraId="1DCCE391" w14:textId="77777777" w:rsidTr="00096157">
        <w:trPr>
          <w:trHeight w:val="274"/>
        </w:trPr>
        <w:tc>
          <w:tcPr>
            <w:tcW w:w="3139" w:type="dxa"/>
            <w:shd w:val="clear" w:color="auto" w:fill="auto"/>
            <w:noWrap/>
            <w:vAlign w:val="center"/>
          </w:tcPr>
          <w:p w14:paraId="6F214257" w14:textId="77777777" w:rsidR="00240F00" w:rsidRPr="00B86BF8" w:rsidRDefault="00240F00" w:rsidP="00240F00">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Viešinimas</w:t>
            </w:r>
          </w:p>
        </w:tc>
        <w:tc>
          <w:tcPr>
            <w:tcW w:w="11987" w:type="dxa"/>
            <w:gridSpan w:val="2"/>
          </w:tcPr>
          <w:p w14:paraId="69FB05C1" w14:textId="77777777" w:rsidR="00240F00" w:rsidRPr="00B86BF8" w:rsidRDefault="00240F00" w:rsidP="00240F00">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FT privalo viešinti Priemonę „Alternatyva“.</w:t>
            </w:r>
          </w:p>
          <w:p w14:paraId="5E18AA95" w14:textId="77777777" w:rsidR="00240F00" w:rsidRPr="00B86BF8" w:rsidRDefault="00240F00" w:rsidP="00240F00">
            <w:pPr>
              <w:numPr>
                <w:ilvl w:val="0"/>
                <w:numId w:val="24"/>
              </w:numPr>
              <w:tabs>
                <w:tab w:val="left" w:pos="317"/>
              </w:tabs>
              <w:spacing w:after="0" w:line="240" w:lineRule="auto"/>
              <w:ind w:left="33" w:firstLine="0"/>
              <w:contextualSpacing/>
              <w:jc w:val="both"/>
              <w:rPr>
                <w:rFonts w:ascii="Times New Roman" w:hAnsi="Times New Roman"/>
                <w:sz w:val="24"/>
                <w:szCs w:val="24"/>
                <w:lang w:val="lt-LT"/>
              </w:rPr>
            </w:pPr>
            <w:r w:rsidRPr="00B86BF8">
              <w:rPr>
                <w:rFonts w:ascii="Times New Roman" w:hAnsi="Times New Roman"/>
                <w:sz w:val="24"/>
                <w:szCs w:val="24"/>
                <w:lang w:val="lt-LT"/>
              </w:rPr>
              <w:t>Su „Invega“ suderintą informaciją apie Priemonę „Alternatyva“, jos sąlygas patalpinant FT interneto svetainėje;</w:t>
            </w:r>
          </w:p>
          <w:p w14:paraId="7354FE6D" w14:textId="77777777" w:rsidR="00240F00" w:rsidRPr="00B86BF8" w:rsidRDefault="00240F00" w:rsidP="00240F00">
            <w:pPr>
              <w:numPr>
                <w:ilvl w:val="0"/>
                <w:numId w:val="24"/>
              </w:numPr>
              <w:tabs>
                <w:tab w:val="left" w:pos="317"/>
              </w:tabs>
              <w:spacing w:after="0" w:line="240" w:lineRule="auto"/>
              <w:ind w:left="33" w:firstLine="0"/>
              <w:contextualSpacing/>
              <w:jc w:val="both"/>
              <w:rPr>
                <w:rFonts w:ascii="Times New Roman" w:hAnsi="Times New Roman"/>
                <w:sz w:val="24"/>
                <w:szCs w:val="24"/>
                <w:lang w:val="lt-LT"/>
              </w:rPr>
            </w:pPr>
            <w:r w:rsidRPr="00B86BF8">
              <w:rPr>
                <w:rFonts w:ascii="Times New Roman" w:hAnsi="Times New Roman"/>
                <w:sz w:val="24"/>
                <w:szCs w:val="24"/>
                <w:lang w:val="lt-LT"/>
              </w:rPr>
              <w:t xml:space="preserve">Pagal poreikį – „Invegos“ organizuojamuose renginiuose, skiriant FT atstovą (-us); </w:t>
            </w:r>
          </w:p>
          <w:p w14:paraId="1EB195CF" w14:textId="77777777" w:rsidR="00240F00" w:rsidRPr="00B86BF8" w:rsidRDefault="00240F00" w:rsidP="00240F00">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Teikiant konsultacijas verslo projektų savininkams, viešinant Priemonę „Alternatyva“ kitomis viešinimo priemonėmis.</w:t>
            </w:r>
          </w:p>
        </w:tc>
      </w:tr>
      <w:tr w:rsidR="00240F00" w:rsidRPr="00B86BF8" w14:paraId="427F9572" w14:textId="77777777" w:rsidTr="00096157">
        <w:trPr>
          <w:trHeight w:val="945"/>
        </w:trPr>
        <w:tc>
          <w:tcPr>
            <w:tcW w:w="3139" w:type="dxa"/>
            <w:noWrap/>
          </w:tcPr>
          <w:p w14:paraId="58430273" w14:textId="77777777" w:rsidR="00240F00" w:rsidRPr="00B86BF8" w:rsidRDefault="00240F00" w:rsidP="00240F00">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t>Audito reikalavimai</w:t>
            </w:r>
          </w:p>
          <w:p w14:paraId="1DC1C847" w14:textId="77777777" w:rsidR="00240F00" w:rsidRPr="00B86BF8" w:rsidRDefault="00240F00" w:rsidP="00240F00">
            <w:pPr>
              <w:spacing w:after="0" w:line="240" w:lineRule="auto"/>
              <w:rPr>
                <w:rFonts w:ascii="Times New Roman" w:hAnsi="Times New Roman"/>
                <w:b/>
                <w:sz w:val="24"/>
                <w:szCs w:val="24"/>
                <w:lang w:val="lt-LT"/>
              </w:rPr>
            </w:pPr>
          </w:p>
          <w:p w14:paraId="2E2CFEBF" w14:textId="77777777" w:rsidR="00240F00" w:rsidRPr="00B86BF8" w:rsidRDefault="00240F00" w:rsidP="00240F00">
            <w:pPr>
              <w:spacing w:after="0" w:line="240" w:lineRule="auto"/>
              <w:rPr>
                <w:rFonts w:ascii="Times New Roman" w:hAnsi="Times New Roman"/>
                <w:b/>
                <w:sz w:val="24"/>
                <w:szCs w:val="24"/>
                <w:lang w:val="lt-LT"/>
              </w:rPr>
            </w:pPr>
          </w:p>
        </w:tc>
        <w:tc>
          <w:tcPr>
            <w:tcW w:w="11987" w:type="dxa"/>
            <w:gridSpan w:val="2"/>
          </w:tcPr>
          <w:p w14:paraId="0F35ACA6" w14:textId="77777777" w:rsidR="00240F00" w:rsidRPr="00B86BF8" w:rsidRDefault="00240F00" w:rsidP="00240F00">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FT įsipareigoja įsileisti „Invegos“, FM, Lietuvos Respublikos ekonomikos ir inovacijų ministerijos, Lietuvos Respublikos valstybės kontrolės, Finansinių nusikaltimų tyrimo tarnybos prie Vidaus reikalų ministerijos, Lietuvos Respublikos specialiųjų tyrimų tarnybos, Konkurencijos tarybos įgaliotus atstovus, tinkamai įgaliotų nacionalinių subjektų, turinčių teisę tikrinti, kaip panaudojamos Priemonės „Alternatyva“ ir kitų investuotojų, kurie skolins lėšas „Invegai“ siekiant įgyvendinti </w:t>
            </w:r>
            <w:r w:rsidRPr="00B86BF8">
              <w:rPr>
                <w:rFonts w:ascii="Times New Roman" w:hAnsi="Times New Roman"/>
                <w:sz w:val="24"/>
                <w:szCs w:val="24"/>
                <w:lang w:val="lt-LT"/>
              </w:rPr>
              <w:lastRenderedPageBreak/>
              <w:t>Priemonę „Alternatyva“ atstovus, atlikti Priemonės „Alternatyva“ ir jos vykdymo auditą ir (arba) patikrinimą iki Paskolos gavėjo lygmens.</w:t>
            </w:r>
          </w:p>
          <w:p w14:paraId="192D05D1" w14:textId="77777777" w:rsidR="00240F00" w:rsidRPr="00B86BF8" w:rsidRDefault="00240F00" w:rsidP="00240F00">
            <w:pPr>
              <w:tabs>
                <w:tab w:val="left" w:pos="412"/>
              </w:tabs>
              <w:spacing w:after="0" w:line="240" w:lineRule="auto"/>
              <w:contextualSpacing/>
              <w:jc w:val="both"/>
              <w:rPr>
                <w:rFonts w:ascii="Times New Roman" w:eastAsia="Times New Roman" w:hAnsi="Times New Roman"/>
                <w:sz w:val="24"/>
                <w:szCs w:val="24"/>
                <w:lang w:val="lt-LT"/>
              </w:rPr>
            </w:pPr>
            <w:r w:rsidRPr="00B86BF8">
              <w:rPr>
                <w:rFonts w:ascii="Times New Roman" w:hAnsi="Times New Roman"/>
                <w:sz w:val="24"/>
                <w:szCs w:val="24"/>
                <w:lang w:val="lt-LT"/>
              </w:rPr>
              <w:t>FT privalo visus su Priemonės „Alternatyva“ įgyvendinimu ir verslo projektų finansavimu Priemonės „Alternatyva“ lėšomis susijusius dokumentus saugoti ne trumpiau nei 10 metų po Priemonės „Alternatyva“ uždarymo</w:t>
            </w:r>
            <w:r w:rsidRPr="00B86BF8">
              <w:rPr>
                <w:rFonts w:ascii="Times New Roman" w:eastAsia="Times New Roman" w:hAnsi="Times New Roman"/>
                <w:sz w:val="24"/>
                <w:szCs w:val="24"/>
                <w:lang w:val="lt-LT"/>
              </w:rPr>
              <w:t xml:space="preserve">. </w:t>
            </w:r>
          </w:p>
          <w:p w14:paraId="6F44EE87" w14:textId="77777777" w:rsidR="00240F00" w:rsidRPr="00B86BF8" w:rsidRDefault="00240F00" w:rsidP="00240F00">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FT dokumentus, reikalingus atlikti auditui ar patikroms, teikia neatlygintinai</w:t>
            </w:r>
          </w:p>
        </w:tc>
      </w:tr>
      <w:tr w:rsidR="00240F00" w:rsidRPr="00B86BF8" w14:paraId="433D77FC" w14:textId="77777777" w:rsidTr="00096157">
        <w:trPr>
          <w:trHeight w:val="278"/>
        </w:trPr>
        <w:tc>
          <w:tcPr>
            <w:tcW w:w="3139" w:type="dxa"/>
            <w:noWrap/>
            <w:vAlign w:val="center"/>
          </w:tcPr>
          <w:p w14:paraId="33951F8A" w14:textId="77777777" w:rsidR="00240F00" w:rsidRPr="00B86BF8" w:rsidRDefault="00240F00" w:rsidP="00240F00">
            <w:pPr>
              <w:spacing w:after="0" w:line="240" w:lineRule="auto"/>
              <w:rPr>
                <w:rFonts w:ascii="Times New Roman" w:hAnsi="Times New Roman"/>
                <w:b/>
                <w:sz w:val="24"/>
                <w:szCs w:val="24"/>
                <w:lang w:val="lt-LT"/>
              </w:rPr>
            </w:pPr>
            <w:r w:rsidRPr="00B86BF8">
              <w:rPr>
                <w:rFonts w:ascii="Times New Roman" w:hAnsi="Times New Roman"/>
                <w:b/>
                <w:sz w:val="24"/>
                <w:szCs w:val="24"/>
                <w:lang w:val="lt-LT"/>
              </w:rPr>
              <w:lastRenderedPageBreak/>
              <w:t>Kitos sąlygos</w:t>
            </w:r>
          </w:p>
          <w:p w14:paraId="7AE7C4E6" w14:textId="77777777" w:rsidR="00240F00" w:rsidRPr="00B86BF8" w:rsidRDefault="00240F00" w:rsidP="00240F00">
            <w:pPr>
              <w:spacing w:after="0" w:line="240" w:lineRule="auto"/>
              <w:rPr>
                <w:rFonts w:ascii="Times New Roman" w:hAnsi="Times New Roman"/>
                <w:b/>
                <w:sz w:val="24"/>
                <w:szCs w:val="24"/>
                <w:lang w:val="lt-LT"/>
              </w:rPr>
            </w:pPr>
          </w:p>
          <w:p w14:paraId="2879AE9B" w14:textId="77777777" w:rsidR="00240F00" w:rsidRPr="00B86BF8" w:rsidRDefault="00240F00" w:rsidP="00240F00">
            <w:pPr>
              <w:spacing w:after="0" w:line="240" w:lineRule="auto"/>
              <w:rPr>
                <w:rFonts w:ascii="Times New Roman" w:hAnsi="Times New Roman"/>
                <w:b/>
                <w:sz w:val="24"/>
                <w:szCs w:val="24"/>
                <w:lang w:val="lt-LT"/>
              </w:rPr>
            </w:pPr>
          </w:p>
        </w:tc>
        <w:tc>
          <w:tcPr>
            <w:tcW w:w="11987" w:type="dxa"/>
            <w:gridSpan w:val="2"/>
          </w:tcPr>
          <w:p w14:paraId="5F2C3E4F" w14:textId="3BF5D71A" w:rsidR="00240F00" w:rsidRPr="00B86BF8" w:rsidRDefault="00240F00" w:rsidP="00240F00">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 xml:space="preserve">Sutartyje su FT taip pat nustatomos kitos sąlygos: Priemonės „Alternatyva“ lėšų išmokėjimo į FT sąskaitas ir grąžinimo tvarka, palūkanų </w:t>
            </w:r>
            <w:r w:rsidR="00211A20" w:rsidRPr="00B86BF8">
              <w:rPr>
                <w:rFonts w:ascii="Times New Roman" w:hAnsi="Times New Roman"/>
                <w:sz w:val="24"/>
                <w:szCs w:val="24"/>
                <w:lang w:val="lt-LT"/>
              </w:rPr>
              <w:t xml:space="preserve">mokėjimo </w:t>
            </w:r>
            <w:r w:rsidRPr="00B86BF8">
              <w:rPr>
                <w:rFonts w:ascii="Times New Roman" w:hAnsi="Times New Roman"/>
                <w:sz w:val="24"/>
                <w:szCs w:val="24"/>
                <w:lang w:val="lt-LT"/>
              </w:rPr>
              <w:t>principai, FT teikiamų ataskaitų formos ir jų teikimo tvarka, pagrindžiančių dokumentų saugojimo tvarka, Sutarties šalių teisės ir pareigos, Sutarties sąlygų keitimo galimi atvejai ir tvarka bei kitos sąlygos.</w:t>
            </w:r>
          </w:p>
          <w:p w14:paraId="3F5F39E9" w14:textId="77777777" w:rsidR="00240F00" w:rsidRPr="00B86BF8" w:rsidRDefault="00240F00" w:rsidP="00240F00">
            <w:pPr>
              <w:spacing w:after="0" w:line="240" w:lineRule="auto"/>
              <w:jc w:val="both"/>
              <w:rPr>
                <w:rFonts w:ascii="Times New Roman" w:hAnsi="Times New Roman"/>
                <w:sz w:val="24"/>
                <w:szCs w:val="24"/>
                <w:lang w:val="lt-LT"/>
              </w:rPr>
            </w:pPr>
            <w:r w:rsidRPr="00B86BF8">
              <w:rPr>
                <w:rFonts w:ascii="Times New Roman" w:hAnsi="Times New Roman"/>
                <w:sz w:val="24"/>
                <w:szCs w:val="24"/>
                <w:lang w:val="lt-LT"/>
              </w:rPr>
              <w:t>Sutarties vykdymo laikotarpiu pasikeitus taikytiniems teisės aktams, direktyvoms, taisyklėms ar gairėms, Sutarties šalims bus taikomos aktualios ir galiojančios nuostatos</w:t>
            </w:r>
          </w:p>
        </w:tc>
      </w:tr>
    </w:tbl>
    <w:p w14:paraId="2830DE4F" w14:textId="77777777" w:rsidR="005D491B" w:rsidRPr="00B86BF8" w:rsidRDefault="005D491B" w:rsidP="005D491B">
      <w:pPr>
        <w:autoSpaceDE w:val="0"/>
        <w:autoSpaceDN w:val="0"/>
        <w:adjustRightInd w:val="0"/>
        <w:spacing w:after="0" w:line="240" w:lineRule="auto"/>
        <w:jc w:val="both"/>
        <w:rPr>
          <w:rFonts w:ascii="Times New Roman" w:hAnsi="Times New Roman"/>
          <w:bCs/>
          <w:sz w:val="24"/>
          <w:szCs w:val="24"/>
        </w:rPr>
      </w:pPr>
    </w:p>
    <w:p w14:paraId="75CD356B" w14:textId="77777777" w:rsidR="005D491B" w:rsidRPr="00B86BF8" w:rsidRDefault="005D491B" w:rsidP="005704D0">
      <w:pPr>
        <w:autoSpaceDE w:val="0"/>
        <w:autoSpaceDN w:val="0"/>
        <w:adjustRightInd w:val="0"/>
        <w:spacing w:after="0" w:line="240" w:lineRule="auto"/>
        <w:jc w:val="both"/>
        <w:rPr>
          <w:rFonts w:ascii="Times New Roman" w:hAnsi="Times New Roman" w:cs="SimSun"/>
          <w:sz w:val="20"/>
          <w:szCs w:val="20"/>
        </w:rPr>
      </w:pPr>
      <w:r w:rsidRPr="00B86BF8">
        <w:rPr>
          <w:rFonts w:ascii="Times New Roman" w:hAnsi="Times New Roman" w:cs="SimSun"/>
          <w:sz w:val="20"/>
          <w:szCs w:val="20"/>
        </w:rPr>
        <w:t>*</w:t>
      </w:r>
      <w:r w:rsidRPr="00B86BF8">
        <w:rPr>
          <w:rFonts w:cs="SimSun"/>
        </w:rPr>
        <w:t xml:space="preserve"> </w:t>
      </w:r>
      <w:r w:rsidRPr="00B86BF8">
        <w:rPr>
          <w:rFonts w:ascii="Times New Roman" w:hAnsi="Times New Roman" w:cs="SimSun"/>
          <w:sz w:val="20"/>
          <w:szCs w:val="20"/>
        </w:rPr>
        <w:t>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“Invegos“, FT ir lėšas paskolinusių asmenų arba pateikti kiti tinkami patvirtinimai dėl šio reikalavimo įvykdymo).</w:t>
      </w:r>
      <w:r w:rsidR="00CE3FF4" w:rsidRPr="00B86BF8">
        <w:rPr>
          <w:rFonts w:ascii="Times New Roman" w:hAnsi="Times New Roman" w:cs="SimSun"/>
          <w:sz w:val="20"/>
          <w:szCs w:val="20"/>
        </w:rPr>
        <w:t xml:space="preserve"> Atliekant Kolektyvinio investavimo subjektų vertinimą laikoma, kad Kolektyvinio investavimo subjekto valdomo fondo grynųjų aktyvų vertė atitinka nuosav</w:t>
      </w:r>
      <w:r w:rsidR="007E0FF4" w:rsidRPr="00B86BF8">
        <w:rPr>
          <w:rFonts w:ascii="Times New Roman" w:hAnsi="Times New Roman" w:cs="SimSun"/>
          <w:sz w:val="20"/>
          <w:szCs w:val="20"/>
        </w:rPr>
        <w:t>o</w:t>
      </w:r>
      <w:r w:rsidR="00CE3FF4" w:rsidRPr="00B86BF8">
        <w:rPr>
          <w:rFonts w:ascii="Times New Roman" w:hAnsi="Times New Roman" w:cs="SimSun"/>
          <w:sz w:val="20"/>
          <w:szCs w:val="20"/>
        </w:rPr>
        <w:t xml:space="preserve"> kapital</w:t>
      </w:r>
      <w:r w:rsidR="007E0FF4" w:rsidRPr="00B86BF8">
        <w:rPr>
          <w:rFonts w:ascii="Times New Roman" w:hAnsi="Times New Roman" w:cs="SimSun"/>
          <w:sz w:val="20"/>
          <w:szCs w:val="20"/>
        </w:rPr>
        <w:t>o sąvoką</w:t>
      </w:r>
      <w:r w:rsidR="00667838" w:rsidRPr="00B86BF8">
        <w:rPr>
          <w:rFonts w:ascii="Times New Roman" w:hAnsi="Times New Roman" w:cs="SimSun"/>
          <w:sz w:val="20"/>
          <w:szCs w:val="20"/>
        </w:rPr>
        <w:t>;</w:t>
      </w:r>
    </w:p>
    <w:p w14:paraId="5C8736F7" w14:textId="77777777" w:rsidR="005D491B" w:rsidRPr="00B86BF8" w:rsidRDefault="005D491B" w:rsidP="007E6922">
      <w:pPr>
        <w:autoSpaceDE w:val="0"/>
        <w:autoSpaceDN w:val="0"/>
        <w:adjustRightInd w:val="0"/>
        <w:spacing w:after="0" w:line="240" w:lineRule="auto"/>
        <w:jc w:val="both"/>
        <w:rPr>
          <w:rFonts w:ascii="Times New Roman" w:hAnsi="Times New Roman" w:cs="SimSun"/>
          <w:sz w:val="20"/>
          <w:szCs w:val="20"/>
        </w:rPr>
      </w:pPr>
      <w:r w:rsidRPr="00B86BF8">
        <w:rPr>
          <w:rFonts w:ascii="Times New Roman" w:hAnsi="Times New Roman" w:cs="SimSun"/>
          <w:sz w:val="20"/>
          <w:szCs w:val="20"/>
        </w:rPr>
        <w:t>** Su FT susijusiais asmenimis laikomi:</w:t>
      </w:r>
    </w:p>
    <w:p w14:paraId="4A548D8D" w14:textId="77777777" w:rsidR="005D491B" w:rsidRPr="00B86BF8" w:rsidRDefault="005D491B" w:rsidP="007E6922">
      <w:pPr>
        <w:autoSpaceDE w:val="0"/>
        <w:autoSpaceDN w:val="0"/>
        <w:adjustRightInd w:val="0"/>
        <w:spacing w:after="0" w:line="240" w:lineRule="auto"/>
        <w:jc w:val="both"/>
        <w:rPr>
          <w:rFonts w:ascii="Times New Roman" w:hAnsi="Times New Roman" w:cs="SimSun"/>
          <w:sz w:val="20"/>
          <w:szCs w:val="20"/>
        </w:rPr>
      </w:pPr>
      <w:r w:rsidRPr="00B86BF8">
        <w:rPr>
          <w:rFonts w:ascii="Times New Roman" w:hAnsi="Times New Roman" w:cs="SimSun"/>
          <w:sz w:val="20"/>
          <w:szCs w:val="20"/>
        </w:rPr>
        <w:t xml:space="preserve">- asmenys, turintys FT kvalifikuotąją įstatinio kapitalo ir (arba) balsavimo teisių </w:t>
      </w:r>
      <w:r w:rsidR="000F1533" w:rsidRPr="00B86BF8">
        <w:rPr>
          <w:rFonts w:ascii="Times New Roman" w:hAnsi="Times New Roman" w:cs="SimSun"/>
          <w:sz w:val="20"/>
          <w:szCs w:val="20"/>
        </w:rPr>
        <w:t xml:space="preserve">daugumos </w:t>
      </w:r>
      <w:r w:rsidRPr="00B86BF8">
        <w:rPr>
          <w:rFonts w:ascii="Times New Roman" w:hAnsi="Times New Roman" w:cs="SimSun"/>
          <w:sz w:val="20"/>
          <w:szCs w:val="20"/>
        </w:rPr>
        <w:t>dalį ir jų kontroliuojamos įmonės;</w:t>
      </w:r>
    </w:p>
    <w:p w14:paraId="28C742AD" w14:textId="77777777" w:rsidR="005D491B" w:rsidRPr="00B86BF8" w:rsidRDefault="005D491B" w:rsidP="007E6922">
      <w:pPr>
        <w:autoSpaceDE w:val="0"/>
        <w:autoSpaceDN w:val="0"/>
        <w:adjustRightInd w:val="0"/>
        <w:spacing w:after="0" w:line="240" w:lineRule="auto"/>
        <w:jc w:val="both"/>
        <w:rPr>
          <w:rFonts w:ascii="Times New Roman" w:hAnsi="Times New Roman" w:cs="SimSun"/>
          <w:sz w:val="20"/>
          <w:szCs w:val="20"/>
        </w:rPr>
      </w:pPr>
      <w:r w:rsidRPr="00B86BF8">
        <w:rPr>
          <w:rFonts w:ascii="Times New Roman" w:hAnsi="Times New Roman" w:cs="SimSun"/>
          <w:sz w:val="20"/>
          <w:szCs w:val="20"/>
        </w:rPr>
        <w:t xml:space="preserve">-  juridiniai asmenys, kurių kvalifikuotąją įstatinio kapitalo ir (arba) balsavimo teisių </w:t>
      </w:r>
      <w:r w:rsidR="000F1533" w:rsidRPr="00B86BF8">
        <w:rPr>
          <w:rFonts w:ascii="Times New Roman" w:hAnsi="Times New Roman" w:cs="SimSun"/>
          <w:sz w:val="20"/>
          <w:szCs w:val="20"/>
        </w:rPr>
        <w:t xml:space="preserve">daugumos </w:t>
      </w:r>
      <w:r w:rsidRPr="00B86BF8">
        <w:rPr>
          <w:rFonts w:ascii="Times New Roman" w:hAnsi="Times New Roman" w:cs="SimSun"/>
          <w:sz w:val="20"/>
          <w:szCs w:val="20"/>
        </w:rPr>
        <w:t>dalį turi FT;</w:t>
      </w:r>
    </w:p>
    <w:p w14:paraId="7F55A243" w14:textId="77777777" w:rsidR="005D491B" w:rsidRPr="00B86BF8" w:rsidRDefault="005D491B" w:rsidP="007E6922">
      <w:pPr>
        <w:autoSpaceDE w:val="0"/>
        <w:autoSpaceDN w:val="0"/>
        <w:adjustRightInd w:val="0"/>
        <w:spacing w:after="0" w:line="240" w:lineRule="auto"/>
        <w:jc w:val="both"/>
        <w:rPr>
          <w:rFonts w:ascii="Times New Roman" w:hAnsi="Times New Roman" w:cs="SimSun"/>
          <w:sz w:val="20"/>
          <w:szCs w:val="20"/>
        </w:rPr>
      </w:pPr>
      <w:r w:rsidRPr="00B86BF8">
        <w:rPr>
          <w:rFonts w:ascii="Times New Roman" w:hAnsi="Times New Roman" w:cs="SimSun"/>
          <w:sz w:val="20"/>
          <w:szCs w:val="20"/>
        </w:rPr>
        <w:t>- aukščiau nurodytų juridinių asmenų vadovai ir su jais artimos giminystės, taip pat svainystės ryšiais susiję asmenys;</w:t>
      </w:r>
    </w:p>
    <w:p w14:paraId="133EE61E" w14:textId="55C32A32" w:rsidR="005D491B" w:rsidRPr="00B86BF8" w:rsidRDefault="005D491B" w:rsidP="007E6922">
      <w:pPr>
        <w:autoSpaceDE w:val="0"/>
        <w:autoSpaceDN w:val="0"/>
        <w:adjustRightInd w:val="0"/>
        <w:spacing w:after="0" w:line="240" w:lineRule="auto"/>
        <w:jc w:val="both"/>
        <w:rPr>
          <w:rFonts w:ascii="Times New Roman" w:hAnsi="Times New Roman" w:cs="SimSun"/>
          <w:sz w:val="20"/>
          <w:szCs w:val="20"/>
        </w:rPr>
      </w:pPr>
      <w:r w:rsidRPr="00B86BF8">
        <w:rPr>
          <w:rFonts w:ascii="Times New Roman" w:hAnsi="Times New Roman" w:cs="SimSun"/>
          <w:sz w:val="20"/>
          <w:szCs w:val="20"/>
        </w:rPr>
        <w:t xml:space="preserve">- fiziniai asmenys, artimos giminystės, taip pat svainystės ryšiais susiję su FT kvalifikuotąją įstatinio kapitalo ir (arba) balsavimo teisių </w:t>
      </w:r>
      <w:r w:rsidR="000F1533" w:rsidRPr="00B86BF8">
        <w:rPr>
          <w:rFonts w:ascii="Times New Roman" w:hAnsi="Times New Roman" w:cs="SimSun"/>
          <w:sz w:val="20"/>
          <w:szCs w:val="20"/>
        </w:rPr>
        <w:t xml:space="preserve">daugumos </w:t>
      </w:r>
      <w:r w:rsidRPr="00B86BF8">
        <w:rPr>
          <w:rFonts w:ascii="Times New Roman" w:hAnsi="Times New Roman" w:cs="SimSun"/>
          <w:sz w:val="20"/>
          <w:szCs w:val="20"/>
        </w:rPr>
        <w:t>dalį turinčiais fiziniais asmenimis</w:t>
      </w:r>
      <w:r w:rsidR="005704D0" w:rsidRPr="00B86BF8">
        <w:rPr>
          <w:rFonts w:ascii="Times New Roman" w:hAnsi="Times New Roman" w:cs="SimSun"/>
          <w:sz w:val="20"/>
          <w:szCs w:val="20"/>
        </w:rPr>
        <w:t>.</w:t>
      </w:r>
    </w:p>
    <w:p w14:paraId="6F0ED773" w14:textId="77777777" w:rsidR="005D491B" w:rsidRPr="00B86BF8" w:rsidRDefault="005D491B" w:rsidP="005704D0">
      <w:pPr>
        <w:autoSpaceDE w:val="0"/>
        <w:autoSpaceDN w:val="0"/>
        <w:adjustRightInd w:val="0"/>
        <w:spacing w:after="0" w:line="240" w:lineRule="auto"/>
        <w:jc w:val="both"/>
        <w:rPr>
          <w:rFonts w:ascii="Times New Roman" w:hAnsi="Times New Roman"/>
          <w:sz w:val="24"/>
          <w:szCs w:val="24"/>
        </w:rPr>
      </w:pPr>
    </w:p>
    <w:p w14:paraId="276C4CB7" w14:textId="77777777" w:rsidR="00573961" w:rsidRPr="00B86BF8" w:rsidRDefault="00573961">
      <w:pPr>
        <w:spacing w:after="0" w:line="240" w:lineRule="auto"/>
        <w:rPr>
          <w:rFonts w:ascii="Times New Roman" w:hAnsi="Times New Roman"/>
          <w:sz w:val="24"/>
          <w:szCs w:val="24"/>
        </w:rPr>
        <w:sectPr w:rsidR="00573961" w:rsidRPr="00B86BF8" w:rsidSect="00E5225D">
          <w:pgSz w:w="16838" w:h="11906" w:orient="landscape"/>
          <w:pgMar w:top="1701" w:right="993" w:bottom="1416" w:left="709" w:header="454" w:footer="567" w:gutter="0"/>
          <w:cols w:space="1296"/>
          <w:docGrid w:linePitch="360"/>
        </w:sectPr>
      </w:pPr>
    </w:p>
    <w:p w14:paraId="00C7DEBA" w14:textId="77777777" w:rsidR="00F707D3" w:rsidRPr="00B86BF8" w:rsidRDefault="00B33E80" w:rsidP="00F707D3">
      <w:pPr>
        <w:tabs>
          <w:tab w:val="left" w:pos="1418"/>
        </w:tabs>
        <w:spacing w:after="0" w:line="240" w:lineRule="auto"/>
        <w:ind w:left="993"/>
        <w:contextualSpacing/>
        <w:jc w:val="right"/>
        <w:rPr>
          <w:rFonts w:ascii="Times New Roman" w:hAnsi="Times New Roman"/>
          <w:lang w:eastAsia="lt-LT"/>
        </w:rPr>
      </w:pPr>
      <w:r w:rsidRPr="00B86BF8">
        <w:rPr>
          <w:rFonts w:ascii="Times New Roman" w:hAnsi="Times New Roman"/>
          <w:lang w:eastAsia="lt-LT"/>
        </w:rPr>
        <w:lastRenderedPageBreak/>
        <w:t>A</w:t>
      </w:r>
      <w:r w:rsidR="00F855DD" w:rsidRPr="00B86BF8">
        <w:rPr>
          <w:rFonts w:ascii="Times New Roman" w:hAnsi="Times New Roman"/>
          <w:lang w:eastAsia="lt-LT"/>
        </w:rPr>
        <w:t>prašo 2</w:t>
      </w:r>
      <w:r w:rsidR="00F707D3" w:rsidRPr="00B86BF8">
        <w:rPr>
          <w:rFonts w:ascii="Times New Roman" w:hAnsi="Times New Roman"/>
          <w:lang w:eastAsia="lt-LT"/>
        </w:rPr>
        <w:t xml:space="preserve"> priedas</w:t>
      </w:r>
    </w:p>
    <w:p w14:paraId="0EB83BAC" w14:textId="77777777" w:rsidR="00F707D3" w:rsidRPr="00B86BF8" w:rsidRDefault="00F707D3" w:rsidP="00F707D3">
      <w:pPr>
        <w:spacing w:after="0" w:line="240" w:lineRule="auto"/>
        <w:ind w:right="-178"/>
        <w:jc w:val="center"/>
        <w:rPr>
          <w:rFonts w:ascii="Times New Roman" w:hAnsi="Times New Roman"/>
          <w:sz w:val="18"/>
          <w:lang w:eastAsia="lt-LT"/>
        </w:rPr>
      </w:pPr>
    </w:p>
    <w:p w14:paraId="4CD5EE81" w14:textId="77777777" w:rsidR="00F707D3" w:rsidRPr="00B86BF8" w:rsidRDefault="00F707D3" w:rsidP="00F707D3">
      <w:pPr>
        <w:spacing w:after="0" w:line="240" w:lineRule="auto"/>
        <w:ind w:right="-178"/>
        <w:jc w:val="center"/>
        <w:rPr>
          <w:rFonts w:ascii="Times New Roman" w:hAnsi="Times New Roman"/>
          <w:sz w:val="18"/>
          <w:lang w:eastAsia="lt-LT"/>
        </w:rPr>
      </w:pPr>
      <w:r w:rsidRPr="00B86BF8">
        <w:rPr>
          <w:rFonts w:ascii="Times New Roman" w:hAnsi="Times New Roman"/>
          <w:sz w:val="18"/>
          <w:lang w:eastAsia="lt-LT"/>
        </w:rPr>
        <w:t>Herbas arba prek</w:t>
      </w:r>
      <w:r w:rsidR="00AF3744" w:rsidRPr="00B86BF8">
        <w:rPr>
          <w:rFonts w:ascii="Times New Roman" w:hAnsi="Times New Roman"/>
          <w:sz w:val="18"/>
          <w:lang w:eastAsia="lt-LT"/>
        </w:rPr>
        <w:t>ės</w:t>
      </w:r>
      <w:r w:rsidRPr="00B86BF8">
        <w:rPr>
          <w:rFonts w:ascii="Times New Roman" w:hAnsi="Times New Roman"/>
          <w:sz w:val="18"/>
          <w:lang w:eastAsia="lt-LT"/>
        </w:rPr>
        <w:t xml:space="preserve"> ženklas</w:t>
      </w:r>
    </w:p>
    <w:p w14:paraId="462BB8F8" w14:textId="77777777" w:rsidR="00F707D3" w:rsidRPr="00B86BF8" w:rsidRDefault="00F707D3" w:rsidP="00F707D3">
      <w:pPr>
        <w:spacing w:after="0" w:line="240" w:lineRule="auto"/>
        <w:ind w:right="-178"/>
        <w:rPr>
          <w:rFonts w:ascii="Times New Roman" w:hAnsi="Times New Roman"/>
          <w:sz w:val="18"/>
          <w:lang w:eastAsia="lt-LT"/>
        </w:rPr>
      </w:pPr>
      <w:r w:rsidRPr="00B86BF8">
        <w:rPr>
          <w:rFonts w:ascii="Times New Roman" w:hAnsi="Times New Roman"/>
          <w:sz w:val="18"/>
          <w:lang w:eastAsia="lt-LT"/>
        </w:rPr>
        <w:t xml:space="preserve">                                                           </w:t>
      </w:r>
    </w:p>
    <w:p w14:paraId="1663EC0C" w14:textId="77777777" w:rsidR="00F707D3" w:rsidRPr="00B86BF8" w:rsidRDefault="00F707D3" w:rsidP="00F707D3">
      <w:pPr>
        <w:spacing w:after="0" w:line="240" w:lineRule="auto"/>
        <w:ind w:right="-178"/>
        <w:jc w:val="center"/>
        <w:rPr>
          <w:rFonts w:ascii="Times New Roman" w:hAnsi="Times New Roman"/>
          <w:sz w:val="18"/>
          <w:lang w:eastAsia="lt-LT"/>
        </w:rPr>
      </w:pPr>
      <w:r w:rsidRPr="00B86BF8">
        <w:rPr>
          <w:rFonts w:ascii="Times New Roman" w:hAnsi="Times New Roman"/>
          <w:sz w:val="18"/>
          <w:lang w:eastAsia="lt-LT"/>
        </w:rPr>
        <w:t>(</w:t>
      </w:r>
      <w:r w:rsidR="0010484F" w:rsidRPr="00B86BF8">
        <w:rPr>
          <w:rFonts w:ascii="Times New Roman" w:hAnsi="Times New Roman"/>
          <w:sz w:val="18"/>
          <w:lang w:eastAsia="lt-LT"/>
        </w:rPr>
        <w:t>juridinio asmens</w:t>
      </w:r>
      <w:r w:rsidRPr="00B86BF8">
        <w:rPr>
          <w:rFonts w:ascii="Times New Roman" w:hAnsi="Times New Roman"/>
          <w:sz w:val="18"/>
          <w:lang w:eastAsia="lt-LT"/>
        </w:rPr>
        <w:t xml:space="preserve"> pavadinimas)</w:t>
      </w:r>
    </w:p>
    <w:p w14:paraId="126335B2" w14:textId="77777777" w:rsidR="00F707D3" w:rsidRPr="00B86BF8" w:rsidRDefault="00F707D3" w:rsidP="00F707D3">
      <w:pPr>
        <w:spacing w:after="0" w:line="240" w:lineRule="auto"/>
        <w:ind w:right="-178"/>
        <w:jc w:val="center"/>
        <w:rPr>
          <w:rFonts w:ascii="Times New Roman" w:hAnsi="Times New Roman"/>
          <w:sz w:val="18"/>
          <w:lang w:eastAsia="lt-LT"/>
        </w:rPr>
      </w:pPr>
    </w:p>
    <w:p w14:paraId="030F9D06" w14:textId="77777777" w:rsidR="00F707D3" w:rsidRPr="00B86BF8" w:rsidRDefault="00F707D3" w:rsidP="00F707D3">
      <w:pPr>
        <w:spacing w:after="0" w:line="240" w:lineRule="auto"/>
        <w:ind w:right="-178"/>
        <w:jc w:val="center"/>
        <w:rPr>
          <w:rFonts w:ascii="Times New Roman" w:hAnsi="Times New Roman"/>
          <w:sz w:val="18"/>
          <w:lang w:eastAsia="lt-LT"/>
        </w:rPr>
      </w:pPr>
      <w:r w:rsidRPr="00B86BF8">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9079ADE" w14:textId="77777777" w:rsidR="00F707D3" w:rsidRPr="00B86BF8" w:rsidRDefault="00F707D3" w:rsidP="00F707D3">
      <w:pPr>
        <w:spacing w:after="0" w:line="240" w:lineRule="auto"/>
        <w:ind w:right="-178"/>
        <w:jc w:val="center"/>
        <w:rPr>
          <w:rFonts w:ascii="Times New Roman" w:hAnsi="Times New Roman"/>
          <w:lang w:eastAsia="lt-LT"/>
        </w:rPr>
      </w:pPr>
    </w:p>
    <w:p w14:paraId="03CCE629" w14:textId="77777777" w:rsidR="00F707D3" w:rsidRPr="00B86BF8" w:rsidRDefault="00F707D3" w:rsidP="00F707D3">
      <w:pPr>
        <w:spacing w:after="0" w:line="240" w:lineRule="auto"/>
        <w:jc w:val="center"/>
        <w:rPr>
          <w:rFonts w:ascii="Times New Roman" w:hAnsi="Times New Roman"/>
          <w:b/>
          <w:bCs/>
          <w:lang w:eastAsia="lt-LT"/>
        </w:rPr>
      </w:pPr>
    </w:p>
    <w:p w14:paraId="66A65D25" w14:textId="77777777" w:rsidR="00F707D3" w:rsidRPr="00B86BF8" w:rsidRDefault="00F707D3" w:rsidP="0009478C">
      <w:pPr>
        <w:spacing w:after="0" w:line="240" w:lineRule="auto"/>
        <w:jc w:val="center"/>
        <w:rPr>
          <w:rFonts w:ascii="Times New Roman" w:hAnsi="Times New Roman"/>
          <w:lang w:eastAsia="lt-LT"/>
        </w:rPr>
      </w:pPr>
      <w:r w:rsidRPr="00B86BF8">
        <w:rPr>
          <w:rFonts w:ascii="Times New Roman" w:hAnsi="Times New Roman"/>
          <w:lang w:eastAsia="lt-LT"/>
        </w:rPr>
        <w:t>UAB „INVESTICIJŲ IR VERSLO GARANTIJOS“</w:t>
      </w:r>
    </w:p>
    <w:p w14:paraId="1750301C" w14:textId="77777777" w:rsidR="00F707D3" w:rsidRPr="00B86BF8" w:rsidRDefault="00F707D3" w:rsidP="00F707D3">
      <w:pPr>
        <w:tabs>
          <w:tab w:val="center" w:pos="2520"/>
        </w:tabs>
        <w:spacing w:after="0" w:line="240" w:lineRule="auto"/>
        <w:jc w:val="both"/>
        <w:rPr>
          <w:rFonts w:ascii="Times New Roman" w:hAnsi="Times New Roman"/>
          <w:b/>
          <w:lang w:eastAsia="lt-LT"/>
        </w:rPr>
      </w:pPr>
    </w:p>
    <w:p w14:paraId="7A5262AF" w14:textId="77777777" w:rsidR="00F707D3" w:rsidRPr="00B86BF8" w:rsidRDefault="00F707D3" w:rsidP="00F707D3">
      <w:pPr>
        <w:spacing w:after="0" w:line="240" w:lineRule="auto"/>
        <w:jc w:val="center"/>
        <w:rPr>
          <w:rFonts w:ascii="Times New Roman" w:hAnsi="Times New Roman"/>
          <w:b/>
          <w:lang w:eastAsia="lt-LT"/>
        </w:rPr>
      </w:pPr>
      <w:r w:rsidRPr="00B86BF8">
        <w:rPr>
          <w:rFonts w:ascii="Times New Roman" w:hAnsi="Times New Roman"/>
          <w:b/>
          <w:lang w:eastAsia="lt-LT"/>
        </w:rPr>
        <w:t>PRAŠYMAS</w:t>
      </w:r>
    </w:p>
    <w:p w14:paraId="45A0BC79" w14:textId="77777777" w:rsidR="00F707D3" w:rsidRPr="00B86BF8" w:rsidRDefault="00F707D3" w:rsidP="00F707D3">
      <w:pPr>
        <w:spacing w:after="0" w:line="240" w:lineRule="auto"/>
        <w:jc w:val="center"/>
        <w:rPr>
          <w:rFonts w:ascii="Times New Roman" w:hAnsi="Times New Roman"/>
          <w:b/>
          <w:lang w:eastAsia="lt-LT"/>
        </w:rPr>
      </w:pPr>
      <w:r w:rsidRPr="00B86BF8">
        <w:rPr>
          <w:rFonts w:ascii="Times New Roman" w:hAnsi="Times New Roman"/>
          <w:b/>
          <w:lang w:eastAsia="lt-LT"/>
        </w:rPr>
        <w:t xml:space="preserve">DĖL </w:t>
      </w:r>
      <w:r w:rsidR="00EA70F9" w:rsidRPr="00B86BF8">
        <w:rPr>
          <w:rFonts w:ascii="Times New Roman" w:hAnsi="Times New Roman"/>
          <w:b/>
          <w:lang w:eastAsia="lt-LT"/>
        </w:rPr>
        <w:t>D</w:t>
      </w:r>
      <w:r w:rsidR="00D414E2" w:rsidRPr="00B86BF8">
        <w:rPr>
          <w:rFonts w:ascii="Times New Roman" w:hAnsi="Times New Roman"/>
          <w:b/>
          <w:lang w:eastAsia="lt-LT"/>
        </w:rPr>
        <w:t>ALYVAVIMO ĮGYVENDINAN</w:t>
      </w:r>
      <w:r w:rsidR="00EA70F9" w:rsidRPr="00B86BF8">
        <w:rPr>
          <w:rFonts w:ascii="Times New Roman" w:hAnsi="Times New Roman"/>
          <w:b/>
          <w:lang w:eastAsia="lt-LT"/>
        </w:rPr>
        <w:t xml:space="preserve">T </w:t>
      </w:r>
      <w:r w:rsidR="00B47BC3" w:rsidRPr="00B86BF8">
        <w:rPr>
          <w:rFonts w:ascii="Times New Roman" w:hAnsi="Times New Roman"/>
          <w:b/>
          <w:lang w:eastAsia="lt-LT"/>
        </w:rPr>
        <w:t xml:space="preserve">SKATINAMĄJĄ FINANSINĘ </w:t>
      </w:r>
      <w:r w:rsidR="00446EF6" w:rsidRPr="00B86BF8">
        <w:rPr>
          <w:rFonts w:ascii="Times New Roman" w:hAnsi="Times New Roman"/>
          <w:b/>
          <w:lang w:eastAsia="lt-LT"/>
        </w:rPr>
        <w:t>PRIEMONĘ „</w:t>
      </w:r>
      <w:r w:rsidR="00B47BC3" w:rsidRPr="00B86BF8">
        <w:rPr>
          <w:rFonts w:ascii="Times New Roman" w:hAnsi="Times New Roman"/>
          <w:b/>
          <w:lang w:eastAsia="lt-LT"/>
        </w:rPr>
        <w:t>ALTERNATYVA</w:t>
      </w:r>
      <w:r w:rsidR="00446EF6" w:rsidRPr="00B86BF8">
        <w:rPr>
          <w:rFonts w:ascii="Times New Roman" w:hAnsi="Times New Roman"/>
          <w:b/>
          <w:lang w:eastAsia="lt-LT"/>
        </w:rPr>
        <w:t xml:space="preserve">“ </w:t>
      </w:r>
    </w:p>
    <w:p w14:paraId="426B532F" w14:textId="77777777" w:rsidR="00F707D3" w:rsidRPr="00B86BF8" w:rsidRDefault="00F707D3" w:rsidP="00F707D3">
      <w:pPr>
        <w:spacing w:after="0" w:line="240" w:lineRule="auto"/>
        <w:jc w:val="center"/>
        <w:rPr>
          <w:rFonts w:ascii="Times New Roman" w:hAnsi="Times New Roman"/>
          <w:b/>
          <w:i/>
          <w:lang w:eastAsia="lt-LT"/>
        </w:rPr>
      </w:pPr>
    </w:p>
    <w:p w14:paraId="2A631B20" w14:textId="77777777" w:rsidR="00F707D3" w:rsidRPr="00B86BF8" w:rsidRDefault="00F707D3" w:rsidP="00F707D3">
      <w:pPr>
        <w:spacing w:after="0" w:line="240" w:lineRule="auto"/>
        <w:jc w:val="center"/>
        <w:rPr>
          <w:rFonts w:ascii="Times New Roman" w:hAnsi="Times New Roman"/>
          <w:i/>
          <w:lang w:eastAsia="lt-LT"/>
        </w:rPr>
      </w:pPr>
    </w:p>
    <w:p w14:paraId="3714676D" w14:textId="77777777" w:rsidR="00F707D3" w:rsidRPr="00B86BF8" w:rsidRDefault="00F707D3" w:rsidP="00F707D3">
      <w:pPr>
        <w:shd w:val="clear" w:color="auto" w:fill="FFFFFF"/>
        <w:spacing w:after="0" w:line="240" w:lineRule="auto"/>
        <w:jc w:val="center"/>
        <w:rPr>
          <w:rFonts w:ascii="Times New Roman" w:hAnsi="Times New Roman"/>
          <w:b/>
          <w:bCs/>
          <w:color w:val="000000"/>
          <w:lang w:eastAsia="lt-LT"/>
        </w:rPr>
      </w:pPr>
      <w:r w:rsidRPr="00B86BF8">
        <w:rPr>
          <w:rFonts w:ascii="Times New Roman" w:hAnsi="Times New Roman"/>
          <w:lang w:eastAsia="lt-LT"/>
        </w:rPr>
        <w:t>_____________</w:t>
      </w:r>
      <w:r w:rsidRPr="00B86BF8">
        <w:rPr>
          <w:rFonts w:ascii="Times New Roman" w:hAnsi="Times New Roman"/>
          <w:b/>
          <w:bCs/>
          <w:color w:val="000000"/>
          <w:lang w:eastAsia="lt-LT"/>
        </w:rPr>
        <w:t xml:space="preserve"> </w:t>
      </w:r>
      <w:r w:rsidRPr="00B86BF8">
        <w:rPr>
          <w:rFonts w:ascii="Times New Roman" w:hAnsi="Times New Roman"/>
          <w:lang w:eastAsia="lt-LT"/>
        </w:rPr>
        <w:t>Nr.______</w:t>
      </w:r>
    </w:p>
    <w:p w14:paraId="24D0A168" w14:textId="77777777" w:rsidR="00F707D3" w:rsidRPr="00B86BF8" w:rsidRDefault="00F707D3"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B86BF8">
        <w:rPr>
          <w:rFonts w:ascii="Times New Roman" w:hAnsi="Times New Roman"/>
          <w:bCs/>
          <w:color w:val="000000"/>
          <w:lang w:eastAsia="lt-LT"/>
        </w:rPr>
        <w:t>(Data)</w:t>
      </w:r>
    </w:p>
    <w:p w14:paraId="72CCE054" w14:textId="77777777" w:rsidR="00F707D3" w:rsidRPr="00B86BF8" w:rsidRDefault="00F707D3" w:rsidP="00F707D3">
      <w:pPr>
        <w:shd w:val="clear" w:color="auto" w:fill="FFFFFF"/>
        <w:spacing w:after="0" w:line="240" w:lineRule="auto"/>
        <w:jc w:val="center"/>
        <w:rPr>
          <w:rFonts w:ascii="Times New Roman" w:hAnsi="Times New Roman"/>
          <w:bCs/>
          <w:color w:val="000000"/>
          <w:lang w:eastAsia="lt-LT"/>
        </w:rPr>
      </w:pPr>
      <w:r w:rsidRPr="00B86BF8">
        <w:rPr>
          <w:rFonts w:ascii="Times New Roman" w:hAnsi="Times New Roman"/>
          <w:bCs/>
          <w:color w:val="000000"/>
          <w:lang w:eastAsia="lt-LT"/>
        </w:rPr>
        <w:t>(Sudarymo vieta)</w:t>
      </w:r>
    </w:p>
    <w:p w14:paraId="38C6F6A5" w14:textId="77777777" w:rsidR="00F707D3" w:rsidRPr="00B86BF8" w:rsidRDefault="00F707D3" w:rsidP="00F707D3">
      <w:pPr>
        <w:spacing w:after="0" w:line="240" w:lineRule="auto"/>
        <w:jc w:val="center"/>
        <w:rPr>
          <w:rFonts w:ascii="Times New Roman" w:hAnsi="Times New Roman"/>
          <w:lang w:eastAsia="lt-LT"/>
        </w:rPr>
      </w:pPr>
    </w:p>
    <w:p w14:paraId="43F0E2CB" w14:textId="77777777" w:rsidR="00F707D3" w:rsidRPr="00B86BF8" w:rsidRDefault="00F707D3" w:rsidP="00F707D3">
      <w:pPr>
        <w:spacing w:after="0" w:line="240" w:lineRule="auto"/>
        <w:jc w:val="center"/>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425"/>
      </w:tblGrid>
      <w:tr w:rsidR="00F707D3" w:rsidRPr="00B86BF8" w14:paraId="430665F3" w14:textId="77777777" w:rsidTr="00D95057">
        <w:tc>
          <w:tcPr>
            <w:tcW w:w="5068" w:type="dxa"/>
            <w:tcBorders>
              <w:top w:val="single" w:sz="4" w:space="0" w:color="auto"/>
              <w:left w:val="single" w:sz="4" w:space="0" w:color="auto"/>
              <w:bottom w:val="single" w:sz="4" w:space="0" w:color="auto"/>
              <w:right w:val="single" w:sz="4" w:space="0" w:color="auto"/>
            </w:tcBorders>
          </w:tcPr>
          <w:p w14:paraId="0B397132" w14:textId="77777777" w:rsidR="00F707D3" w:rsidRPr="00B86BF8" w:rsidRDefault="00522131" w:rsidP="00F707D3">
            <w:pPr>
              <w:spacing w:after="0" w:line="240" w:lineRule="auto"/>
              <w:rPr>
                <w:rFonts w:ascii="Times New Roman" w:hAnsi="Times New Roman"/>
                <w:lang w:eastAsia="lt-LT"/>
              </w:rPr>
            </w:pPr>
            <w:r w:rsidRPr="00B86BF8">
              <w:rPr>
                <w:rFonts w:ascii="Times New Roman" w:hAnsi="Times New Roman"/>
                <w:lang w:eastAsia="lt-LT"/>
              </w:rPr>
              <w:t>Juridinio asmens pavadinimas</w:t>
            </w:r>
            <w:r w:rsidR="00F707D3" w:rsidRPr="00B86BF8">
              <w:rPr>
                <w:rFonts w:ascii="Times New Roman" w:hAnsi="Times New Roman"/>
                <w:lang w:eastAsia="lt-LT"/>
              </w:rPr>
              <w:t xml:space="preserve"> </w:t>
            </w:r>
          </w:p>
          <w:p w14:paraId="35B850C6" w14:textId="77777777" w:rsidR="00F233D6" w:rsidRPr="00B86BF8" w:rsidRDefault="00F233D6" w:rsidP="00C57D7A">
            <w:pPr>
              <w:spacing w:after="0" w:line="240" w:lineRule="auto"/>
              <w:rPr>
                <w:rFonts w:ascii="Times New Roman" w:hAnsi="Times New Roman"/>
                <w:lang w:eastAsia="lt-LT"/>
              </w:rPr>
            </w:pPr>
            <w:r w:rsidRPr="00B86BF8">
              <w:rPr>
                <w:rFonts w:ascii="Times New Roman" w:hAnsi="Times New Roman"/>
                <w:lang w:eastAsia="lt-LT"/>
              </w:rPr>
              <w:t xml:space="preserve">(toliau </w:t>
            </w:r>
            <w:r w:rsidR="002D39B0" w:rsidRPr="00B86BF8">
              <w:rPr>
                <w:rFonts w:ascii="Times New Roman" w:hAnsi="Times New Roman"/>
                <w:lang w:eastAsia="lt-LT"/>
              </w:rPr>
              <w:t>–</w:t>
            </w:r>
            <w:r w:rsidR="008D110E" w:rsidRPr="00B86BF8">
              <w:rPr>
                <w:rFonts w:ascii="Times New Roman" w:hAnsi="Times New Roman"/>
                <w:lang w:eastAsia="lt-LT"/>
              </w:rPr>
              <w:t xml:space="preserve"> finansų </w:t>
            </w:r>
            <w:r w:rsidR="00B53071" w:rsidRPr="00B86BF8">
              <w:rPr>
                <w:rFonts w:ascii="Times New Roman" w:hAnsi="Times New Roman"/>
                <w:lang w:eastAsia="lt-LT"/>
              </w:rPr>
              <w:t>įmonė</w:t>
            </w:r>
            <w:r w:rsidRPr="00B86BF8">
              <w:rPr>
                <w:rFonts w:ascii="Times New Roman" w:hAnsi="Times New Roman"/>
                <w:lang w:eastAsia="lt-LT"/>
              </w:rPr>
              <w:t>)</w:t>
            </w:r>
          </w:p>
        </w:tc>
        <w:tc>
          <w:tcPr>
            <w:tcW w:w="4425" w:type="dxa"/>
            <w:tcBorders>
              <w:top w:val="single" w:sz="4" w:space="0" w:color="auto"/>
              <w:left w:val="single" w:sz="4" w:space="0" w:color="auto"/>
              <w:bottom w:val="single" w:sz="4" w:space="0" w:color="auto"/>
              <w:right w:val="single" w:sz="4" w:space="0" w:color="auto"/>
            </w:tcBorders>
          </w:tcPr>
          <w:p w14:paraId="7AFF8BF3" w14:textId="77777777" w:rsidR="00F707D3" w:rsidRPr="00B86BF8" w:rsidRDefault="00F707D3" w:rsidP="00F707D3">
            <w:pPr>
              <w:spacing w:after="0" w:line="240" w:lineRule="auto"/>
              <w:jc w:val="both"/>
              <w:rPr>
                <w:rFonts w:ascii="Times New Roman" w:hAnsi="Times New Roman"/>
                <w:lang w:eastAsia="lt-LT"/>
              </w:rPr>
            </w:pPr>
          </w:p>
          <w:p w14:paraId="38A8E92E" w14:textId="77777777" w:rsidR="00F707D3" w:rsidRPr="00B86BF8" w:rsidRDefault="00F707D3" w:rsidP="00F707D3">
            <w:pPr>
              <w:spacing w:after="0" w:line="240" w:lineRule="auto"/>
              <w:jc w:val="both"/>
              <w:rPr>
                <w:rFonts w:ascii="Times New Roman" w:hAnsi="Times New Roman"/>
                <w:lang w:eastAsia="lt-LT"/>
              </w:rPr>
            </w:pPr>
          </w:p>
        </w:tc>
      </w:tr>
      <w:tr w:rsidR="00F707D3" w:rsidRPr="00B86BF8" w14:paraId="2ED43B9F" w14:textId="77777777" w:rsidTr="00D95057">
        <w:tc>
          <w:tcPr>
            <w:tcW w:w="5068" w:type="dxa"/>
            <w:tcBorders>
              <w:top w:val="single" w:sz="4" w:space="0" w:color="auto"/>
              <w:left w:val="single" w:sz="4" w:space="0" w:color="auto"/>
              <w:bottom w:val="single" w:sz="4" w:space="0" w:color="auto"/>
              <w:right w:val="single" w:sz="4" w:space="0" w:color="auto"/>
            </w:tcBorders>
          </w:tcPr>
          <w:p w14:paraId="6781E5C1" w14:textId="77777777" w:rsidR="00F707D3" w:rsidRPr="00B86BF8" w:rsidRDefault="00F707D3" w:rsidP="00F707D3">
            <w:pPr>
              <w:spacing w:after="0" w:line="240" w:lineRule="auto"/>
              <w:jc w:val="both"/>
              <w:rPr>
                <w:rFonts w:ascii="Times New Roman" w:hAnsi="Times New Roman"/>
                <w:lang w:eastAsia="lt-LT"/>
              </w:rPr>
            </w:pPr>
            <w:r w:rsidRPr="00B86BF8">
              <w:rPr>
                <w:rFonts w:ascii="Times New Roman" w:hAnsi="Times New Roman"/>
                <w:lang w:eastAsia="lt-LT"/>
              </w:rPr>
              <w:t xml:space="preserve">Buveinės adresas </w:t>
            </w:r>
          </w:p>
        </w:tc>
        <w:tc>
          <w:tcPr>
            <w:tcW w:w="4425" w:type="dxa"/>
            <w:tcBorders>
              <w:top w:val="single" w:sz="4" w:space="0" w:color="auto"/>
              <w:left w:val="single" w:sz="4" w:space="0" w:color="auto"/>
              <w:bottom w:val="single" w:sz="4" w:space="0" w:color="auto"/>
              <w:right w:val="single" w:sz="4" w:space="0" w:color="auto"/>
            </w:tcBorders>
          </w:tcPr>
          <w:p w14:paraId="7D580C14" w14:textId="77777777" w:rsidR="00F707D3" w:rsidRPr="00B86BF8" w:rsidRDefault="00F707D3" w:rsidP="00F707D3">
            <w:pPr>
              <w:spacing w:after="0" w:line="240" w:lineRule="auto"/>
              <w:jc w:val="both"/>
              <w:rPr>
                <w:rFonts w:ascii="Times New Roman" w:hAnsi="Times New Roman"/>
                <w:lang w:eastAsia="lt-LT"/>
              </w:rPr>
            </w:pPr>
          </w:p>
          <w:p w14:paraId="35D45BD8" w14:textId="77777777" w:rsidR="00F707D3" w:rsidRPr="00B86BF8" w:rsidRDefault="00F707D3" w:rsidP="00F707D3">
            <w:pPr>
              <w:spacing w:after="0" w:line="240" w:lineRule="auto"/>
              <w:jc w:val="both"/>
              <w:rPr>
                <w:rFonts w:ascii="Times New Roman" w:hAnsi="Times New Roman"/>
                <w:lang w:eastAsia="lt-LT"/>
              </w:rPr>
            </w:pPr>
          </w:p>
        </w:tc>
      </w:tr>
      <w:tr w:rsidR="00F707D3" w:rsidRPr="00B86BF8" w14:paraId="33B011A2" w14:textId="77777777" w:rsidTr="00D95057">
        <w:tc>
          <w:tcPr>
            <w:tcW w:w="5068" w:type="dxa"/>
            <w:tcBorders>
              <w:top w:val="single" w:sz="4" w:space="0" w:color="auto"/>
              <w:left w:val="single" w:sz="4" w:space="0" w:color="auto"/>
              <w:bottom w:val="single" w:sz="4" w:space="0" w:color="auto"/>
              <w:right w:val="single" w:sz="4" w:space="0" w:color="auto"/>
            </w:tcBorders>
          </w:tcPr>
          <w:p w14:paraId="1F00078C" w14:textId="77777777" w:rsidR="00F707D3" w:rsidRPr="00B86BF8" w:rsidRDefault="00F707D3" w:rsidP="00F707D3">
            <w:pPr>
              <w:spacing w:after="0" w:line="240" w:lineRule="auto"/>
              <w:jc w:val="both"/>
              <w:rPr>
                <w:rFonts w:ascii="Times New Roman" w:hAnsi="Times New Roman"/>
                <w:lang w:eastAsia="lt-LT"/>
              </w:rPr>
            </w:pPr>
            <w:r w:rsidRPr="00B86BF8">
              <w:rPr>
                <w:rFonts w:ascii="Times New Roman" w:hAnsi="Times New Roman"/>
                <w:lang w:eastAsia="lt-LT"/>
              </w:rPr>
              <w:t>Už prašymą atsakingo kontaktinio asmens vardas, pavardė</w:t>
            </w:r>
          </w:p>
        </w:tc>
        <w:tc>
          <w:tcPr>
            <w:tcW w:w="4425" w:type="dxa"/>
            <w:tcBorders>
              <w:top w:val="single" w:sz="4" w:space="0" w:color="auto"/>
              <w:left w:val="single" w:sz="4" w:space="0" w:color="auto"/>
              <w:bottom w:val="single" w:sz="4" w:space="0" w:color="auto"/>
              <w:right w:val="single" w:sz="4" w:space="0" w:color="auto"/>
            </w:tcBorders>
          </w:tcPr>
          <w:p w14:paraId="5F2E55F5" w14:textId="77777777" w:rsidR="00F707D3" w:rsidRPr="00B86BF8" w:rsidRDefault="00F707D3" w:rsidP="00F707D3">
            <w:pPr>
              <w:spacing w:after="0" w:line="240" w:lineRule="auto"/>
              <w:jc w:val="both"/>
              <w:rPr>
                <w:rFonts w:ascii="Times New Roman" w:hAnsi="Times New Roman"/>
                <w:lang w:eastAsia="lt-LT"/>
              </w:rPr>
            </w:pPr>
          </w:p>
          <w:p w14:paraId="0FA47884" w14:textId="77777777" w:rsidR="00F707D3" w:rsidRPr="00B86BF8" w:rsidRDefault="00F707D3" w:rsidP="00F707D3">
            <w:pPr>
              <w:spacing w:after="0" w:line="240" w:lineRule="auto"/>
              <w:jc w:val="both"/>
              <w:rPr>
                <w:rFonts w:ascii="Times New Roman" w:hAnsi="Times New Roman"/>
                <w:lang w:eastAsia="lt-LT"/>
              </w:rPr>
            </w:pPr>
          </w:p>
        </w:tc>
      </w:tr>
      <w:tr w:rsidR="00F707D3" w:rsidRPr="00B86BF8" w14:paraId="00913CA7" w14:textId="77777777" w:rsidTr="00D95057">
        <w:tc>
          <w:tcPr>
            <w:tcW w:w="5068" w:type="dxa"/>
            <w:tcBorders>
              <w:top w:val="single" w:sz="4" w:space="0" w:color="auto"/>
              <w:left w:val="single" w:sz="4" w:space="0" w:color="auto"/>
              <w:bottom w:val="single" w:sz="4" w:space="0" w:color="auto"/>
              <w:right w:val="single" w:sz="4" w:space="0" w:color="auto"/>
            </w:tcBorders>
          </w:tcPr>
          <w:p w14:paraId="04A137BE" w14:textId="77777777" w:rsidR="00F707D3" w:rsidRPr="00B86BF8" w:rsidRDefault="00F707D3" w:rsidP="00F707D3">
            <w:pPr>
              <w:spacing w:after="0" w:line="240" w:lineRule="auto"/>
              <w:jc w:val="both"/>
              <w:rPr>
                <w:rFonts w:ascii="Times New Roman" w:hAnsi="Times New Roman"/>
                <w:lang w:eastAsia="lt-LT"/>
              </w:rPr>
            </w:pPr>
            <w:r w:rsidRPr="00B86BF8">
              <w:rPr>
                <w:rFonts w:ascii="Times New Roman" w:hAnsi="Times New Roman"/>
                <w:lang w:eastAsia="lt-LT"/>
              </w:rPr>
              <w:t>Telefono numeris</w:t>
            </w:r>
          </w:p>
        </w:tc>
        <w:tc>
          <w:tcPr>
            <w:tcW w:w="4425" w:type="dxa"/>
            <w:tcBorders>
              <w:top w:val="single" w:sz="4" w:space="0" w:color="auto"/>
              <w:left w:val="single" w:sz="4" w:space="0" w:color="auto"/>
              <w:bottom w:val="single" w:sz="4" w:space="0" w:color="auto"/>
              <w:right w:val="single" w:sz="4" w:space="0" w:color="auto"/>
            </w:tcBorders>
          </w:tcPr>
          <w:p w14:paraId="37E416DE" w14:textId="77777777" w:rsidR="00F707D3" w:rsidRPr="00B86BF8" w:rsidRDefault="00F707D3" w:rsidP="00F707D3">
            <w:pPr>
              <w:spacing w:after="0" w:line="240" w:lineRule="auto"/>
              <w:jc w:val="both"/>
              <w:rPr>
                <w:rFonts w:ascii="Times New Roman" w:hAnsi="Times New Roman"/>
                <w:lang w:eastAsia="lt-LT"/>
              </w:rPr>
            </w:pPr>
          </w:p>
          <w:p w14:paraId="444E07E2" w14:textId="77777777" w:rsidR="00F707D3" w:rsidRPr="00B86BF8" w:rsidRDefault="00F707D3" w:rsidP="00F707D3">
            <w:pPr>
              <w:spacing w:after="0" w:line="240" w:lineRule="auto"/>
              <w:jc w:val="both"/>
              <w:rPr>
                <w:rFonts w:ascii="Times New Roman" w:hAnsi="Times New Roman"/>
                <w:lang w:eastAsia="lt-LT"/>
              </w:rPr>
            </w:pPr>
          </w:p>
        </w:tc>
      </w:tr>
      <w:tr w:rsidR="00F707D3" w:rsidRPr="00B86BF8" w14:paraId="4C6C0DBE" w14:textId="77777777" w:rsidTr="00D95057">
        <w:tc>
          <w:tcPr>
            <w:tcW w:w="5068" w:type="dxa"/>
            <w:tcBorders>
              <w:top w:val="single" w:sz="4" w:space="0" w:color="auto"/>
              <w:left w:val="single" w:sz="4" w:space="0" w:color="auto"/>
              <w:bottom w:val="single" w:sz="4" w:space="0" w:color="auto"/>
              <w:right w:val="single" w:sz="4" w:space="0" w:color="auto"/>
            </w:tcBorders>
          </w:tcPr>
          <w:p w14:paraId="5ED07416" w14:textId="77777777" w:rsidR="00F707D3" w:rsidRPr="00B86BF8" w:rsidRDefault="00F707D3" w:rsidP="00F707D3">
            <w:pPr>
              <w:spacing w:after="0" w:line="240" w:lineRule="auto"/>
              <w:jc w:val="both"/>
              <w:rPr>
                <w:rFonts w:ascii="Times New Roman" w:hAnsi="Times New Roman"/>
                <w:lang w:eastAsia="lt-LT"/>
              </w:rPr>
            </w:pPr>
            <w:r w:rsidRPr="00B86BF8">
              <w:rPr>
                <w:rFonts w:ascii="Times New Roman" w:hAnsi="Times New Roman"/>
                <w:lang w:eastAsia="lt-LT"/>
              </w:rPr>
              <w:t>El. pašto adresas</w:t>
            </w:r>
          </w:p>
        </w:tc>
        <w:tc>
          <w:tcPr>
            <w:tcW w:w="4425" w:type="dxa"/>
            <w:tcBorders>
              <w:top w:val="single" w:sz="4" w:space="0" w:color="auto"/>
              <w:left w:val="single" w:sz="4" w:space="0" w:color="auto"/>
              <w:bottom w:val="single" w:sz="4" w:space="0" w:color="auto"/>
              <w:right w:val="single" w:sz="4" w:space="0" w:color="auto"/>
            </w:tcBorders>
          </w:tcPr>
          <w:p w14:paraId="7E024A47" w14:textId="77777777" w:rsidR="00F707D3" w:rsidRPr="00B86BF8" w:rsidRDefault="00F707D3" w:rsidP="00F707D3">
            <w:pPr>
              <w:spacing w:after="0" w:line="240" w:lineRule="auto"/>
              <w:jc w:val="both"/>
              <w:rPr>
                <w:rFonts w:ascii="Times New Roman" w:hAnsi="Times New Roman"/>
                <w:lang w:eastAsia="lt-LT"/>
              </w:rPr>
            </w:pPr>
          </w:p>
          <w:p w14:paraId="38E88CBD" w14:textId="77777777" w:rsidR="00F707D3" w:rsidRPr="00B86BF8" w:rsidRDefault="00F707D3" w:rsidP="00F707D3">
            <w:pPr>
              <w:spacing w:after="0" w:line="240" w:lineRule="auto"/>
              <w:jc w:val="both"/>
              <w:rPr>
                <w:rFonts w:ascii="Times New Roman" w:hAnsi="Times New Roman"/>
                <w:lang w:eastAsia="lt-LT"/>
              </w:rPr>
            </w:pPr>
          </w:p>
        </w:tc>
      </w:tr>
      <w:tr w:rsidR="00AD1B32" w:rsidRPr="00B86BF8" w14:paraId="1BEDA308" w14:textId="77777777" w:rsidTr="00D95057">
        <w:tc>
          <w:tcPr>
            <w:tcW w:w="5068" w:type="dxa"/>
            <w:tcBorders>
              <w:top w:val="single" w:sz="4" w:space="0" w:color="auto"/>
              <w:left w:val="single" w:sz="4" w:space="0" w:color="auto"/>
              <w:bottom w:val="single" w:sz="4" w:space="0" w:color="auto"/>
              <w:right w:val="single" w:sz="4" w:space="0" w:color="auto"/>
            </w:tcBorders>
          </w:tcPr>
          <w:p w14:paraId="68581F1E" w14:textId="77777777" w:rsidR="00AD1B32" w:rsidRPr="00B86BF8" w:rsidRDefault="00AD1B32" w:rsidP="00AD1B32">
            <w:pPr>
              <w:spacing w:after="0" w:line="240" w:lineRule="auto"/>
              <w:jc w:val="both"/>
              <w:rPr>
                <w:rFonts w:ascii="Times New Roman" w:hAnsi="Times New Roman"/>
                <w:lang w:eastAsia="lt-LT"/>
              </w:rPr>
            </w:pPr>
            <w:r w:rsidRPr="00B86BF8">
              <w:rPr>
                <w:rFonts w:ascii="Times New Roman" w:hAnsi="Times New Roman"/>
                <w:lang w:eastAsia="lt-LT"/>
              </w:rPr>
              <w:t>Per Sutarties laikotarpį planuojama išduoti paskolų, Eur</w:t>
            </w:r>
          </w:p>
          <w:p w14:paraId="17AEADB9" w14:textId="77777777" w:rsidR="00AD1B32" w:rsidRPr="00B86BF8" w:rsidRDefault="00AD1B32" w:rsidP="00AD1B32">
            <w:pPr>
              <w:spacing w:after="0" w:line="240" w:lineRule="auto"/>
              <w:jc w:val="both"/>
              <w:rPr>
                <w:rFonts w:ascii="Times New Roman" w:hAnsi="Times New Roman"/>
                <w:lang w:eastAsia="lt-LT"/>
              </w:rPr>
            </w:pPr>
          </w:p>
        </w:tc>
        <w:tc>
          <w:tcPr>
            <w:tcW w:w="4425" w:type="dxa"/>
            <w:tcBorders>
              <w:top w:val="single" w:sz="4" w:space="0" w:color="auto"/>
              <w:left w:val="single" w:sz="4" w:space="0" w:color="auto"/>
              <w:bottom w:val="single" w:sz="4" w:space="0" w:color="auto"/>
              <w:right w:val="single" w:sz="4" w:space="0" w:color="auto"/>
            </w:tcBorders>
          </w:tcPr>
          <w:p w14:paraId="234B544C" w14:textId="77777777" w:rsidR="00AD1B32" w:rsidRPr="00B86BF8" w:rsidRDefault="00AD1B32" w:rsidP="00AD1B32">
            <w:pPr>
              <w:spacing w:after="0" w:line="240" w:lineRule="auto"/>
              <w:jc w:val="both"/>
              <w:rPr>
                <w:rFonts w:ascii="Times New Roman" w:hAnsi="Times New Roman"/>
                <w:lang w:eastAsia="lt-LT"/>
              </w:rPr>
            </w:pPr>
          </w:p>
        </w:tc>
      </w:tr>
      <w:tr w:rsidR="00AD1B32" w:rsidRPr="00B86BF8" w14:paraId="430EF2EC" w14:textId="77777777" w:rsidTr="00D95057">
        <w:tc>
          <w:tcPr>
            <w:tcW w:w="5068" w:type="dxa"/>
            <w:tcBorders>
              <w:top w:val="single" w:sz="4" w:space="0" w:color="auto"/>
              <w:left w:val="single" w:sz="4" w:space="0" w:color="auto"/>
              <w:bottom w:val="single" w:sz="4" w:space="0" w:color="auto"/>
              <w:right w:val="single" w:sz="4" w:space="0" w:color="auto"/>
            </w:tcBorders>
          </w:tcPr>
          <w:p w14:paraId="06941EF6" w14:textId="77777777" w:rsidR="00AD1B32" w:rsidRPr="00B86BF8" w:rsidRDefault="00AD1B32" w:rsidP="00AD1B32">
            <w:pPr>
              <w:jc w:val="both"/>
              <w:rPr>
                <w:rFonts w:ascii="Times New Roman" w:hAnsi="Times New Roman"/>
                <w:lang w:eastAsia="lt-LT"/>
              </w:rPr>
            </w:pPr>
            <w:r w:rsidRPr="00B86BF8">
              <w:rPr>
                <w:rFonts w:ascii="Times New Roman" w:hAnsi="Times New Roman"/>
                <w:lang w:eastAsia="lt-LT"/>
              </w:rPr>
              <w:t xml:space="preserve">Didžiausia galima </w:t>
            </w:r>
            <w:r w:rsidR="001336B0" w:rsidRPr="00B86BF8">
              <w:rPr>
                <w:rFonts w:ascii="Times New Roman" w:hAnsi="Times New Roman"/>
              </w:rPr>
              <w:t>Priemon</w:t>
            </w:r>
            <w:r w:rsidRPr="00B86BF8">
              <w:rPr>
                <w:rFonts w:ascii="Times New Roman" w:hAnsi="Times New Roman"/>
              </w:rPr>
              <w:t>ės „Alternatyva“ lėšų suma, kurią</w:t>
            </w:r>
            <w:r w:rsidR="00904B42" w:rsidRPr="00B86BF8">
              <w:rPr>
                <w:rFonts w:ascii="Times New Roman" w:hAnsi="Times New Roman"/>
              </w:rPr>
              <w:t xml:space="preserve"> Finansų tarpininkas (toliau – FT</w:t>
            </w:r>
            <w:r w:rsidR="00904B42" w:rsidRPr="00B86BF8">
              <w:rPr>
                <w:rFonts w:ascii="Times New Roman" w:hAnsi="Times New Roman"/>
                <w:lang w:eastAsia="lt-LT"/>
              </w:rPr>
              <w:t>)</w:t>
            </w:r>
            <w:r w:rsidRPr="00B86BF8">
              <w:rPr>
                <w:rFonts w:ascii="Times New Roman" w:hAnsi="Times New Roman"/>
                <w:lang w:eastAsia="lt-LT"/>
              </w:rPr>
              <w:t xml:space="preserve"> gali pasinaudoti </w:t>
            </w:r>
            <w:r w:rsidR="001336B0" w:rsidRPr="00B86BF8">
              <w:rPr>
                <w:rFonts w:ascii="Times New Roman" w:hAnsi="Times New Roman"/>
                <w:lang w:eastAsia="lt-LT"/>
              </w:rPr>
              <w:t>Priemon</w:t>
            </w:r>
            <w:r w:rsidRPr="00B86BF8">
              <w:rPr>
                <w:rFonts w:ascii="Times New Roman" w:hAnsi="Times New Roman"/>
                <w:lang w:eastAsia="lt-LT"/>
              </w:rPr>
              <w:t>ei „Alternatyva“ įgyvendinti</w:t>
            </w:r>
            <w:r w:rsidR="00797D2B" w:rsidRPr="00B86BF8">
              <w:rPr>
                <w:rFonts w:ascii="Times New Roman" w:hAnsi="Times New Roman"/>
                <w:lang w:eastAsia="lt-LT"/>
              </w:rPr>
              <w:t xml:space="preserve"> (</w:t>
            </w:r>
            <w:r w:rsidR="00B53071" w:rsidRPr="00B86BF8">
              <w:rPr>
                <w:rFonts w:ascii="Times New Roman" w:hAnsi="Times New Roman"/>
                <w:lang w:eastAsia="lt-LT"/>
              </w:rPr>
              <w:t>FT</w:t>
            </w:r>
            <w:r w:rsidR="00797D2B" w:rsidRPr="00B86BF8">
              <w:rPr>
                <w:rFonts w:ascii="Times New Roman" w:hAnsi="Times New Roman"/>
                <w:lang w:eastAsia="lt-LT"/>
              </w:rPr>
              <w:t xml:space="preserve"> gali </w:t>
            </w:r>
            <w:r w:rsidR="00E14DB2" w:rsidRPr="00B86BF8">
              <w:rPr>
                <w:rFonts w:ascii="Times New Roman" w:hAnsi="Times New Roman"/>
                <w:lang w:eastAsia="lt-LT"/>
              </w:rPr>
              <w:t>būti skirta</w:t>
            </w:r>
            <w:r w:rsidR="00797D2B" w:rsidRPr="00B86BF8">
              <w:rPr>
                <w:rFonts w:ascii="Times New Roman" w:hAnsi="Times New Roman"/>
                <w:lang w:eastAsia="lt-LT"/>
              </w:rPr>
              <w:t xml:space="preserve"> </w:t>
            </w:r>
            <w:r w:rsidR="00E14DB2" w:rsidRPr="00B86BF8">
              <w:rPr>
                <w:rFonts w:ascii="Times New Roman" w:hAnsi="Times New Roman"/>
                <w:lang w:eastAsia="lt-LT"/>
              </w:rPr>
              <w:t xml:space="preserve">ne didesnė kaip FT koreguoto kapitalo suma padauginta iš 20, </w:t>
            </w:r>
            <w:r w:rsidR="00240F00" w:rsidRPr="00B86BF8">
              <w:rPr>
                <w:rFonts w:ascii="Times New Roman" w:hAnsi="Times New Roman"/>
                <w:lang w:eastAsia="lt-LT"/>
              </w:rPr>
              <w:t xml:space="preserve">o jeigu FT yra Kolektyvinio investavimo subjektas –ne didesnė kaip Kolektyvinio investavimo subjekto valdomo fondo grynųjų aktyvų vertė padauginta iš 4, </w:t>
            </w:r>
            <w:r w:rsidR="00797D2B" w:rsidRPr="00B86BF8">
              <w:rPr>
                <w:rFonts w:ascii="Times New Roman" w:hAnsi="Times New Roman"/>
                <w:lang w:eastAsia="lt-LT"/>
              </w:rPr>
              <w:t xml:space="preserve">bet ne daugiau kaip </w:t>
            </w:r>
            <w:r w:rsidR="00E4723B" w:rsidRPr="00B86BF8">
              <w:rPr>
                <w:rFonts w:ascii="Times New Roman" w:hAnsi="Times New Roman"/>
                <w:lang w:eastAsia="lt-LT"/>
              </w:rPr>
              <w:t>2</w:t>
            </w:r>
            <w:r w:rsidR="00851433" w:rsidRPr="00B86BF8">
              <w:rPr>
                <w:rFonts w:ascii="Times New Roman" w:hAnsi="Times New Roman"/>
                <w:lang w:eastAsia="lt-LT"/>
              </w:rPr>
              <w:t>0 </w:t>
            </w:r>
            <w:r w:rsidR="00797D2B" w:rsidRPr="00B86BF8">
              <w:rPr>
                <w:rFonts w:ascii="Times New Roman" w:hAnsi="Times New Roman"/>
                <w:lang w:eastAsia="lt-LT"/>
              </w:rPr>
              <w:t>mln. Eur)</w:t>
            </w:r>
          </w:p>
          <w:p w14:paraId="7B74678E" w14:textId="77777777" w:rsidR="00E14DB2" w:rsidRPr="00B86BF8" w:rsidRDefault="00E14DB2" w:rsidP="00AD1B32">
            <w:pPr>
              <w:jc w:val="both"/>
              <w:rPr>
                <w:rFonts w:ascii="Times New Roman" w:hAnsi="Times New Roman"/>
                <w:lang w:eastAsia="lt-LT"/>
              </w:rPr>
            </w:pPr>
          </w:p>
        </w:tc>
        <w:tc>
          <w:tcPr>
            <w:tcW w:w="4425" w:type="dxa"/>
            <w:tcBorders>
              <w:top w:val="single" w:sz="4" w:space="0" w:color="auto"/>
              <w:left w:val="single" w:sz="4" w:space="0" w:color="auto"/>
              <w:bottom w:val="single" w:sz="4" w:space="0" w:color="auto"/>
              <w:right w:val="single" w:sz="4" w:space="0" w:color="auto"/>
            </w:tcBorders>
          </w:tcPr>
          <w:p w14:paraId="3BB5A886" w14:textId="77777777" w:rsidR="00AD1B32" w:rsidRPr="00B86BF8" w:rsidRDefault="00AD1B32" w:rsidP="00AD1B32">
            <w:pPr>
              <w:spacing w:after="0" w:line="240" w:lineRule="auto"/>
              <w:jc w:val="both"/>
              <w:rPr>
                <w:rFonts w:ascii="Times New Roman" w:hAnsi="Times New Roman"/>
                <w:lang w:eastAsia="lt-LT"/>
              </w:rPr>
            </w:pPr>
          </w:p>
        </w:tc>
      </w:tr>
    </w:tbl>
    <w:p w14:paraId="2F8A2432" w14:textId="77777777" w:rsidR="002D39B0" w:rsidRPr="00B86BF8" w:rsidRDefault="002D39B0" w:rsidP="00C57D7A">
      <w:pPr>
        <w:spacing w:after="0" w:line="240" w:lineRule="auto"/>
        <w:jc w:val="both"/>
        <w:rPr>
          <w:rFonts w:ascii="Times New Roman" w:hAnsi="Times New Roman"/>
          <w:lang w:eastAsia="lt-LT"/>
        </w:rPr>
      </w:pPr>
    </w:p>
    <w:p w14:paraId="619B718C" w14:textId="77777777" w:rsidR="00F707D3" w:rsidRPr="00B86BF8" w:rsidRDefault="00F707D3" w:rsidP="006E1A5C">
      <w:pPr>
        <w:spacing w:after="0" w:line="240" w:lineRule="auto"/>
        <w:ind w:right="-755" w:firstLine="720"/>
        <w:jc w:val="both"/>
        <w:rPr>
          <w:rFonts w:ascii="Times New Roman" w:hAnsi="Times New Roman"/>
          <w:sz w:val="20"/>
          <w:szCs w:val="20"/>
          <w:lang w:eastAsia="lt-LT"/>
        </w:rPr>
      </w:pPr>
      <w:r w:rsidRPr="00B86BF8">
        <w:rPr>
          <w:rFonts w:ascii="Times New Roman" w:hAnsi="Times New Roman"/>
          <w:sz w:val="20"/>
          <w:szCs w:val="20"/>
          <w:lang w:eastAsia="lt-LT"/>
        </w:rPr>
        <w:t xml:space="preserve">Šiuo prašymu pažymime, kad sutinkame su visomis </w:t>
      </w:r>
      <w:r w:rsidR="00904B42" w:rsidRPr="00B86BF8">
        <w:rPr>
          <w:rFonts w:ascii="Times New Roman" w:hAnsi="Times New Roman"/>
          <w:sz w:val="20"/>
          <w:szCs w:val="20"/>
          <w:lang w:eastAsia="lt-LT"/>
        </w:rPr>
        <w:t>„</w:t>
      </w:r>
      <w:r w:rsidR="00561556" w:rsidRPr="00B86BF8">
        <w:rPr>
          <w:rFonts w:ascii="Times New Roman" w:hAnsi="Times New Roman"/>
          <w:sz w:val="20"/>
          <w:szCs w:val="20"/>
          <w:lang w:eastAsia="lt-LT"/>
        </w:rPr>
        <w:t>INVEGOS fondo</w:t>
      </w:r>
      <w:r w:rsidR="00904B42" w:rsidRPr="00B86BF8">
        <w:rPr>
          <w:rFonts w:ascii="Times New Roman" w:hAnsi="Times New Roman"/>
          <w:sz w:val="20"/>
          <w:szCs w:val="20"/>
          <w:lang w:eastAsia="lt-LT"/>
        </w:rPr>
        <w:t>“</w:t>
      </w:r>
      <w:r w:rsidR="00561556" w:rsidRPr="00B86BF8">
        <w:rPr>
          <w:rFonts w:ascii="Times New Roman" w:hAnsi="Times New Roman"/>
          <w:sz w:val="20"/>
          <w:szCs w:val="20"/>
          <w:lang w:eastAsia="lt-LT"/>
        </w:rPr>
        <w:t xml:space="preserve"> </w:t>
      </w:r>
      <w:r w:rsidR="00AD1B32" w:rsidRPr="00B86BF8">
        <w:rPr>
          <w:rFonts w:ascii="Times New Roman" w:hAnsi="Times New Roman"/>
          <w:sz w:val="20"/>
          <w:szCs w:val="20"/>
          <w:lang w:eastAsia="lt-LT"/>
        </w:rPr>
        <w:t xml:space="preserve">skatinamosios finansinės </w:t>
      </w:r>
      <w:r w:rsidR="001336B0" w:rsidRPr="00B86BF8">
        <w:rPr>
          <w:rFonts w:ascii="Times New Roman" w:hAnsi="Times New Roman"/>
          <w:sz w:val="20"/>
          <w:szCs w:val="20"/>
          <w:lang w:eastAsia="lt-LT"/>
        </w:rPr>
        <w:t>Priemon</w:t>
      </w:r>
      <w:r w:rsidR="00AD1B32" w:rsidRPr="00B86BF8">
        <w:rPr>
          <w:rFonts w:ascii="Times New Roman" w:hAnsi="Times New Roman"/>
          <w:sz w:val="20"/>
          <w:szCs w:val="20"/>
          <w:lang w:eastAsia="lt-LT"/>
        </w:rPr>
        <w:t xml:space="preserve">ės </w:t>
      </w:r>
      <w:r w:rsidR="00446EF6" w:rsidRPr="00B86BF8">
        <w:rPr>
          <w:rFonts w:ascii="Times New Roman" w:hAnsi="Times New Roman"/>
          <w:sz w:val="20"/>
          <w:szCs w:val="20"/>
          <w:lang w:eastAsia="lt-LT"/>
        </w:rPr>
        <w:t>„</w:t>
      </w:r>
      <w:r w:rsidR="00AD1B32" w:rsidRPr="00B86BF8">
        <w:rPr>
          <w:rFonts w:ascii="Times New Roman" w:hAnsi="Times New Roman"/>
          <w:sz w:val="20"/>
          <w:szCs w:val="20"/>
          <w:lang w:eastAsia="lt-LT"/>
        </w:rPr>
        <w:t>Alternatyva“</w:t>
      </w:r>
      <w:r w:rsidR="000433CD" w:rsidRPr="00B86BF8">
        <w:rPr>
          <w:rFonts w:ascii="Times New Roman" w:hAnsi="Times New Roman"/>
          <w:sz w:val="20"/>
          <w:szCs w:val="20"/>
          <w:lang w:eastAsia="lt-LT"/>
        </w:rPr>
        <w:t xml:space="preserve"> </w:t>
      </w:r>
      <w:r w:rsidR="00904B42" w:rsidRPr="00B86BF8">
        <w:rPr>
          <w:rFonts w:ascii="Times New Roman" w:hAnsi="Times New Roman"/>
          <w:sz w:val="20"/>
          <w:szCs w:val="20"/>
          <w:lang w:eastAsia="lt-LT"/>
        </w:rPr>
        <w:t xml:space="preserve">(toliau – Priemonė „Alternatyva“) </w:t>
      </w:r>
      <w:r w:rsidR="000433CD" w:rsidRPr="00B86BF8">
        <w:rPr>
          <w:rFonts w:ascii="Times New Roman" w:hAnsi="Times New Roman"/>
          <w:sz w:val="20"/>
          <w:szCs w:val="20"/>
          <w:lang w:eastAsia="lt-LT"/>
        </w:rPr>
        <w:t>įgyvendinimo sąlygų aprašo</w:t>
      </w:r>
      <w:r w:rsidRPr="00B86BF8">
        <w:rPr>
          <w:rFonts w:ascii="Times New Roman" w:hAnsi="Times New Roman"/>
          <w:sz w:val="20"/>
          <w:szCs w:val="20"/>
          <w:lang w:eastAsia="lt-LT"/>
        </w:rPr>
        <w:t xml:space="preserve"> sąlygomis</w:t>
      </w:r>
      <w:r w:rsidR="00336D1D" w:rsidRPr="00B86BF8">
        <w:rPr>
          <w:rFonts w:ascii="Times New Roman" w:hAnsi="Times New Roman"/>
          <w:sz w:val="20"/>
          <w:szCs w:val="20"/>
          <w:lang w:eastAsia="lt-LT"/>
        </w:rPr>
        <w:t>.</w:t>
      </w:r>
    </w:p>
    <w:p w14:paraId="235FEA78" w14:textId="77777777" w:rsidR="00F707D3" w:rsidRPr="00B86BF8" w:rsidRDefault="00F707D3" w:rsidP="006E1A5C">
      <w:pPr>
        <w:spacing w:after="0" w:line="240" w:lineRule="auto"/>
        <w:ind w:right="-755" w:firstLine="720"/>
        <w:jc w:val="both"/>
        <w:rPr>
          <w:rFonts w:ascii="Times New Roman" w:hAnsi="Times New Roman"/>
          <w:sz w:val="20"/>
          <w:szCs w:val="20"/>
          <w:lang w:eastAsia="lt-LT"/>
        </w:rPr>
      </w:pPr>
      <w:r w:rsidRPr="00B86BF8">
        <w:rPr>
          <w:rFonts w:ascii="Times New Roman" w:hAnsi="Times New Roman"/>
          <w:sz w:val="20"/>
          <w:szCs w:val="20"/>
          <w:lang w:eastAsia="lt-LT"/>
        </w:rPr>
        <w:t xml:space="preserve">Teikiame </w:t>
      </w:r>
      <w:r w:rsidR="000433CD" w:rsidRPr="00B86BF8">
        <w:rPr>
          <w:rFonts w:ascii="Times New Roman" w:hAnsi="Times New Roman"/>
          <w:sz w:val="20"/>
          <w:szCs w:val="20"/>
          <w:lang w:eastAsia="lt-LT"/>
        </w:rPr>
        <w:t xml:space="preserve">šį </w:t>
      </w:r>
      <w:r w:rsidRPr="00B86BF8">
        <w:rPr>
          <w:rFonts w:ascii="Times New Roman" w:hAnsi="Times New Roman"/>
          <w:sz w:val="20"/>
          <w:szCs w:val="20"/>
          <w:lang w:eastAsia="lt-LT"/>
        </w:rPr>
        <w:t xml:space="preserve">prašymą ir dokumentus, patvirtinančius gebėjimą įgyvendinti </w:t>
      </w:r>
      <w:r w:rsidR="00AD1B32" w:rsidRPr="00B86BF8">
        <w:rPr>
          <w:rFonts w:ascii="Times New Roman" w:hAnsi="Times New Roman"/>
          <w:sz w:val="20"/>
          <w:szCs w:val="20"/>
          <w:lang w:eastAsia="lt-LT"/>
        </w:rPr>
        <w:t>Priemonę „Alternatyva“</w:t>
      </w:r>
      <w:r w:rsidR="00E8786D" w:rsidRPr="00B86BF8">
        <w:rPr>
          <w:rFonts w:ascii="Times New Roman" w:hAnsi="Times New Roman"/>
          <w:sz w:val="20"/>
          <w:szCs w:val="20"/>
          <w:lang w:eastAsia="lt-LT"/>
        </w:rPr>
        <w:t xml:space="preserve"> ir </w:t>
      </w:r>
      <w:r w:rsidR="00C9544C" w:rsidRPr="00B86BF8">
        <w:rPr>
          <w:rFonts w:ascii="Times New Roman" w:hAnsi="Times New Roman"/>
          <w:sz w:val="20"/>
          <w:szCs w:val="20"/>
          <w:lang w:eastAsia="lt-LT"/>
        </w:rPr>
        <w:t>atitikimą</w:t>
      </w:r>
      <w:r w:rsidRPr="00B86BF8">
        <w:rPr>
          <w:rFonts w:ascii="Times New Roman" w:hAnsi="Times New Roman"/>
          <w:sz w:val="20"/>
          <w:szCs w:val="20"/>
          <w:lang w:eastAsia="lt-LT"/>
        </w:rPr>
        <w:t xml:space="preserve"> keliamiems </w:t>
      </w:r>
      <w:r w:rsidR="004A3DE3" w:rsidRPr="00B86BF8">
        <w:rPr>
          <w:rFonts w:ascii="Times New Roman" w:hAnsi="Times New Roman"/>
          <w:sz w:val="20"/>
          <w:szCs w:val="20"/>
          <w:lang w:eastAsia="lt-LT"/>
        </w:rPr>
        <w:t xml:space="preserve">tinkamumo </w:t>
      </w:r>
      <w:r w:rsidRPr="00B86BF8">
        <w:rPr>
          <w:rFonts w:ascii="Times New Roman" w:hAnsi="Times New Roman"/>
          <w:sz w:val="20"/>
          <w:szCs w:val="20"/>
          <w:lang w:eastAsia="lt-LT"/>
        </w:rPr>
        <w:t xml:space="preserve">reikalavimams </w:t>
      </w:r>
      <w:r w:rsidR="00C9544C" w:rsidRPr="00B86BF8">
        <w:rPr>
          <w:rFonts w:ascii="Times New Roman" w:hAnsi="Times New Roman"/>
          <w:sz w:val="20"/>
          <w:szCs w:val="20"/>
          <w:lang w:eastAsia="lt-LT"/>
        </w:rPr>
        <w:t xml:space="preserve">bei </w:t>
      </w:r>
      <w:r w:rsidRPr="00B86BF8">
        <w:rPr>
          <w:rFonts w:ascii="Times New Roman" w:hAnsi="Times New Roman"/>
          <w:sz w:val="20"/>
          <w:szCs w:val="20"/>
          <w:lang w:eastAsia="lt-LT"/>
        </w:rPr>
        <w:t xml:space="preserve">patvirtiname, kad: </w:t>
      </w:r>
    </w:p>
    <w:p w14:paraId="31B2B292" w14:textId="77777777" w:rsidR="00F707D3" w:rsidRPr="00B86BF8" w:rsidRDefault="00F707D3" w:rsidP="006E1A5C">
      <w:pPr>
        <w:spacing w:after="0" w:line="240" w:lineRule="auto"/>
        <w:ind w:right="-755" w:firstLine="709"/>
        <w:jc w:val="both"/>
        <w:rPr>
          <w:rFonts w:ascii="Times New Roman" w:hAnsi="Times New Roman"/>
          <w:sz w:val="20"/>
          <w:szCs w:val="20"/>
          <w:lang w:eastAsia="lt-LT"/>
        </w:rPr>
      </w:pPr>
      <w:r w:rsidRPr="00B86BF8">
        <w:rPr>
          <w:rFonts w:ascii="Times New Roman" w:hAnsi="Times New Roman"/>
          <w:sz w:val="20"/>
          <w:szCs w:val="20"/>
          <w:lang w:eastAsia="lt-LT"/>
        </w:rPr>
        <w:t xml:space="preserve">1) </w:t>
      </w:r>
      <w:bookmarkStart w:id="19" w:name="_Hlk35803962"/>
      <w:r w:rsidR="00BF1B1A" w:rsidRPr="00B86BF8">
        <w:rPr>
          <w:rFonts w:ascii="Times New Roman" w:hAnsi="Times New Roman"/>
          <w:sz w:val="20"/>
          <w:szCs w:val="20"/>
          <w:lang w:eastAsia="lt-LT"/>
        </w:rPr>
        <w:t>paraišką teikianti</w:t>
      </w:r>
      <w:r w:rsidR="00B75D87" w:rsidRPr="00B86BF8">
        <w:rPr>
          <w:rFonts w:ascii="Times New Roman" w:hAnsi="Times New Roman"/>
          <w:sz w:val="20"/>
          <w:szCs w:val="20"/>
          <w:lang w:eastAsia="lt-LT"/>
        </w:rPr>
        <w:t xml:space="preserve"> finansų </w:t>
      </w:r>
      <w:r w:rsidR="00AD1B32" w:rsidRPr="00B86BF8">
        <w:rPr>
          <w:rFonts w:ascii="Times New Roman" w:hAnsi="Times New Roman"/>
          <w:sz w:val="20"/>
          <w:szCs w:val="20"/>
          <w:lang w:eastAsia="lt-LT"/>
        </w:rPr>
        <w:t>įmonė</w:t>
      </w:r>
      <w:r w:rsidR="00B75D87" w:rsidRPr="00B86BF8">
        <w:rPr>
          <w:rFonts w:ascii="Times New Roman" w:hAnsi="Times New Roman"/>
          <w:sz w:val="20"/>
          <w:szCs w:val="20"/>
          <w:lang w:eastAsia="lt-LT"/>
        </w:rPr>
        <w:t xml:space="preserve"> </w:t>
      </w:r>
      <w:bookmarkEnd w:id="19"/>
      <w:r w:rsidR="008D110E" w:rsidRPr="00B86BF8">
        <w:rPr>
          <w:rFonts w:ascii="Times New Roman" w:hAnsi="Times New Roman"/>
          <w:sz w:val="20"/>
          <w:szCs w:val="20"/>
          <w:lang w:eastAsia="lt-LT"/>
        </w:rPr>
        <w:t xml:space="preserve">ir </w:t>
      </w:r>
      <w:r w:rsidRPr="00B86BF8">
        <w:rPr>
          <w:rFonts w:ascii="Times New Roman" w:hAnsi="Times New Roman"/>
          <w:sz w:val="20"/>
          <w:szCs w:val="20"/>
          <w:lang w:eastAsia="lt-LT"/>
        </w:rPr>
        <w:t>jo</w:t>
      </w:r>
      <w:r w:rsidR="008D110E" w:rsidRPr="00B86BF8">
        <w:rPr>
          <w:rFonts w:ascii="Times New Roman" w:hAnsi="Times New Roman"/>
          <w:sz w:val="20"/>
          <w:szCs w:val="20"/>
          <w:lang w:eastAsia="lt-LT"/>
        </w:rPr>
        <w:t>s</w:t>
      </w:r>
      <w:r w:rsidRPr="00B86BF8">
        <w:rPr>
          <w:rFonts w:ascii="Times New Roman" w:hAnsi="Times New Roman"/>
          <w:sz w:val="20"/>
          <w:szCs w:val="20"/>
          <w:lang w:eastAsia="lt-LT"/>
        </w:rPr>
        <w:t xml:space="preserve"> atstovai žino, kad </w:t>
      </w:r>
      <w:r w:rsidR="001336B0" w:rsidRPr="00B86BF8">
        <w:rPr>
          <w:rFonts w:ascii="Times New Roman" w:hAnsi="Times New Roman"/>
          <w:sz w:val="20"/>
          <w:szCs w:val="20"/>
          <w:lang w:eastAsia="lt-LT"/>
        </w:rPr>
        <w:t>Priemon</w:t>
      </w:r>
      <w:r w:rsidR="008D110E" w:rsidRPr="00B86BF8">
        <w:rPr>
          <w:rFonts w:ascii="Times New Roman" w:hAnsi="Times New Roman"/>
          <w:sz w:val="20"/>
          <w:szCs w:val="20"/>
          <w:lang w:eastAsia="lt-LT"/>
        </w:rPr>
        <w:t xml:space="preserve">ė </w:t>
      </w:r>
      <w:r w:rsidR="00AD1B32" w:rsidRPr="00B86BF8">
        <w:rPr>
          <w:rFonts w:ascii="Times New Roman" w:hAnsi="Times New Roman"/>
          <w:sz w:val="20"/>
          <w:szCs w:val="20"/>
          <w:lang w:eastAsia="lt-LT"/>
        </w:rPr>
        <w:t xml:space="preserve">„Alternatyva“ </w:t>
      </w:r>
      <w:r w:rsidRPr="00B86BF8">
        <w:rPr>
          <w:rFonts w:ascii="Times New Roman" w:hAnsi="Times New Roman"/>
          <w:sz w:val="20"/>
          <w:szCs w:val="20"/>
          <w:lang w:eastAsia="lt-LT"/>
        </w:rPr>
        <w:t xml:space="preserve">yra finansuojama iš į </w:t>
      </w:r>
      <w:r w:rsidR="00707051" w:rsidRPr="00B86BF8">
        <w:rPr>
          <w:rFonts w:ascii="Times New Roman" w:hAnsi="Times New Roman"/>
          <w:sz w:val="20"/>
          <w:szCs w:val="20"/>
          <w:lang w:eastAsia="lt-LT"/>
        </w:rPr>
        <w:t>„</w:t>
      </w:r>
      <w:r w:rsidRPr="00B86BF8">
        <w:rPr>
          <w:rFonts w:ascii="Times New Roman" w:hAnsi="Times New Roman"/>
          <w:sz w:val="20"/>
          <w:szCs w:val="20"/>
          <w:lang w:eastAsia="lt-LT"/>
        </w:rPr>
        <w:t>INVEGOS fondą</w:t>
      </w:r>
      <w:r w:rsidR="00707051" w:rsidRPr="00B86BF8">
        <w:rPr>
          <w:rFonts w:ascii="Times New Roman" w:hAnsi="Times New Roman"/>
          <w:sz w:val="20"/>
          <w:szCs w:val="20"/>
          <w:lang w:eastAsia="lt-LT"/>
        </w:rPr>
        <w:t>“</w:t>
      </w:r>
      <w:r w:rsidRPr="00B86BF8">
        <w:rPr>
          <w:rFonts w:ascii="Times New Roman" w:hAnsi="Times New Roman"/>
          <w:sz w:val="20"/>
          <w:szCs w:val="20"/>
          <w:lang w:eastAsia="lt-LT"/>
        </w:rPr>
        <w:t xml:space="preserve"> grįžusių ir (ar) grįšiančių lėšų</w:t>
      </w:r>
      <w:r w:rsidR="00AD1B32" w:rsidRPr="00B86BF8">
        <w:rPr>
          <w:rFonts w:ascii="Times New Roman" w:hAnsi="Times New Roman"/>
          <w:sz w:val="20"/>
          <w:szCs w:val="20"/>
          <w:lang w:eastAsia="lt-LT"/>
        </w:rPr>
        <w:t xml:space="preserve"> ir</w:t>
      </w:r>
      <w:r w:rsidR="00FA6514" w:rsidRPr="00B86BF8">
        <w:rPr>
          <w:rFonts w:ascii="Times New Roman" w:hAnsi="Times New Roman"/>
          <w:sz w:val="20"/>
          <w:szCs w:val="20"/>
          <w:lang w:eastAsia="lt-LT"/>
        </w:rPr>
        <w:t xml:space="preserve"> Lietuvos Respublikos valstybės biudžeto lėš</w:t>
      </w:r>
      <w:r w:rsidR="005A32D0" w:rsidRPr="00B86BF8">
        <w:rPr>
          <w:rFonts w:ascii="Times New Roman" w:hAnsi="Times New Roman"/>
          <w:sz w:val="20"/>
          <w:szCs w:val="20"/>
          <w:lang w:eastAsia="lt-LT"/>
        </w:rPr>
        <w:t>ų</w:t>
      </w:r>
      <w:r w:rsidRPr="00B86BF8">
        <w:rPr>
          <w:rFonts w:ascii="Times New Roman" w:hAnsi="Times New Roman"/>
          <w:sz w:val="20"/>
          <w:szCs w:val="20"/>
          <w:lang w:eastAsia="lt-LT"/>
        </w:rPr>
        <w:t>;</w:t>
      </w:r>
    </w:p>
    <w:p w14:paraId="2F794EA0" w14:textId="77777777" w:rsidR="00F707D3" w:rsidRPr="00B86BF8" w:rsidRDefault="00F707D3" w:rsidP="007A2A64">
      <w:pPr>
        <w:spacing w:after="0" w:line="240" w:lineRule="auto"/>
        <w:ind w:right="-709" w:firstLine="709"/>
        <w:jc w:val="both"/>
        <w:rPr>
          <w:rFonts w:ascii="Times New Roman" w:hAnsi="Times New Roman"/>
          <w:sz w:val="20"/>
          <w:szCs w:val="20"/>
          <w:lang w:eastAsia="lt-LT"/>
        </w:rPr>
      </w:pPr>
      <w:r w:rsidRPr="00B86BF8">
        <w:rPr>
          <w:rFonts w:ascii="Times New Roman" w:hAnsi="Times New Roman"/>
          <w:sz w:val="20"/>
          <w:szCs w:val="20"/>
          <w:lang w:eastAsia="lt-LT"/>
        </w:rPr>
        <w:t xml:space="preserve">2) </w:t>
      </w:r>
      <w:r w:rsidR="008D110E" w:rsidRPr="00B86BF8">
        <w:rPr>
          <w:rFonts w:ascii="Times New Roman" w:hAnsi="Times New Roman"/>
          <w:sz w:val="20"/>
          <w:szCs w:val="20"/>
          <w:lang w:eastAsia="lt-LT"/>
        </w:rPr>
        <w:t xml:space="preserve">paraišką teikianti finansų </w:t>
      </w:r>
      <w:r w:rsidR="00FA6514" w:rsidRPr="00B86BF8">
        <w:rPr>
          <w:rFonts w:ascii="Times New Roman" w:hAnsi="Times New Roman"/>
          <w:sz w:val="20"/>
          <w:szCs w:val="20"/>
          <w:lang w:eastAsia="lt-LT"/>
        </w:rPr>
        <w:t>įmonė</w:t>
      </w:r>
      <w:r w:rsidR="008D110E" w:rsidRPr="00B86BF8">
        <w:rPr>
          <w:rFonts w:ascii="Times New Roman" w:hAnsi="Times New Roman"/>
          <w:sz w:val="20"/>
          <w:szCs w:val="20"/>
          <w:lang w:eastAsia="lt-LT"/>
        </w:rPr>
        <w:t xml:space="preserve"> </w:t>
      </w:r>
      <w:r w:rsidRPr="00B86BF8">
        <w:rPr>
          <w:rFonts w:ascii="Times New Roman" w:hAnsi="Times New Roman"/>
          <w:sz w:val="20"/>
          <w:szCs w:val="20"/>
          <w:lang w:eastAsia="lt-LT"/>
        </w:rPr>
        <w:t>ir jo</w:t>
      </w:r>
      <w:r w:rsidR="008D110E" w:rsidRPr="00B86BF8">
        <w:rPr>
          <w:rFonts w:ascii="Times New Roman" w:hAnsi="Times New Roman"/>
          <w:sz w:val="20"/>
          <w:szCs w:val="20"/>
          <w:lang w:eastAsia="lt-LT"/>
        </w:rPr>
        <w:t>s</w:t>
      </w:r>
      <w:r w:rsidRPr="00B86BF8">
        <w:rPr>
          <w:rFonts w:ascii="Times New Roman" w:hAnsi="Times New Roman"/>
          <w:sz w:val="20"/>
          <w:szCs w:val="20"/>
          <w:lang w:eastAsia="lt-LT"/>
        </w:rPr>
        <w:t xml:space="preserve"> atstovai </w:t>
      </w:r>
      <w:r w:rsidR="00044F3D" w:rsidRPr="00B86BF8">
        <w:rPr>
          <w:rFonts w:ascii="Times New Roman" w:hAnsi="Times New Roman"/>
          <w:sz w:val="20"/>
          <w:szCs w:val="20"/>
          <w:lang w:eastAsia="lt-LT"/>
        </w:rPr>
        <w:t xml:space="preserve">patvirtina, kad </w:t>
      </w:r>
      <w:r w:rsidR="00FA6514" w:rsidRPr="00B86BF8">
        <w:rPr>
          <w:rFonts w:ascii="Times New Roman" w:hAnsi="Times New Roman"/>
          <w:sz w:val="20"/>
          <w:szCs w:val="20"/>
          <w:lang w:eastAsia="lt-LT"/>
        </w:rPr>
        <w:t>Paskolos sudarymo</w:t>
      </w:r>
      <w:r w:rsidR="00044F3D" w:rsidRPr="00B86BF8">
        <w:rPr>
          <w:rFonts w:ascii="Times New Roman" w:hAnsi="Times New Roman"/>
          <w:sz w:val="20"/>
          <w:szCs w:val="20"/>
          <w:lang w:eastAsia="lt-LT"/>
        </w:rPr>
        <w:t xml:space="preserve"> mokesčiai, palūkanos ir kiti mokėjimai, mokami </w:t>
      </w:r>
      <w:r w:rsidR="00FA6514" w:rsidRPr="00B86BF8">
        <w:rPr>
          <w:rFonts w:ascii="Times New Roman" w:hAnsi="Times New Roman"/>
          <w:sz w:val="20"/>
          <w:szCs w:val="20"/>
          <w:lang w:eastAsia="lt-LT"/>
        </w:rPr>
        <w:t>Paskolos</w:t>
      </w:r>
      <w:r w:rsidR="00044F3D" w:rsidRPr="00B86BF8">
        <w:rPr>
          <w:rFonts w:ascii="Times New Roman" w:hAnsi="Times New Roman"/>
          <w:sz w:val="20"/>
          <w:szCs w:val="20"/>
          <w:lang w:eastAsia="lt-LT"/>
        </w:rPr>
        <w:t xml:space="preserve"> gavėjų, </w:t>
      </w:r>
      <w:r w:rsidR="00AC7881" w:rsidRPr="00B86BF8">
        <w:rPr>
          <w:rFonts w:ascii="Times New Roman" w:hAnsi="Times New Roman"/>
          <w:sz w:val="20"/>
          <w:szCs w:val="20"/>
          <w:lang w:eastAsia="lt-LT"/>
        </w:rPr>
        <w:t xml:space="preserve">dalyvaujančių </w:t>
      </w:r>
      <w:r w:rsidR="001336B0" w:rsidRPr="00B86BF8">
        <w:rPr>
          <w:rFonts w:ascii="Times New Roman" w:hAnsi="Times New Roman"/>
          <w:sz w:val="20"/>
          <w:szCs w:val="20"/>
          <w:lang w:eastAsia="lt-LT"/>
        </w:rPr>
        <w:t>Priemon</w:t>
      </w:r>
      <w:r w:rsidR="00AC7881" w:rsidRPr="00B86BF8">
        <w:rPr>
          <w:rFonts w:ascii="Times New Roman" w:hAnsi="Times New Roman"/>
          <w:sz w:val="20"/>
          <w:szCs w:val="20"/>
          <w:lang w:eastAsia="lt-LT"/>
        </w:rPr>
        <w:t xml:space="preserve">ėje </w:t>
      </w:r>
      <w:r w:rsidR="00FA6514" w:rsidRPr="00B86BF8">
        <w:rPr>
          <w:rFonts w:ascii="Times New Roman" w:hAnsi="Times New Roman"/>
          <w:sz w:val="20"/>
          <w:szCs w:val="20"/>
          <w:lang w:eastAsia="lt-LT"/>
        </w:rPr>
        <w:t xml:space="preserve">„Alternatyva“ </w:t>
      </w:r>
      <w:r w:rsidR="00044F3D" w:rsidRPr="00B86BF8">
        <w:rPr>
          <w:rFonts w:ascii="Times New Roman" w:hAnsi="Times New Roman"/>
          <w:sz w:val="20"/>
          <w:szCs w:val="20"/>
          <w:lang w:eastAsia="lt-LT"/>
        </w:rPr>
        <w:t xml:space="preserve">atitiks įprastą finansų </w:t>
      </w:r>
      <w:r w:rsidR="00FA6514" w:rsidRPr="00B86BF8">
        <w:rPr>
          <w:rFonts w:ascii="Times New Roman" w:hAnsi="Times New Roman"/>
          <w:sz w:val="20"/>
          <w:szCs w:val="20"/>
          <w:lang w:eastAsia="lt-LT"/>
        </w:rPr>
        <w:t>įmonės</w:t>
      </w:r>
      <w:r w:rsidR="00044F3D" w:rsidRPr="00B86BF8">
        <w:rPr>
          <w:rFonts w:ascii="Times New Roman" w:hAnsi="Times New Roman"/>
          <w:sz w:val="20"/>
          <w:szCs w:val="20"/>
          <w:lang w:eastAsia="lt-LT"/>
        </w:rPr>
        <w:t xml:space="preserve"> veiklą</w:t>
      </w:r>
      <w:r w:rsidR="00446EF6" w:rsidRPr="00B86BF8">
        <w:rPr>
          <w:rFonts w:ascii="Times New Roman" w:hAnsi="Times New Roman"/>
          <w:sz w:val="20"/>
          <w:szCs w:val="20"/>
          <w:lang w:eastAsia="lt-LT"/>
        </w:rPr>
        <w:t xml:space="preserve"> ir praktiką</w:t>
      </w:r>
      <w:r w:rsidR="00044F3D" w:rsidRPr="00B86BF8">
        <w:rPr>
          <w:rFonts w:ascii="Times New Roman" w:hAnsi="Times New Roman"/>
          <w:sz w:val="20"/>
          <w:szCs w:val="20"/>
          <w:lang w:eastAsia="lt-LT"/>
        </w:rPr>
        <w:t xml:space="preserve"> </w:t>
      </w:r>
      <w:r w:rsidR="00446EF6" w:rsidRPr="00B86BF8">
        <w:rPr>
          <w:rFonts w:ascii="Times New Roman" w:hAnsi="Times New Roman"/>
          <w:sz w:val="20"/>
          <w:szCs w:val="20"/>
          <w:lang w:eastAsia="lt-LT"/>
        </w:rPr>
        <w:t>bei</w:t>
      </w:r>
      <w:r w:rsidR="00AC7881" w:rsidRPr="00B86BF8">
        <w:rPr>
          <w:rFonts w:ascii="Times New Roman" w:hAnsi="Times New Roman"/>
          <w:sz w:val="20"/>
          <w:szCs w:val="20"/>
          <w:lang w:eastAsia="lt-LT"/>
        </w:rPr>
        <w:t>,</w:t>
      </w:r>
      <w:r w:rsidR="00044F3D" w:rsidRPr="00B86BF8">
        <w:rPr>
          <w:rFonts w:ascii="Times New Roman" w:hAnsi="Times New Roman"/>
          <w:sz w:val="20"/>
          <w:szCs w:val="20"/>
          <w:lang w:eastAsia="lt-LT"/>
        </w:rPr>
        <w:t xml:space="preserve"> esant poreikiui ir „Invegos“ prašymui</w:t>
      </w:r>
      <w:r w:rsidR="00AC7881" w:rsidRPr="00B86BF8">
        <w:rPr>
          <w:rFonts w:ascii="Times New Roman" w:hAnsi="Times New Roman"/>
          <w:sz w:val="20"/>
          <w:szCs w:val="20"/>
          <w:lang w:eastAsia="lt-LT"/>
        </w:rPr>
        <w:t>,</w:t>
      </w:r>
      <w:r w:rsidR="00044F3D" w:rsidRPr="00B86BF8">
        <w:rPr>
          <w:rFonts w:ascii="Times New Roman" w:hAnsi="Times New Roman"/>
          <w:sz w:val="20"/>
          <w:szCs w:val="20"/>
          <w:lang w:eastAsia="lt-LT"/>
        </w:rPr>
        <w:t xml:space="preserve"> pateiks tai patvirtinančius įrodymus;</w:t>
      </w:r>
    </w:p>
    <w:p w14:paraId="5BCA23D2" w14:textId="77777777" w:rsidR="00F707D3" w:rsidRPr="00B86BF8" w:rsidRDefault="00A82C7D" w:rsidP="007A2A64">
      <w:pPr>
        <w:spacing w:after="0" w:line="240" w:lineRule="auto"/>
        <w:ind w:right="-709" w:firstLine="709"/>
        <w:jc w:val="both"/>
        <w:rPr>
          <w:rFonts w:ascii="Times New Roman" w:hAnsi="Times New Roman"/>
          <w:sz w:val="20"/>
          <w:szCs w:val="20"/>
          <w:lang w:eastAsia="lt-LT"/>
        </w:rPr>
      </w:pPr>
      <w:r w:rsidRPr="00B86BF8">
        <w:rPr>
          <w:rFonts w:ascii="Times New Roman" w:hAnsi="Times New Roman"/>
          <w:sz w:val="20"/>
          <w:szCs w:val="20"/>
          <w:lang w:eastAsia="lt-LT"/>
        </w:rPr>
        <w:lastRenderedPageBreak/>
        <w:t>3</w:t>
      </w:r>
      <w:r w:rsidR="00F707D3" w:rsidRPr="00B86BF8">
        <w:rPr>
          <w:rFonts w:ascii="Times New Roman" w:hAnsi="Times New Roman"/>
          <w:sz w:val="20"/>
          <w:szCs w:val="20"/>
          <w:lang w:eastAsia="lt-LT"/>
        </w:rPr>
        <w:t xml:space="preserve">) </w:t>
      </w:r>
      <w:r w:rsidR="007A2D9D" w:rsidRPr="00B86BF8">
        <w:rPr>
          <w:rFonts w:ascii="Times New Roman" w:hAnsi="Times New Roman"/>
          <w:sz w:val="20"/>
          <w:szCs w:val="20"/>
          <w:lang w:eastAsia="lt-LT"/>
        </w:rPr>
        <w:t xml:space="preserve">finansų </w:t>
      </w:r>
      <w:r w:rsidR="00FA6514" w:rsidRPr="00B86BF8">
        <w:rPr>
          <w:rFonts w:ascii="Times New Roman" w:hAnsi="Times New Roman"/>
          <w:sz w:val="20"/>
          <w:szCs w:val="20"/>
          <w:lang w:eastAsia="lt-LT"/>
        </w:rPr>
        <w:t>įmonei</w:t>
      </w:r>
      <w:r w:rsidR="007503A2" w:rsidRPr="00B86BF8">
        <w:rPr>
          <w:rFonts w:ascii="Times New Roman" w:hAnsi="Times New Roman"/>
          <w:sz w:val="20"/>
          <w:szCs w:val="20"/>
          <w:lang w:eastAsia="lt-LT"/>
        </w:rPr>
        <w:t xml:space="preserve"> </w:t>
      </w:r>
      <w:r w:rsidR="00F707D3" w:rsidRPr="00B86BF8">
        <w:rPr>
          <w:rFonts w:ascii="Times New Roman" w:hAnsi="Times New Roman"/>
          <w:sz w:val="20"/>
          <w:szCs w:val="20"/>
          <w:lang w:eastAsia="lt-LT"/>
        </w:rPr>
        <w:t xml:space="preserve">nėra iškelta </w:t>
      </w:r>
      <w:r w:rsidR="00E9388E" w:rsidRPr="00B86BF8">
        <w:rPr>
          <w:rFonts w:ascii="Times New Roman" w:hAnsi="Times New Roman"/>
          <w:sz w:val="20"/>
          <w:szCs w:val="20"/>
          <w:lang w:eastAsia="lt-LT"/>
        </w:rPr>
        <w:t>nemokumo ar</w:t>
      </w:r>
      <w:r w:rsidR="00F707D3" w:rsidRPr="00B86BF8">
        <w:rPr>
          <w:rFonts w:ascii="Times New Roman" w:hAnsi="Times New Roman"/>
          <w:sz w:val="20"/>
          <w:szCs w:val="20"/>
          <w:lang w:eastAsia="lt-LT"/>
        </w:rPr>
        <w:t xml:space="preserve"> restruktūrizavimo</w:t>
      </w:r>
      <w:r w:rsidR="007503A2" w:rsidRPr="00B86BF8">
        <w:rPr>
          <w:rFonts w:ascii="Times New Roman" w:hAnsi="Times New Roman"/>
          <w:sz w:val="20"/>
          <w:szCs w:val="20"/>
          <w:lang w:eastAsia="lt-LT"/>
        </w:rPr>
        <w:t xml:space="preserve"> byla</w:t>
      </w:r>
      <w:r w:rsidR="00F707D3" w:rsidRPr="00B86BF8">
        <w:rPr>
          <w:rFonts w:ascii="Times New Roman" w:hAnsi="Times New Roman"/>
          <w:sz w:val="20"/>
          <w:szCs w:val="20"/>
          <w:lang w:eastAsia="lt-LT"/>
        </w:rPr>
        <w:t>, nėra pradėtas ikiteisminis tyrimas dėl ūkinės komercinės veiklos arba jis (jie) nėra likviduojamas (-i), nėra priimtas kreditorių susirinkimo nutarimas bankroto procedūras vykdyti ne teismo tvarka;</w:t>
      </w:r>
    </w:p>
    <w:p w14:paraId="74CD0501" w14:textId="77777777" w:rsidR="00F707D3" w:rsidRPr="00B86BF8" w:rsidRDefault="00A82C7D" w:rsidP="00FE7CF5">
      <w:pPr>
        <w:spacing w:after="0" w:line="240" w:lineRule="auto"/>
        <w:ind w:right="-755" w:firstLine="709"/>
        <w:jc w:val="both"/>
        <w:rPr>
          <w:rFonts w:ascii="Times New Roman" w:hAnsi="Times New Roman"/>
          <w:sz w:val="20"/>
          <w:szCs w:val="20"/>
          <w:lang w:eastAsia="lt-LT"/>
        </w:rPr>
      </w:pPr>
      <w:r w:rsidRPr="00B86BF8">
        <w:rPr>
          <w:rFonts w:ascii="Times New Roman" w:hAnsi="Times New Roman"/>
          <w:sz w:val="20"/>
          <w:szCs w:val="20"/>
          <w:lang w:eastAsia="lt-LT"/>
        </w:rPr>
        <w:t>4</w:t>
      </w:r>
      <w:r w:rsidR="00F707D3" w:rsidRPr="00B86BF8">
        <w:rPr>
          <w:rFonts w:ascii="Times New Roman" w:hAnsi="Times New Roman"/>
          <w:sz w:val="20"/>
          <w:szCs w:val="20"/>
          <w:lang w:eastAsia="lt-LT"/>
        </w:rPr>
        <w:t xml:space="preserve">) </w:t>
      </w:r>
      <w:r w:rsidR="007A2D9D" w:rsidRPr="00B86BF8">
        <w:rPr>
          <w:rFonts w:ascii="Times New Roman" w:hAnsi="Times New Roman"/>
          <w:sz w:val="20"/>
          <w:szCs w:val="20"/>
          <w:lang w:eastAsia="lt-LT"/>
        </w:rPr>
        <w:t xml:space="preserve">finansų </w:t>
      </w:r>
      <w:r w:rsidR="00FA6514" w:rsidRPr="00B86BF8">
        <w:rPr>
          <w:rFonts w:ascii="Times New Roman" w:hAnsi="Times New Roman"/>
          <w:sz w:val="20"/>
          <w:szCs w:val="20"/>
          <w:lang w:eastAsia="lt-LT"/>
        </w:rPr>
        <w:t>įmonė</w:t>
      </w:r>
      <w:r w:rsidR="00F707D3" w:rsidRPr="00B86BF8">
        <w:rPr>
          <w:rFonts w:ascii="Times New Roman" w:hAnsi="Times New Roman"/>
          <w:sz w:val="20"/>
          <w:szCs w:val="20"/>
          <w:lang w:eastAsia="lt-LT"/>
        </w:rPr>
        <w:t xml:space="preserve"> prašymo pateikimo metu yra įvykd</w:t>
      </w:r>
      <w:r w:rsidR="007A2D9D" w:rsidRPr="00B86BF8">
        <w:rPr>
          <w:rFonts w:ascii="Times New Roman" w:hAnsi="Times New Roman"/>
          <w:sz w:val="20"/>
          <w:szCs w:val="20"/>
          <w:lang w:eastAsia="lt-LT"/>
        </w:rPr>
        <w:t>žiusi</w:t>
      </w:r>
      <w:r w:rsidR="00F707D3" w:rsidRPr="00B86BF8">
        <w:rPr>
          <w:rFonts w:ascii="Times New Roman" w:hAnsi="Times New Roman"/>
          <w:sz w:val="20"/>
          <w:szCs w:val="20"/>
          <w:lang w:eastAsia="lt-LT"/>
        </w:rPr>
        <w:t xml:space="preserve"> su mokesčių ir socialinio draudimo įmokų mokėjimu susijusius įsipareigojimus pagal </w:t>
      </w:r>
      <w:r w:rsidR="00991C92" w:rsidRPr="00B86BF8">
        <w:rPr>
          <w:rFonts w:ascii="Times New Roman" w:hAnsi="Times New Roman"/>
          <w:sz w:val="20"/>
          <w:szCs w:val="20"/>
          <w:lang w:eastAsia="lt-LT"/>
        </w:rPr>
        <w:t>finansų įstaigos</w:t>
      </w:r>
      <w:r w:rsidR="00F707D3" w:rsidRPr="00B86BF8">
        <w:rPr>
          <w:rFonts w:ascii="Times New Roman" w:hAnsi="Times New Roman"/>
          <w:sz w:val="20"/>
          <w:szCs w:val="20"/>
          <w:lang w:eastAsia="lt-LT"/>
        </w:rPr>
        <w:t xml:space="preserve"> veiklai taikomus teisės aktus;</w:t>
      </w:r>
    </w:p>
    <w:p w14:paraId="7845EFC5" w14:textId="77777777" w:rsidR="00F707D3" w:rsidRPr="00B86BF8" w:rsidRDefault="00A82C7D" w:rsidP="0009478C">
      <w:pPr>
        <w:spacing w:after="0" w:line="240" w:lineRule="auto"/>
        <w:ind w:right="-755" w:firstLine="709"/>
        <w:jc w:val="both"/>
        <w:rPr>
          <w:rFonts w:ascii="Times New Roman" w:hAnsi="Times New Roman"/>
          <w:sz w:val="20"/>
          <w:szCs w:val="20"/>
          <w:lang w:eastAsia="lt-LT"/>
        </w:rPr>
      </w:pPr>
      <w:r w:rsidRPr="00B86BF8">
        <w:rPr>
          <w:rFonts w:ascii="Times New Roman" w:hAnsi="Times New Roman"/>
          <w:sz w:val="20"/>
          <w:szCs w:val="20"/>
          <w:lang w:eastAsia="lt-LT"/>
        </w:rPr>
        <w:t>5</w:t>
      </w:r>
      <w:r w:rsidR="00F707D3" w:rsidRPr="00B86BF8">
        <w:rPr>
          <w:rFonts w:ascii="Times New Roman" w:hAnsi="Times New Roman"/>
          <w:sz w:val="20"/>
          <w:szCs w:val="20"/>
          <w:lang w:eastAsia="lt-LT"/>
        </w:rPr>
        <w:t xml:space="preserve">) </w:t>
      </w:r>
      <w:r w:rsidR="00991C92" w:rsidRPr="00B86BF8">
        <w:rPr>
          <w:rFonts w:ascii="Times New Roman" w:hAnsi="Times New Roman"/>
          <w:sz w:val="20"/>
          <w:szCs w:val="20"/>
          <w:lang w:eastAsia="lt-LT"/>
        </w:rPr>
        <w:t xml:space="preserve">finansų </w:t>
      </w:r>
      <w:r w:rsidR="00FA6514" w:rsidRPr="00B86BF8">
        <w:rPr>
          <w:rFonts w:ascii="Times New Roman" w:hAnsi="Times New Roman"/>
          <w:sz w:val="20"/>
          <w:szCs w:val="20"/>
          <w:lang w:eastAsia="lt-LT"/>
        </w:rPr>
        <w:t>įmonės</w:t>
      </w:r>
      <w:r w:rsidR="00F707D3" w:rsidRPr="00B86BF8">
        <w:rPr>
          <w:rFonts w:ascii="Times New Roman" w:hAnsi="Times New Roman"/>
          <w:sz w:val="20"/>
          <w:szCs w:val="20"/>
          <w:lang w:eastAsia="lt-LT"/>
        </w:rPr>
        <w:t xml:space="preserve"> vadovas, turintis (-ys) teisę juridinio asmens vardu sudaryti sandorį, ar buhalteris (-iai), ar kitas (-i) asmuo (asmenys), turintis (-ys) teisę surašyti ir pasirašyti apskaitos dokumentus, neturi neišnykusio arba nepanaikinto teistumo arba dėl </w:t>
      </w:r>
      <w:r w:rsidR="003F1F04" w:rsidRPr="00B86BF8">
        <w:rPr>
          <w:rFonts w:ascii="Times New Roman" w:hAnsi="Times New Roman"/>
          <w:sz w:val="20"/>
          <w:szCs w:val="20"/>
          <w:lang w:eastAsia="lt-LT"/>
        </w:rPr>
        <w:t>finansų įstaigos</w:t>
      </w:r>
      <w:r w:rsidR="00F707D3" w:rsidRPr="00B86BF8">
        <w:rPr>
          <w:rFonts w:ascii="Times New Roman" w:hAnsi="Times New Roman"/>
          <w:sz w:val="20"/>
          <w:szCs w:val="2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w:t>
      </w:r>
    </w:p>
    <w:p w14:paraId="2E0C54E0" w14:textId="77777777" w:rsidR="004A3DE3" w:rsidRPr="00B86BF8" w:rsidRDefault="004A3DE3" w:rsidP="0009478C">
      <w:pPr>
        <w:spacing w:after="0" w:line="240" w:lineRule="auto"/>
        <w:ind w:right="-755" w:firstLine="709"/>
        <w:jc w:val="both"/>
        <w:rPr>
          <w:rFonts w:ascii="Times New Roman" w:hAnsi="Times New Roman"/>
          <w:strike/>
          <w:sz w:val="20"/>
          <w:szCs w:val="20"/>
          <w:lang w:eastAsia="lt-LT"/>
        </w:rPr>
      </w:pPr>
      <w:r w:rsidRPr="00B86BF8">
        <w:rPr>
          <w:rFonts w:ascii="Times New Roman" w:hAnsi="Times New Roman"/>
          <w:sz w:val="20"/>
          <w:szCs w:val="20"/>
          <w:lang w:eastAsia="lt-LT"/>
        </w:rPr>
        <w:t xml:space="preserve">6) </w:t>
      </w:r>
      <w:bookmarkStart w:id="20" w:name="_Hlk36385011"/>
      <w:r w:rsidRPr="00B86BF8">
        <w:rPr>
          <w:rFonts w:ascii="Times New Roman" w:hAnsi="Times New Roman"/>
          <w:sz w:val="20"/>
          <w:szCs w:val="20"/>
          <w:lang w:eastAsia="lt-LT"/>
        </w:rPr>
        <w:t xml:space="preserve">finansų </w:t>
      </w:r>
      <w:r w:rsidR="00FA6514" w:rsidRPr="00B86BF8">
        <w:rPr>
          <w:rFonts w:ascii="Times New Roman" w:hAnsi="Times New Roman"/>
          <w:sz w:val="20"/>
          <w:szCs w:val="20"/>
          <w:lang w:eastAsia="lt-LT"/>
        </w:rPr>
        <w:t>įmonė</w:t>
      </w:r>
      <w:r w:rsidRPr="00B86BF8">
        <w:rPr>
          <w:rFonts w:ascii="Times New Roman" w:hAnsi="Times New Roman"/>
          <w:sz w:val="20"/>
          <w:szCs w:val="20"/>
          <w:lang w:eastAsia="lt-LT"/>
        </w:rPr>
        <w:t xml:space="preserve"> ir jos atstovai yra informuoti ir žino, kad pateiktus melagingą informaciją, kurią „Invega“ gali įrodyti bet kokiomis teisėtomis priemonėmis, šis prašymas bus atmestas</w:t>
      </w:r>
      <w:bookmarkEnd w:id="20"/>
      <w:r w:rsidRPr="00B86BF8">
        <w:rPr>
          <w:rFonts w:ascii="Times New Roman" w:hAnsi="Times New Roman"/>
          <w:sz w:val="20"/>
          <w:szCs w:val="20"/>
          <w:lang w:eastAsia="lt-LT"/>
        </w:rPr>
        <w:t>.</w:t>
      </w:r>
    </w:p>
    <w:p w14:paraId="2A20D60A" w14:textId="77777777" w:rsidR="00F707D3" w:rsidRPr="00B86BF8" w:rsidRDefault="00F707D3" w:rsidP="0009478C">
      <w:pPr>
        <w:spacing w:after="0" w:line="240" w:lineRule="auto"/>
        <w:ind w:right="-755" w:firstLine="709"/>
        <w:jc w:val="both"/>
        <w:rPr>
          <w:rFonts w:ascii="Times New Roman" w:hAnsi="Times New Roman"/>
          <w:sz w:val="20"/>
          <w:szCs w:val="20"/>
          <w:lang w:eastAsia="lt-LT"/>
        </w:rPr>
      </w:pPr>
    </w:p>
    <w:p w14:paraId="48C00E1B" w14:textId="77777777" w:rsidR="00F707D3" w:rsidRPr="00B86BF8" w:rsidRDefault="00F707D3" w:rsidP="00F707D3">
      <w:pPr>
        <w:spacing w:after="0" w:line="240" w:lineRule="auto"/>
        <w:ind w:right="-755" w:firstLine="709"/>
        <w:jc w:val="both"/>
        <w:rPr>
          <w:rFonts w:ascii="Times New Roman" w:hAnsi="Times New Roman"/>
          <w:lang w:eastAsia="lt-LT"/>
        </w:rPr>
      </w:pPr>
    </w:p>
    <w:p w14:paraId="0AE9FECC" w14:textId="77777777" w:rsidR="00FA6514" w:rsidRPr="00B86BF8" w:rsidRDefault="00FA6514" w:rsidP="00FA6514">
      <w:pPr>
        <w:spacing w:after="0" w:line="240" w:lineRule="auto"/>
        <w:ind w:right="-755" w:firstLine="720"/>
        <w:jc w:val="both"/>
        <w:rPr>
          <w:rFonts w:ascii="Times New Roman" w:hAnsi="Times New Roman"/>
          <w:lang w:eastAsia="lt-LT"/>
        </w:rPr>
      </w:pPr>
      <w:r w:rsidRPr="00B86BF8">
        <w:rPr>
          <w:rFonts w:ascii="Times New Roman" w:hAnsi="Times New Roman"/>
          <w:lang w:eastAsia="lt-LT"/>
        </w:rPr>
        <w:t>Kartu su prašymu pateikiami šie dokumentai (pasirašydami prašymą ar kiekvieną dokumentą patvirtiname, kad dokumentų skaitmeninės kopijos yra tikros. Tais atvejais, kai visas prašymas su pridedamais dokumentais pasirašomas kvalifikuotu elektroniniu parašu, kiekvieno dokumento atskirai pasirašyti neprivaloma):</w:t>
      </w:r>
    </w:p>
    <w:p w14:paraId="4DE09B8B" w14:textId="77777777" w:rsidR="00F707D3" w:rsidRPr="00B86BF8" w:rsidRDefault="00F707D3" w:rsidP="00F707D3">
      <w:pPr>
        <w:spacing w:after="0" w:line="240" w:lineRule="auto"/>
        <w:ind w:firstLine="720"/>
        <w:jc w:val="both"/>
        <w:rPr>
          <w:rFonts w:ascii="Times New Roman" w:hAnsi="Times New Roman"/>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F707D3" w:rsidRPr="00B86BF8" w14:paraId="0FC901F2" w14:textId="77777777" w:rsidTr="007A2A64">
        <w:tc>
          <w:tcPr>
            <w:tcW w:w="675" w:type="dxa"/>
            <w:tcBorders>
              <w:top w:val="single" w:sz="4" w:space="0" w:color="auto"/>
              <w:left w:val="single" w:sz="4" w:space="0" w:color="auto"/>
              <w:bottom w:val="single" w:sz="4" w:space="0" w:color="auto"/>
              <w:right w:val="single" w:sz="4" w:space="0" w:color="auto"/>
            </w:tcBorders>
          </w:tcPr>
          <w:p w14:paraId="3CBC0F9E" w14:textId="77777777" w:rsidR="00F707D3" w:rsidRPr="00B86BF8" w:rsidRDefault="00F707D3" w:rsidP="00F707D3">
            <w:pPr>
              <w:spacing w:after="0" w:line="240" w:lineRule="auto"/>
              <w:jc w:val="center"/>
              <w:rPr>
                <w:rFonts w:ascii="Times New Roman" w:hAnsi="Times New Roman"/>
                <w:b/>
                <w:lang w:eastAsia="lt-LT"/>
              </w:rPr>
            </w:pPr>
            <w:r w:rsidRPr="00B86BF8">
              <w:rPr>
                <w:rFonts w:ascii="Times New Roman" w:hAnsi="Times New Roman"/>
                <w:b/>
                <w:lang w:eastAsia="lt-LT"/>
              </w:rPr>
              <w:t>Eil.Nr.</w:t>
            </w:r>
          </w:p>
          <w:p w14:paraId="15AFFE5D" w14:textId="77777777" w:rsidR="00F707D3" w:rsidRPr="00B86BF8"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1BBDE0B9" w14:textId="77777777" w:rsidR="00F707D3" w:rsidRPr="00B86BF8" w:rsidRDefault="00F707D3" w:rsidP="00F707D3">
            <w:pPr>
              <w:spacing w:after="0" w:line="240" w:lineRule="auto"/>
              <w:jc w:val="center"/>
              <w:rPr>
                <w:rFonts w:ascii="Times New Roman" w:hAnsi="Times New Roman"/>
                <w:b/>
                <w:lang w:eastAsia="lt-LT"/>
              </w:rPr>
            </w:pPr>
            <w:r w:rsidRPr="00B86BF8">
              <w:rPr>
                <w:rFonts w:ascii="Times New Roman" w:hAnsi="Times New Roman"/>
                <w:b/>
                <w:lang w:eastAsia="lt-LT"/>
              </w:rPr>
              <w:t>Pateiktų dokumentų pavadinimas</w:t>
            </w:r>
          </w:p>
        </w:tc>
        <w:tc>
          <w:tcPr>
            <w:tcW w:w="2693" w:type="dxa"/>
            <w:tcBorders>
              <w:top w:val="single" w:sz="4" w:space="0" w:color="auto"/>
              <w:left w:val="single" w:sz="4" w:space="0" w:color="auto"/>
              <w:bottom w:val="single" w:sz="4" w:space="0" w:color="auto"/>
              <w:right w:val="single" w:sz="4" w:space="0" w:color="auto"/>
            </w:tcBorders>
          </w:tcPr>
          <w:p w14:paraId="5E62CFC1" w14:textId="77777777" w:rsidR="00F707D3" w:rsidRPr="00B86BF8" w:rsidRDefault="00F707D3" w:rsidP="00F707D3">
            <w:pPr>
              <w:spacing w:after="0" w:line="240" w:lineRule="auto"/>
              <w:jc w:val="center"/>
              <w:rPr>
                <w:rFonts w:ascii="Times New Roman" w:hAnsi="Times New Roman"/>
                <w:b/>
                <w:lang w:eastAsia="lt-LT"/>
              </w:rPr>
            </w:pPr>
            <w:r w:rsidRPr="00B86BF8">
              <w:rPr>
                <w:rFonts w:ascii="Times New Roman" w:hAnsi="Times New Roman"/>
                <w:b/>
                <w:lang w:eastAsia="lt-LT"/>
              </w:rPr>
              <w:t>Dokumento puslapių skaičius</w:t>
            </w:r>
          </w:p>
        </w:tc>
      </w:tr>
      <w:tr w:rsidR="00F707D3" w:rsidRPr="00B86BF8" w14:paraId="7376AE2D" w14:textId="77777777" w:rsidTr="007A2A64">
        <w:tc>
          <w:tcPr>
            <w:tcW w:w="675" w:type="dxa"/>
            <w:tcBorders>
              <w:top w:val="single" w:sz="4" w:space="0" w:color="auto"/>
              <w:left w:val="single" w:sz="4" w:space="0" w:color="auto"/>
              <w:bottom w:val="single" w:sz="4" w:space="0" w:color="auto"/>
              <w:right w:val="single" w:sz="4" w:space="0" w:color="auto"/>
            </w:tcBorders>
          </w:tcPr>
          <w:p w14:paraId="2D5C6ACB" w14:textId="77777777" w:rsidR="00F707D3" w:rsidRPr="00B86BF8" w:rsidRDefault="00F707D3" w:rsidP="00F707D3">
            <w:pPr>
              <w:spacing w:after="0" w:line="240" w:lineRule="auto"/>
              <w:jc w:val="both"/>
              <w:rPr>
                <w:rFonts w:ascii="Times New Roman" w:hAnsi="Times New Roman"/>
                <w:b/>
                <w:lang w:eastAsia="lt-LT"/>
              </w:rPr>
            </w:pPr>
            <w:r w:rsidRPr="00B86BF8">
              <w:rPr>
                <w:rFonts w:ascii="Times New Roman" w:hAnsi="Times New Roman"/>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4D79CB55" w14:textId="77777777" w:rsidR="00F707D3" w:rsidRPr="00B86BF8" w:rsidRDefault="00FA6514" w:rsidP="00A82C7D">
            <w:pPr>
              <w:spacing w:after="0" w:line="240" w:lineRule="auto"/>
              <w:jc w:val="both"/>
              <w:rPr>
                <w:rFonts w:ascii="Times New Roman" w:hAnsi="Times New Roman"/>
                <w:lang w:eastAsia="lt-LT"/>
              </w:rPr>
            </w:pPr>
            <w:r w:rsidRPr="00B86BF8">
              <w:rPr>
                <w:rFonts w:ascii="Times New Roman" w:hAnsi="Times New Roman"/>
                <w:lang w:eastAsia="lt-LT"/>
              </w:rPr>
              <w:t>P</w:t>
            </w:r>
            <w:r w:rsidR="00A82C7D" w:rsidRPr="00B86BF8">
              <w:rPr>
                <w:rFonts w:ascii="Times New Roman" w:hAnsi="Times New Roman"/>
                <w:lang w:eastAsia="lt-LT"/>
              </w:rPr>
              <w:t xml:space="preserve">riemonės </w:t>
            </w:r>
            <w:r w:rsidRPr="00B86BF8">
              <w:rPr>
                <w:rFonts w:ascii="Times New Roman" w:hAnsi="Times New Roman"/>
                <w:lang w:eastAsia="lt-LT"/>
              </w:rPr>
              <w:t xml:space="preserve">„Alternatyva“ </w:t>
            </w:r>
            <w:r w:rsidR="00A82C7D" w:rsidRPr="00B86BF8">
              <w:rPr>
                <w:rFonts w:ascii="Times New Roman" w:hAnsi="Times New Roman"/>
                <w:lang w:eastAsia="lt-LT"/>
              </w:rPr>
              <w:t>įgyvendinimo aprašymas</w:t>
            </w:r>
          </w:p>
        </w:tc>
        <w:tc>
          <w:tcPr>
            <w:tcW w:w="2693" w:type="dxa"/>
            <w:tcBorders>
              <w:top w:val="single" w:sz="4" w:space="0" w:color="auto"/>
              <w:left w:val="single" w:sz="4" w:space="0" w:color="auto"/>
              <w:bottom w:val="single" w:sz="4" w:space="0" w:color="auto"/>
              <w:right w:val="single" w:sz="4" w:space="0" w:color="auto"/>
            </w:tcBorders>
          </w:tcPr>
          <w:p w14:paraId="547A50B2" w14:textId="77777777" w:rsidR="00F707D3" w:rsidRPr="00B86BF8" w:rsidRDefault="00F707D3" w:rsidP="00F707D3">
            <w:pPr>
              <w:spacing w:after="0" w:line="240" w:lineRule="auto"/>
              <w:jc w:val="both"/>
              <w:rPr>
                <w:rFonts w:ascii="Times New Roman" w:hAnsi="Times New Roman"/>
                <w:lang w:eastAsia="lt-LT"/>
              </w:rPr>
            </w:pPr>
          </w:p>
        </w:tc>
      </w:tr>
      <w:tr w:rsidR="00F707D3" w:rsidRPr="00B86BF8" w14:paraId="4E69C18C" w14:textId="77777777" w:rsidTr="007A2A64">
        <w:tc>
          <w:tcPr>
            <w:tcW w:w="675" w:type="dxa"/>
            <w:tcBorders>
              <w:top w:val="single" w:sz="4" w:space="0" w:color="auto"/>
              <w:left w:val="single" w:sz="4" w:space="0" w:color="auto"/>
              <w:bottom w:val="single" w:sz="4" w:space="0" w:color="auto"/>
              <w:right w:val="single" w:sz="4" w:space="0" w:color="auto"/>
            </w:tcBorders>
          </w:tcPr>
          <w:p w14:paraId="2B04FBAB" w14:textId="77777777" w:rsidR="00F707D3" w:rsidRPr="00B86BF8" w:rsidRDefault="00F707D3" w:rsidP="00F707D3">
            <w:pPr>
              <w:spacing w:after="0" w:line="240" w:lineRule="auto"/>
              <w:jc w:val="both"/>
              <w:rPr>
                <w:rFonts w:ascii="Times New Roman" w:hAnsi="Times New Roman"/>
                <w:b/>
                <w:lang w:eastAsia="lt-LT"/>
              </w:rPr>
            </w:pPr>
            <w:r w:rsidRPr="00B86BF8">
              <w:rPr>
                <w:rFonts w:ascii="Times New Roman" w:hAnsi="Times New Roman"/>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7937AAC1" w14:textId="77777777" w:rsidR="00F707D3" w:rsidRPr="00B86BF8" w:rsidRDefault="00F707D3" w:rsidP="00F707D3">
            <w:pPr>
              <w:tabs>
                <w:tab w:val="left" w:pos="1296"/>
                <w:tab w:val="center" w:pos="4153"/>
                <w:tab w:val="right" w:pos="8306"/>
              </w:tabs>
              <w:spacing w:after="0" w:line="240" w:lineRule="auto"/>
              <w:jc w:val="both"/>
              <w:rPr>
                <w:rFonts w:ascii="Times New Roman" w:eastAsia="Times New Roman" w:hAnsi="Times New Roman"/>
                <w:lang w:eastAsia="lt-LT"/>
              </w:rPr>
            </w:pPr>
            <w:r w:rsidRPr="00B86BF8">
              <w:rPr>
                <w:rFonts w:ascii="Times New Roman" w:eastAsia="Times New Roman" w:hAnsi="Times New Roman"/>
                <w:lang w:eastAsia="lt-LT"/>
              </w:rPr>
              <w:t xml:space="preserve">Pažyma apie atitikimą </w:t>
            </w:r>
            <w:r w:rsidR="00FE7CF5" w:rsidRPr="00B86BF8">
              <w:rPr>
                <w:rFonts w:ascii="Times New Roman" w:eastAsia="Times New Roman" w:hAnsi="Times New Roman"/>
                <w:lang w:eastAsia="lt-LT"/>
              </w:rPr>
              <w:t xml:space="preserve">tinkamumo </w:t>
            </w:r>
            <w:r w:rsidRPr="00B86BF8">
              <w:rPr>
                <w:rFonts w:ascii="Times New Roman" w:eastAsia="Times New Roman" w:hAnsi="Times New Roman"/>
                <w:lang w:eastAsia="lt-LT"/>
              </w:rPr>
              <w:t>reikalavimams (Prašymo 1 priedas)</w:t>
            </w:r>
          </w:p>
        </w:tc>
        <w:tc>
          <w:tcPr>
            <w:tcW w:w="2693" w:type="dxa"/>
            <w:tcBorders>
              <w:top w:val="single" w:sz="4" w:space="0" w:color="auto"/>
              <w:left w:val="single" w:sz="4" w:space="0" w:color="auto"/>
              <w:bottom w:val="single" w:sz="4" w:space="0" w:color="auto"/>
              <w:right w:val="single" w:sz="4" w:space="0" w:color="auto"/>
            </w:tcBorders>
          </w:tcPr>
          <w:p w14:paraId="679EB3EF" w14:textId="77777777" w:rsidR="00F707D3" w:rsidRPr="00B86BF8" w:rsidRDefault="00F707D3" w:rsidP="00F707D3">
            <w:pPr>
              <w:spacing w:after="0" w:line="240" w:lineRule="auto"/>
              <w:jc w:val="both"/>
              <w:rPr>
                <w:rFonts w:ascii="Times New Roman" w:hAnsi="Times New Roman"/>
                <w:lang w:eastAsia="lt-LT"/>
              </w:rPr>
            </w:pPr>
          </w:p>
        </w:tc>
      </w:tr>
      <w:tr w:rsidR="00F707D3" w:rsidRPr="00B86BF8" w14:paraId="228C1AB7" w14:textId="77777777" w:rsidTr="007A2A64">
        <w:tc>
          <w:tcPr>
            <w:tcW w:w="675" w:type="dxa"/>
            <w:tcBorders>
              <w:top w:val="single" w:sz="4" w:space="0" w:color="auto"/>
              <w:left w:val="single" w:sz="4" w:space="0" w:color="auto"/>
              <w:bottom w:val="single" w:sz="4" w:space="0" w:color="auto"/>
              <w:right w:val="single" w:sz="4" w:space="0" w:color="auto"/>
            </w:tcBorders>
          </w:tcPr>
          <w:p w14:paraId="4A32FD03" w14:textId="77777777" w:rsidR="00F707D3" w:rsidRPr="00B86BF8" w:rsidRDefault="00F707D3" w:rsidP="00F707D3">
            <w:pPr>
              <w:spacing w:after="0" w:line="240" w:lineRule="auto"/>
              <w:jc w:val="both"/>
              <w:rPr>
                <w:rFonts w:ascii="Times New Roman" w:hAnsi="Times New Roman"/>
                <w:b/>
                <w:lang w:eastAsia="lt-LT"/>
              </w:rPr>
            </w:pPr>
            <w:r w:rsidRPr="00B86BF8">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21213E2C" w14:textId="77777777" w:rsidR="00F707D3" w:rsidRPr="00B86BF8" w:rsidRDefault="00F707D3" w:rsidP="003943BC">
            <w:pPr>
              <w:spacing w:after="0" w:line="240" w:lineRule="auto"/>
              <w:jc w:val="both"/>
              <w:rPr>
                <w:rFonts w:ascii="Times New Roman" w:hAnsi="Times New Roman"/>
                <w:lang w:eastAsia="lt-LT"/>
              </w:rPr>
            </w:pPr>
            <w:r w:rsidRPr="00B86BF8">
              <w:rPr>
                <w:rFonts w:ascii="Times New Roman" w:hAnsi="Times New Roman"/>
                <w:lang w:eastAsia="lt-LT"/>
              </w:rPr>
              <w:t>Audituotos finansinės ataskaitos už paskutinius finansinius metus</w:t>
            </w:r>
          </w:p>
        </w:tc>
        <w:tc>
          <w:tcPr>
            <w:tcW w:w="2693" w:type="dxa"/>
            <w:tcBorders>
              <w:top w:val="single" w:sz="4" w:space="0" w:color="auto"/>
              <w:left w:val="single" w:sz="4" w:space="0" w:color="auto"/>
              <w:bottom w:val="single" w:sz="4" w:space="0" w:color="auto"/>
              <w:right w:val="single" w:sz="4" w:space="0" w:color="auto"/>
            </w:tcBorders>
          </w:tcPr>
          <w:p w14:paraId="135AEEE9" w14:textId="77777777" w:rsidR="00F707D3" w:rsidRPr="00B86BF8" w:rsidRDefault="00F707D3" w:rsidP="00F707D3">
            <w:pPr>
              <w:spacing w:after="0" w:line="240" w:lineRule="auto"/>
              <w:jc w:val="both"/>
              <w:rPr>
                <w:rFonts w:ascii="Times New Roman" w:hAnsi="Times New Roman"/>
                <w:lang w:eastAsia="lt-LT"/>
              </w:rPr>
            </w:pPr>
          </w:p>
        </w:tc>
      </w:tr>
      <w:tr w:rsidR="00446EF6" w:rsidRPr="00B86BF8" w14:paraId="1550C35D" w14:textId="77777777" w:rsidTr="007A2A64">
        <w:tc>
          <w:tcPr>
            <w:tcW w:w="675" w:type="dxa"/>
            <w:tcBorders>
              <w:top w:val="single" w:sz="4" w:space="0" w:color="auto"/>
              <w:left w:val="single" w:sz="4" w:space="0" w:color="auto"/>
              <w:bottom w:val="single" w:sz="4" w:space="0" w:color="auto"/>
              <w:right w:val="single" w:sz="4" w:space="0" w:color="auto"/>
            </w:tcBorders>
          </w:tcPr>
          <w:p w14:paraId="73E9AF8D" w14:textId="77777777" w:rsidR="00446EF6" w:rsidRPr="00B86BF8" w:rsidRDefault="00A82C7D" w:rsidP="00F707D3">
            <w:pPr>
              <w:spacing w:after="0" w:line="240" w:lineRule="auto"/>
              <w:jc w:val="both"/>
              <w:rPr>
                <w:rFonts w:ascii="Times New Roman" w:hAnsi="Times New Roman"/>
                <w:b/>
                <w:lang w:eastAsia="lt-LT"/>
              </w:rPr>
            </w:pPr>
            <w:r w:rsidRPr="00B86BF8">
              <w:rPr>
                <w:rFonts w:ascii="Times New Roman" w:hAnsi="Times New Roman"/>
                <w:b/>
                <w:lang w:eastAsia="lt-LT"/>
              </w:rPr>
              <w:t>4.</w:t>
            </w:r>
          </w:p>
        </w:tc>
        <w:tc>
          <w:tcPr>
            <w:tcW w:w="6521" w:type="dxa"/>
            <w:tcBorders>
              <w:top w:val="single" w:sz="4" w:space="0" w:color="auto"/>
              <w:left w:val="single" w:sz="4" w:space="0" w:color="auto"/>
              <w:bottom w:val="single" w:sz="4" w:space="0" w:color="auto"/>
              <w:right w:val="single" w:sz="4" w:space="0" w:color="auto"/>
            </w:tcBorders>
          </w:tcPr>
          <w:p w14:paraId="6700A297" w14:textId="77777777" w:rsidR="00446EF6" w:rsidRPr="00B86BF8" w:rsidRDefault="00797D2B" w:rsidP="00A82C7D">
            <w:pPr>
              <w:spacing w:after="0" w:line="240" w:lineRule="auto"/>
              <w:jc w:val="both"/>
              <w:rPr>
                <w:rFonts w:ascii="Times New Roman" w:hAnsi="Times New Roman"/>
                <w:lang w:eastAsia="lt-LT"/>
              </w:rPr>
            </w:pPr>
            <w:r w:rsidRPr="00B86BF8">
              <w:rPr>
                <w:rFonts w:ascii="Times New Roman" w:hAnsi="Times New Roman"/>
                <w:lang w:eastAsia="lt-LT"/>
              </w:rPr>
              <w:t>Paskolų</w:t>
            </w:r>
            <w:r w:rsidR="00A82C7D" w:rsidRPr="00B86BF8">
              <w:rPr>
                <w:rFonts w:ascii="Times New Roman" w:hAnsi="Times New Roman"/>
                <w:lang w:eastAsia="lt-LT"/>
              </w:rPr>
              <w:t xml:space="preserve"> gavėjų ir</w:t>
            </w:r>
            <w:r w:rsidR="00CF04A0" w:rsidRPr="00B86BF8">
              <w:rPr>
                <w:rFonts w:ascii="Times New Roman" w:hAnsi="Times New Roman"/>
                <w:lang w:eastAsia="lt-LT"/>
              </w:rPr>
              <w:t xml:space="preserve"> (</w:t>
            </w:r>
            <w:r w:rsidR="00A82C7D" w:rsidRPr="00B86BF8">
              <w:rPr>
                <w:rFonts w:ascii="Times New Roman" w:hAnsi="Times New Roman"/>
                <w:lang w:eastAsia="lt-LT"/>
              </w:rPr>
              <w:t>ar</w:t>
            </w:r>
            <w:r w:rsidR="00CF04A0" w:rsidRPr="00B86BF8">
              <w:rPr>
                <w:rFonts w:ascii="Times New Roman" w:hAnsi="Times New Roman"/>
                <w:lang w:eastAsia="lt-LT"/>
              </w:rPr>
              <w:t>)</w:t>
            </w:r>
            <w:r w:rsidR="00A82C7D" w:rsidRPr="00B86BF8">
              <w:rPr>
                <w:rFonts w:ascii="Times New Roman" w:hAnsi="Times New Roman"/>
                <w:lang w:eastAsia="lt-LT"/>
              </w:rPr>
              <w:t xml:space="preserve"> </w:t>
            </w:r>
            <w:r w:rsidR="000238E3" w:rsidRPr="00B86BF8">
              <w:rPr>
                <w:rFonts w:ascii="Times New Roman" w:hAnsi="Times New Roman"/>
                <w:lang w:eastAsia="lt-LT"/>
              </w:rPr>
              <w:t xml:space="preserve">paskolų </w:t>
            </w:r>
            <w:r w:rsidR="00A82C7D" w:rsidRPr="00B86BF8">
              <w:rPr>
                <w:rFonts w:ascii="Times New Roman" w:hAnsi="Times New Roman"/>
                <w:lang w:eastAsia="lt-LT"/>
              </w:rPr>
              <w:t>rizikos vertinimo metodika</w:t>
            </w:r>
          </w:p>
          <w:p w14:paraId="1E6A6A20" w14:textId="77777777" w:rsidR="000238E3" w:rsidRPr="00B86BF8" w:rsidRDefault="000238E3" w:rsidP="00A82C7D">
            <w:pPr>
              <w:spacing w:after="0" w:line="240" w:lineRule="auto"/>
              <w:jc w:val="both"/>
              <w:rPr>
                <w:rFonts w:ascii="Times New Roman" w:hAnsi="Times New Roman"/>
                <w:lang w:eastAsia="lt-LT"/>
              </w:rPr>
            </w:pPr>
          </w:p>
        </w:tc>
        <w:tc>
          <w:tcPr>
            <w:tcW w:w="2693" w:type="dxa"/>
            <w:tcBorders>
              <w:top w:val="single" w:sz="4" w:space="0" w:color="auto"/>
              <w:left w:val="single" w:sz="4" w:space="0" w:color="auto"/>
              <w:bottom w:val="single" w:sz="4" w:space="0" w:color="auto"/>
              <w:right w:val="single" w:sz="4" w:space="0" w:color="auto"/>
            </w:tcBorders>
          </w:tcPr>
          <w:p w14:paraId="73761D59" w14:textId="77777777" w:rsidR="00446EF6" w:rsidRPr="00B86BF8" w:rsidRDefault="00446EF6" w:rsidP="00F707D3">
            <w:pPr>
              <w:spacing w:after="0" w:line="240" w:lineRule="auto"/>
              <w:jc w:val="both"/>
              <w:rPr>
                <w:rFonts w:ascii="Times New Roman" w:hAnsi="Times New Roman"/>
                <w:lang w:eastAsia="lt-LT"/>
              </w:rPr>
            </w:pPr>
          </w:p>
        </w:tc>
      </w:tr>
    </w:tbl>
    <w:p w14:paraId="56638D24" w14:textId="77777777" w:rsidR="00F707D3" w:rsidRPr="00B86BF8"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442A8D6C" w14:textId="77777777" w:rsidR="00A82C7D" w:rsidRPr="00B86BF8" w:rsidRDefault="00A82C7D" w:rsidP="00F707D3">
      <w:pPr>
        <w:tabs>
          <w:tab w:val="left" w:pos="993"/>
        </w:tabs>
        <w:spacing w:after="0" w:line="240" w:lineRule="auto"/>
        <w:ind w:firstLine="709"/>
        <w:jc w:val="both"/>
        <w:rPr>
          <w:rFonts w:ascii="Times New Roman" w:hAnsi="Times New Roman"/>
          <w:lang w:eastAsia="lt-LT"/>
        </w:rPr>
      </w:pPr>
    </w:p>
    <w:p w14:paraId="2F803EEE" w14:textId="77777777" w:rsidR="00F707D3" w:rsidRPr="00B86BF8" w:rsidRDefault="00F707D3" w:rsidP="00F707D3">
      <w:pPr>
        <w:spacing w:after="0" w:line="240" w:lineRule="auto"/>
        <w:ind w:firstLine="720"/>
        <w:jc w:val="both"/>
        <w:rPr>
          <w:rFonts w:ascii="Times New Roman" w:hAnsi="Times New Roman"/>
          <w:lang w:eastAsia="lt-LT"/>
        </w:rPr>
      </w:pPr>
    </w:p>
    <w:p w14:paraId="65FAEA01" w14:textId="77777777" w:rsidR="00035106" w:rsidRPr="00B86BF8" w:rsidRDefault="00035106" w:rsidP="00F707D3">
      <w:pPr>
        <w:spacing w:after="0" w:line="240" w:lineRule="auto"/>
        <w:ind w:firstLine="720"/>
        <w:jc w:val="both"/>
        <w:rPr>
          <w:rFonts w:ascii="Times New Roman" w:hAnsi="Times New Roman"/>
          <w:lang w:eastAsia="lt-LT"/>
        </w:rPr>
      </w:pPr>
    </w:p>
    <w:p w14:paraId="65F01562" w14:textId="77777777" w:rsidR="00035106" w:rsidRPr="00B86BF8" w:rsidRDefault="00035106" w:rsidP="00F707D3">
      <w:pPr>
        <w:spacing w:after="0" w:line="240" w:lineRule="auto"/>
        <w:ind w:firstLine="720"/>
        <w:jc w:val="both"/>
        <w:rPr>
          <w:rFonts w:ascii="Times New Roman" w:hAnsi="Times New Roman"/>
          <w:lang w:eastAsia="lt-LT"/>
        </w:rPr>
      </w:pPr>
    </w:p>
    <w:p w14:paraId="46713574" w14:textId="77777777" w:rsidR="00035106" w:rsidRPr="00B86BF8" w:rsidRDefault="00035106" w:rsidP="00F707D3">
      <w:pPr>
        <w:spacing w:after="0" w:line="240" w:lineRule="auto"/>
        <w:ind w:firstLine="720"/>
        <w:jc w:val="both"/>
        <w:rPr>
          <w:rFonts w:ascii="Times New Roman" w:hAnsi="Times New Roman"/>
          <w:lang w:eastAsia="lt-LT"/>
        </w:rPr>
      </w:pPr>
    </w:p>
    <w:p w14:paraId="001C8FB7" w14:textId="77777777" w:rsidR="00035106" w:rsidRPr="00B86BF8" w:rsidRDefault="00035106" w:rsidP="00F707D3">
      <w:pPr>
        <w:spacing w:after="0" w:line="240" w:lineRule="auto"/>
        <w:ind w:firstLine="720"/>
        <w:jc w:val="both"/>
        <w:rPr>
          <w:rFonts w:ascii="Times New Roman" w:hAnsi="Times New Roman"/>
          <w:lang w:eastAsia="lt-LT"/>
        </w:rPr>
      </w:pPr>
    </w:p>
    <w:p w14:paraId="62C21A86" w14:textId="77777777" w:rsidR="00035106" w:rsidRPr="00B86BF8"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F707D3" w:rsidRPr="00B86BF8" w14:paraId="17C72595" w14:textId="77777777" w:rsidTr="00372765">
        <w:trPr>
          <w:trHeight w:val="324"/>
        </w:trPr>
        <w:tc>
          <w:tcPr>
            <w:tcW w:w="9828" w:type="dxa"/>
            <w:gridSpan w:val="7"/>
          </w:tcPr>
          <w:p w14:paraId="4B80659D" w14:textId="77777777" w:rsidR="00F707D3" w:rsidRPr="00B86BF8" w:rsidRDefault="00F707D3" w:rsidP="00F707D3">
            <w:pPr>
              <w:spacing w:after="0" w:line="240" w:lineRule="auto"/>
              <w:ind w:right="-108" w:firstLine="720"/>
              <w:jc w:val="both"/>
              <w:rPr>
                <w:rFonts w:ascii="Times New Roman" w:hAnsi="Times New Roman"/>
                <w:lang w:eastAsia="lt-LT"/>
              </w:rPr>
            </w:pPr>
          </w:p>
        </w:tc>
      </w:tr>
      <w:tr w:rsidR="00F707D3" w:rsidRPr="00B86BF8" w14:paraId="720DFA4D" w14:textId="77777777" w:rsidTr="00372765">
        <w:tc>
          <w:tcPr>
            <w:tcW w:w="2988" w:type="dxa"/>
          </w:tcPr>
          <w:p w14:paraId="4DF98E09" w14:textId="77777777" w:rsidR="00F707D3" w:rsidRPr="00B86BF8" w:rsidRDefault="00F707D3" w:rsidP="00F707D3">
            <w:pPr>
              <w:spacing w:after="0" w:line="240" w:lineRule="auto"/>
              <w:jc w:val="both"/>
              <w:rPr>
                <w:rFonts w:ascii="Times New Roman" w:hAnsi="Times New Roman"/>
                <w:lang w:eastAsia="lt-LT"/>
              </w:rPr>
            </w:pPr>
          </w:p>
        </w:tc>
        <w:tc>
          <w:tcPr>
            <w:tcW w:w="6840" w:type="dxa"/>
            <w:gridSpan w:val="6"/>
          </w:tcPr>
          <w:p w14:paraId="79CABEFD" w14:textId="77777777" w:rsidR="00F707D3" w:rsidRPr="00B86BF8" w:rsidRDefault="00F707D3" w:rsidP="00F707D3">
            <w:pPr>
              <w:spacing w:after="0" w:line="240" w:lineRule="auto"/>
              <w:jc w:val="both"/>
              <w:rPr>
                <w:rFonts w:ascii="Times New Roman" w:hAnsi="Times New Roman"/>
                <w:i/>
                <w:lang w:eastAsia="lt-LT"/>
              </w:rPr>
            </w:pPr>
          </w:p>
        </w:tc>
      </w:tr>
      <w:tr w:rsidR="00F707D3" w:rsidRPr="00B86BF8" w14:paraId="601553CB" w14:textId="77777777" w:rsidTr="00372765">
        <w:trPr>
          <w:trHeight w:val="285"/>
        </w:trPr>
        <w:tc>
          <w:tcPr>
            <w:tcW w:w="3284" w:type="dxa"/>
            <w:gridSpan w:val="2"/>
            <w:tcBorders>
              <w:top w:val="nil"/>
              <w:left w:val="nil"/>
              <w:bottom w:val="single" w:sz="4" w:space="0" w:color="auto"/>
              <w:right w:val="nil"/>
            </w:tcBorders>
          </w:tcPr>
          <w:p w14:paraId="1D4848B2" w14:textId="77777777" w:rsidR="00F707D3" w:rsidRPr="00B86BF8" w:rsidRDefault="00F707D3" w:rsidP="00F707D3">
            <w:pPr>
              <w:spacing w:after="0" w:line="240" w:lineRule="auto"/>
              <w:ind w:right="-1"/>
              <w:rPr>
                <w:rFonts w:ascii="Times New Roman" w:hAnsi="Times New Roman"/>
                <w:lang w:eastAsia="lt-LT"/>
              </w:rPr>
            </w:pPr>
          </w:p>
        </w:tc>
        <w:tc>
          <w:tcPr>
            <w:tcW w:w="604" w:type="dxa"/>
          </w:tcPr>
          <w:p w14:paraId="79199DB7" w14:textId="77777777" w:rsidR="00F707D3" w:rsidRPr="00B86BF8"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66C47981" w14:textId="77777777" w:rsidR="00F707D3" w:rsidRPr="00B86BF8" w:rsidRDefault="00F707D3" w:rsidP="00F707D3">
            <w:pPr>
              <w:spacing w:after="0" w:line="240" w:lineRule="auto"/>
              <w:ind w:right="-1"/>
              <w:jc w:val="center"/>
              <w:rPr>
                <w:rFonts w:ascii="Times New Roman" w:hAnsi="Times New Roman"/>
                <w:lang w:eastAsia="lt-LT"/>
              </w:rPr>
            </w:pPr>
          </w:p>
        </w:tc>
        <w:tc>
          <w:tcPr>
            <w:tcW w:w="701" w:type="dxa"/>
          </w:tcPr>
          <w:p w14:paraId="1A7625CE" w14:textId="77777777" w:rsidR="00F707D3" w:rsidRPr="00B86BF8"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4194FE71" w14:textId="77777777" w:rsidR="00F707D3" w:rsidRPr="00B86BF8" w:rsidRDefault="00F707D3" w:rsidP="00F707D3">
            <w:pPr>
              <w:spacing w:after="0" w:line="240" w:lineRule="auto"/>
              <w:ind w:right="-1"/>
              <w:jc w:val="right"/>
              <w:rPr>
                <w:rFonts w:ascii="Times New Roman" w:hAnsi="Times New Roman"/>
                <w:lang w:eastAsia="lt-LT"/>
              </w:rPr>
            </w:pPr>
          </w:p>
        </w:tc>
        <w:tc>
          <w:tcPr>
            <w:tcW w:w="648" w:type="dxa"/>
          </w:tcPr>
          <w:p w14:paraId="0BF20E25" w14:textId="77777777" w:rsidR="00F707D3" w:rsidRPr="00B86BF8" w:rsidRDefault="00F707D3" w:rsidP="00F707D3">
            <w:pPr>
              <w:spacing w:after="0" w:line="240" w:lineRule="auto"/>
              <w:ind w:right="-1"/>
              <w:jc w:val="right"/>
              <w:rPr>
                <w:rFonts w:ascii="Times New Roman" w:hAnsi="Times New Roman"/>
                <w:lang w:eastAsia="lt-LT"/>
              </w:rPr>
            </w:pPr>
          </w:p>
        </w:tc>
      </w:tr>
      <w:tr w:rsidR="00F707D3" w:rsidRPr="00B86BF8" w14:paraId="41EA8445" w14:textId="77777777" w:rsidTr="00372765">
        <w:trPr>
          <w:trHeight w:val="186"/>
        </w:trPr>
        <w:tc>
          <w:tcPr>
            <w:tcW w:w="3284" w:type="dxa"/>
            <w:gridSpan w:val="2"/>
            <w:tcBorders>
              <w:top w:val="single" w:sz="4" w:space="0" w:color="auto"/>
              <w:left w:val="nil"/>
              <w:bottom w:val="nil"/>
              <w:right w:val="nil"/>
            </w:tcBorders>
          </w:tcPr>
          <w:p w14:paraId="2D3C6EFC" w14:textId="77777777" w:rsidR="00F707D3" w:rsidRPr="00B86BF8" w:rsidRDefault="00F707D3" w:rsidP="00A82C7D">
            <w:pPr>
              <w:snapToGrid w:val="0"/>
              <w:spacing w:after="0" w:line="240" w:lineRule="auto"/>
              <w:rPr>
                <w:rFonts w:ascii="Times New Roman" w:eastAsia="Times New Roman" w:hAnsi="Times New Roman"/>
                <w:position w:val="6"/>
              </w:rPr>
            </w:pPr>
            <w:r w:rsidRPr="00B86BF8">
              <w:rPr>
                <w:rFonts w:ascii="Times New Roman" w:eastAsia="Times New Roman" w:hAnsi="Times New Roman"/>
                <w:position w:val="6"/>
              </w:rPr>
              <w:t>(Pareigų pavadinimas)</w:t>
            </w:r>
          </w:p>
        </w:tc>
        <w:tc>
          <w:tcPr>
            <w:tcW w:w="604" w:type="dxa"/>
          </w:tcPr>
          <w:p w14:paraId="027A8408" w14:textId="77777777" w:rsidR="00F707D3" w:rsidRPr="00B86BF8"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3127C926" w14:textId="77777777" w:rsidR="00F707D3" w:rsidRPr="00B86BF8" w:rsidRDefault="00F707D3" w:rsidP="00A82C7D">
            <w:pPr>
              <w:spacing w:after="0" w:line="240" w:lineRule="auto"/>
              <w:ind w:right="-1"/>
              <w:jc w:val="center"/>
              <w:rPr>
                <w:rFonts w:ascii="Times New Roman" w:hAnsi="Times New Roman"/>
                <w:lang w:eastAsia="lt-LT"/>
              </w:rPr>
            </w:pPr>
            <w:r w:rsidRPr="00B86BF8">
              <w:rPr>
                <w:rFonts w:ascii="Times New Roman" w:hAnsi="Times New Roman"/>
                <w:position w:val="6"/>
                <w:lang w:eastAsia="lt-LT"/>
              </w:rPr>
              <w:t>(Parašas)</w:t>
            </w:r>
            <w:r w:rsidRPr="00B86BF8">
              <w:rPr>
                <w:rFonts w:ascii="Times New Roman" w:hAnsi="Times New Roman"/>
                <w:i/>
                <w:lang w:eastAsia="lt-LT"/>
              </w:rPr>
              <w:t xml:space="preserve"> </w:t>
            </w:r>
          </w:p>
        </w:tc>
        <w:tc>
          <w:tcPr>
            <w:tcW w:w="701" w:type="dxa"/>
          </w:tcPr>
          <w:p w14:paraId="5E5C9105" w14:textId="77777777" w:rsidR="00F707D3" w:rsidRPr="00B86BF8"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203451F9" w14:textId="77777777" w:rsidR="00F707D3" w:rsidRPr="00B86BF8" w:rsidRDefault="00F707D3" w:rsidP="00A82C7D">
            <w:pPr>
              <w:spacing w:after="0" w:line="240" w:lineRule="auto"/>
              <w:ind w:right="-1"/>
              <w:jc w:val="center"/>
              <w:rPr>
                <w:rFonts w:ascii="Times New Roman" w:hAnsi="Times New Roman"/>
                <w:lang w:eastAsia="lt-LT"/>
              </w:rPr>
            </w:pPr>
            <w:r w:rsidRPr="00B86BF8">
              <w:rPr>
                <w:rFonts w:ascii="Times New Roman" w:hAnsi="Times New Roman"/>
                <w:position w:val="6"/>
                <w:lang w:eastAsia="lt-LT"/>
              </w:rPr>
              <w:t>(Vardas ir pavardė)</w:t>
            </w:r>
            <w:r w:rsidRPr="00B86BF8">
              <w:rPr>
                <w:rFonts w:ascii="Times New Roman" w:hAnsi="Times New Roman"/>
                <w:i/>
                <w:lang w:eastAsia="lt-LT"/>
              </w:rPr>
              <w:t xml:space="preserve"> </w:t>
            </w:r>
          </w:p>
        </w:tc>
        <w:tc>
          <w:tcPr>
            <w:tcW w:w="648" w:type="dxa"/>
          </w:tcPr>
          <w:p w14:paraId="1239792E" w14:textId="77777777" w:rsidR="00F707D3" w:rsidRPr="00B86BF8" w:rsidRDefault="00F707D3" w:rsidP="00F707D3">
            <w:pPr>
              <w:spacing w:after="0" w:line="240" w:lineRule="auto"/>
              <w:ind w:right="-1"/>
              <w:jc w:val="center"/>
              <w:rPr>
                <w:rFonts w:ascii="Times New Roman" w:hAnsi="Times New Roman"/>
                <w:lang w:eastAsia="lt-LT"/>
              </w:rPr>
            </w:pPr>
          </w:p>
        </w:tc>
      </w:tr>
    </w:tbl>
    <w:p w14:paraId="5CE12B7F" w14:textId="77777777" w:rsidR="00F707D3" w:rsidRPr="00B86BF8" w:rsidRDefault="00F707D3" w:rsidP="00F707D3">
      <w:pPr>
        <w:spacing w:after="0" w:line="240" w:lineRule="auto"/>
        <w:ind w:firstLine="851"/>
        <w:jc w:val="both"/>
        <w:rPr>
          <w:rFonts w:ascii="Times New Roman" w:hAnsi="Times New Roman"/>
          <w:lang w:eastAsia="lt-LT"/>
        </w:rPr>
      </w:pPr>
    </w:p>
    <w:p w14:paraId="454E9E93" w14:textId="77777777" w:rsidR="006E7051" w:rsidRPr="00B86BF8" w:rsidRDefault="006E7051">
      <w:pPr>
        <w:spacing w:after="0" w:line="240" w:lineRule="auto"/>
        <w:rPr>
          <w:rFonts w:ascii="Times New Roman" w:hAnsi="Times New Roman"/>
          <w:sz w:val="24"/>
          <w:szCs w:val="24"/>
        </w:rPr>
        <w:sectPr w:rsidR="006E7051" w:rsidRPr="00B86BF8" w:rsidSect="000F0B6F">
          <w:pgSz w:w="11906" w:h="16838"/>
          <w:pgMar w:top="993" w:right="1416" w:bottom="709" w:left="1701" w:header="454" w:footer="567" w:gutter="0"/>
          <w:cols w:space="1296"/>
          <w:docGrid w:linePitch="360"/>
        </w:sectPr>
      </w:pPr>
    </w:p>
    <w:p w14:paraId="74263568" w14:textId="77777777" w:rsidR="00F855DD" w:rsidRPr="00B86BF8" w:rsidRDefault="006E1A5C" w:rsidP="006E1A5C">
      <w:pPr>
        <w:spacing w:after="0" w:line="240" w:lineRule="auto"/>
        <w:jc w:val="right"/>
        <w:rPr>
          <w:rFonts w:ascii="Times New Roman" w:hAnsi="Times New Roman"/>
          <w:sz w:val="24"/>
          <w:szCs w:val="24"/>
        </w:rPr>
      </w:pPr>
      <w:r w:rsidRPr="00B86BF8">
        <w:rPr>
          <w:rFonts w:ascii="Times New Roman" w:hAnsi="Times New Roman"/>
          <w:sz w:val="24"/>
          <w:szCs w:val="24"/>
        </w:rPr>
        <w:lastRenderedPageBreak/>
        <w:t xml:space="preserve">Prašymo </w:t>
      </w:r>
      <w:r w:rsidRPr="00B86BF8">
        <w:rPr>
          <w:rFonts w:ascii="Times New Roman" w:eastAsia="Times New Roman" w:hAnsi="Times New Roman"/>
          <w:lang w:eastAsia="lt-LT"/>
        </w:rPr>
        <w:t>1</w:t>
      </w:r>
      <w:r w:rsidRPr="00B86BF8">
        <w:rPr>
          <w:rFonts w:ascii="Times New Roman" w:hAnsi="Times New Roman"/>
          <w:sz w:val="24"/>
          <w:szCs w:val="24"/>
        </w:rPr>
        <w:t xml:space="preserve"> priedas</w:t>
      </w:r>
    </w:p>
    <w:p w14:paraId="78DBC5F9" w14:textId="77777777" w:rsidR="00FE7CF5" w:rsidRPr="00B86BF8" w:rsidRDefault="00FE7CF5" w:rsidP="006E1A5C">
      <w:pPr>
        <w:spacing w:after="0" w:line="240" w:lineRule="auto"/>
        <w:jc w:val="right"/>
        <w:rPr>
          <w:rFonts w:ascii="Times New Roman" w:hAnsi="Times New Roman"/>
          <w:sz w:val="24"/>
          <w:szCs w:val="24"/>
        </w:rPr>
      </w:pPr>
    </w:p>
    <w:p w14:paraId="2246D094" w14:textId="77777777" w:rsidR="00FE7CF5" w:rsidRPr="00B86BF8" w:rsidRDefault="00FE7CF5" w:rsidP="00FE7CF5">
      <w:pPr>
        <w:spacing w:after="0" w:line="240" w:lineRule="auto"/>
        <w:jc w:val="center"/>
        <w:rPr>
          <w:rFonts w:ascii="Times New Roman" w:hAnsi="Times New Roman"/>
          <w:b/>
          <w:sz w:val="24"/>
          <w:szCs w:val="24"/>
        </w:rPr>
      </w:pPr>
      <w:r w:rsidRPr="00B86BF8">
        <w:rPr>
          <w:rFonts w:ascii="Times New Roman" w:hAnsi="Times New Roman"/>
          <w:b/>
          <w:sz w:val="24"/>
          <w:szCs w:val="24"/>
        </w:rPr>
        <w:t>PAŽYMA APIE ATITIKIMĄ TINKAMUMO REIKALAVIMAMS</w:t>
      </w:r>
    </w:p>
    <w:p w14:paraId="11BC7FA1" w14:textId="77777777" w:rsidR="006E1A5C" w:rsidRPr="00B86BF8" w:rsidRDefault="006E1A5C" w:rsidP="006E1A5C">
      <w:pPr>
        <w:spacing w:after="0" w:line="240" w:lineRule="auto"/>
        <w:jc w:val="right"/>
        <w:rPr>
          <w:rFonts w:ascii="Times New Roman" w:hAnsi="Times New Roman"/>
          <w:sz w:val="24"/>
          <w:szCs w:val="24"/>
        </w:rPr>
      </w:pPr>
    </w:p>
    <w:tbl>
      <w:tblPr>
        <w:tblStyle w:val="TableGrid2"/>
        <w:tblW w:w="15304" w:type="dxa"/>
        <w:tblLook w:val="04A0" w:firstRow="1" w:lastRow="0" w:firstColumn="1" w:lastColumn="0" w:noHBand="0" w:noVBand="1"/>
      </w:tblPr>
      <w:tblGrid>
        <w:gridCol w:w="3539"/>
        <w:gridCol w:w="3260"/>
        <w:gridCol w:w="4395"/>
        <w:gridCol w:w="4110"/>
      </w:tblGrid>
      <w:tr w:rsidR="006E1A5C" w:rsidRPr="00B86BF8" w14:paraId="2ED08171" w14:textId="77777777" w:rsidTr="00FE7CF5">
        <w:tc>
          <w:tcPr>
            <w:tcW w:w="3539" w:type="dxa"/>
          </w:tcPr>
          <w:p w14:paraId="0779105E" w14:textId="76958D0B" w:rsidR="006E1A5C" w:rsidRPr="00B86BF8" w:rsidRDefault="006E1A5C" w:rsidP="006E1A5C">
            <w:pPr>
              <w:spacing w:after="0"/>
              <w:jc w:val="both"/>
              <w:rPr>
                <w:rFonts w:ascii="Times New Roman" w:hAnsi="Times New Roman" w:cs="Times New Roman"/>
                <w:b/>
                <w:bCs/>
              </w:rPr>
            </w:pPr>
            <w:r w:rsidRPr="00B86BF8">
              <w:rPr>
                <w:rFonts w:ascii="Times New Roman" w:hAnsi="Times New Roman" w:cs="Times New Roman"/>
                <w:b/>
                <w:bCs/>
              </w:rPr>
              <w:t>Kriterijus</w:t>
            </w:r>
            <w:r w:rsidR="005B72F7">
              <w:rPr>
                <w:rFonts w:ascii="Times New Roman" w:hAnsi="Times New Roman" w:cs="Times New Roman"/>
                <w:b/>
                <w:bCs/>
              </w:rPr>
              <w:t>/teikiama informacija</w:t>
            </w:r>
          </w:p>
        </w:tc>
        <w:tc>
          <w:tcPr>
            <w:tcW w:w="3260" w:type="dxa"/>
          </w:tcPr>
          <w:p w14:paraId="4A75A78F" w14:textId="77777777" w:rsidR="006E1A5C" w:rsidRPr="00B86BF8" w:rsidRDefault="006E1A5C" w:rsidP="006E1A5C">
            <w:pPr>
              <w:spacing w:after="0"/>
              <w:jc w:val="both"/>
              <w:rPr>
                <w:rFonts w:ascii="Times New Roman" w:hAnsi="Times New Roman" w:cs="Times New Roman"/>
                <w:b/>
                <w:bCs/>
              </w:rPr>
            </w:pPr>
            <w:r w:rsidRPr="00B86BF8">
              <w:rPr>
                <w:rFonts w:ascii="Times New Roman" w:hAnsi="Times New Roman" w:cs="Times New Roman"/>
                <w:b/>
                <w:bCs/>
              </w:rPr>
              <w:t>Lietuvos banko prižiūrimas FT</w:t>
            </w:r>
          </w:p>
        </w:tc>
        <w:tc>
          <w:tcPr>
            <w:tcW w:w="4395" w:type="dxa"/>
          </w:tcPr>
          <w:p w14:paraId="1EAA08BF" w14:textId="77777777" w:rsidR="006E1A5C" w:rsidRPr="00B86BF8" w:rsidRDefault="006E1A5C" w:rsidP="006E1A5C">
            <w:pPr>
              <w:spacing w:after="0"/>
              <w:jc w:val="both"/>
              <w:rPr>
                <w:rFonts w:ascii="Times New Roman" w:hAnsi="Times New Roman" w:cs="Times New Roman"/>
                <w:b/>
                <w:bCs/>
              </w:rPr>
            </w:pPr>
            <w:r w:rsidRPr="00B86BF8">
              <w:rPr>
                <w:rFonts w:ascii="Times New Roman" w:hAnsi="Times New Roman" w:cs="Times New Roman"/>
                <w:b/>
                <w:bCs/>
              </w:rPr>
              <w:t>Lietuvos banko neprižiūrimas FT</w:t>
            </w:r>
          </w:p>
        </w:tc>
        <w:tc>
          <w:tcPr>
            <w:tcW w:w="4110" w:type="dxa"/>
          </w:tcPr>
          <w:p w14:paraId="7C1E3B29" w14:textId="77777777" w:rsidR="006E1A5C" w:rsidRPr="00B86BF8" w:rsidRDefault="009D0109" w:rsidP="006E1A5C">
            <w:pPr>
              <w:spacing w:after="0"/>
              <w:jc w:val="both"/>
              <w:rPr>
                <w:rFonts w:ascii="Times New Roman" w:hAnsi="Times New Roman"/>
                <w:b/>
                <w:bCs/>
              </w:rPr>
            </w:pPr>
            <w:r w:rsidRPr="00B86BF8">
              <w:rPr>
                <w:rFonts w:ascii="Times New Roman" w:hAnsi="Times New Roman"/>
                <w:b/>
                <w:bCs/>
              </w:rPr>
              <w:t xml:space="preserve">Žemiau šioje skiltyje įrašomi žodžiai:  </w:t>
            </w:r>
            <w:r w:rsidR="00A91FD3" w:rsidRPr="00B86BF8">
              <w:rPr>
                <w:rFonts w:ascii="Times New Roman" w:hAnsi="Times New Roman"/>
                <w:b/>
                <w:bCs/>
              </w:rPr>
              <w:t>„</w:t>
            </w:r>
            <w:r w:rsidRPr="00B86BF8">
              <w:rPr>
                <w:rFonts w:ascii="Times New Roman" w:hAnsi="Times New Roman"/>
                <w:b/>
                <w:bCs/>
              </w:rPr>
              <w:t>K</w:t>
            </w:r>
            <w:r w:rsidR="00FE7CF5" w:rsidRPr="00B86BF8">
              <w:rPr>
                <w:rFonts w:ascii="Times New Roman" w:hAnsi="Times New Roman"/>
                <w:b/>
                <w:bCs/>
              </w:rPr>
              <w:t>riterijų atitinkame</w:t>
            </w:r>
            <w:r w:rsidR="006E1A5C" w:rsidRPr="00B86BF8">
              <w:rPr>
                <w:rFonts w:ascii="Times New Roman" w:hAnsi="Times New Roman"/>
                <w:b/>
                <w:bCs/>
              </w:rPr>
              <w:t>“ ir</w:t>
            </w:r>
            <w:r w:rsidR="00430C78" w:rsidRPr="00B86BF8">
              <w:rPr>
                <w:rFonts w:ascii="Times New Roman" w:hAnsi="Times New Roman"/>
                <w:b/>
                <w:bCs/>
              </w:rPr>
              <w:t xml:space="preserve"> </w:t>
            </w:r>
            <w:r w:rsidR="006E1A5C" w:rsidRPr="00B86BF8">
              <w:rPr>
                <w:rFonts w:ascii="Times New Roman" w:hAnsi="Times New Roman"/>
                <w:b/>
                <w:bCs/>
              </w:rPr>
              <w:t>nurodoma kur</w:t>
            </w:r>
            <w:r w:rsidRPr="00B86BF8">
              <w:rPr>
                <w:rFonts w:ascii="Times New Roman" w:hAnsi="Times New Roman"/>
                <w:b/>
                <w:bCs/>
              </w:rPr>
              <w:t xml:space="preserve"> pateikiame</w:t>
            </w:r>
            <w:r w:rsidR="006E1A5C" w:rsidRPr="00B86BF8">
              <w:rPr>
                <w:rFonts w:ascii="Times New Roman" w:hAnsi="Times New Roman"/>
                <w:b/>
                <w:bCs/>
              </w:rPr>
              <w:t xml:space="preserve"> atitikimą patvirtinanti informacija </w:t>
            </w:r>
            <w:r w:rsidRPr="00B86BF8">
              <w:rPr>
                <w:rFonts w:ascii="Times New Roman" w:hAnsi="Times New Roman"/>
                <w:b/>
                <w:bCs/>
              </w:rPr>
              <w:t>arba „Kriterijaus neatitinkame“ ir pateikiamas paaiškinimas</w:t>
            </w:r>
          </w:p>
        </w:tc>
      </w:tr>
      <w:tr w:rsidR="006E1A5C" w:rsidRPr="00B86BF8" w14:paraId="05000730" w14:textId="77777777" w:rsidTr="00FE7CF5">
        <w:tc>
          <w:tcPr>
            <w:tcW w:w="3539" w:type="dxa"/>
          </w:tcPr>
          <w:p w14:paraId="1002951C" w14:textId="77777777" w:rsidR="006E1A5C" w:rsidRPr="00B86BF8" w:rsidRDefault="006E1A5C" w:rsidP="006E1A5C">
            <w:pPr>
              <w:spacing w:after="0"/>
              <w:jc w:val="both"/>
              <w:rPr>
                <w:rFonts w:ascii="Times New Roman" w:hAnsi="Times New Roman" w:cs="Times New Roman"/>
                <w:b/>
                <w:bCs/>
              </w:rPr>
            </w:pPr>
            <w:r w:rsidRPr="00B86BF8">
              <w:rPr>
                <w:rFonts w:ascii="Times New Roman" w:hAnsi="Times New Roman"/>
                <w:b/>
                <w:bCs/>
              </w:rPr>
              <w:t>FT yra finansų įstaiga, veikianti pagal Lietuvos Respublikos finansų įstaigų įstatymą, turinti teisę teikti finansines paslaugas</w:t>
            </w:r>
          </w:p>
        </w:tc>
        <w:tc>
          <w:tcPr>
            <w:tcW w:w="3260" w:type="dxa"/>
          </w:tcPr>
          <w:p w14:paraId="4E1F0A78"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FT yra Lietuvos banko prižiūrimų finansų rinkų dalyvių sąraše</w:t>
            </w:r>
          </w:p>
        </w:tc>
        <w:tc>
          <w:tcPr>
            <w:tcW w:w="4395" w:type="dxa"/>
          </w:tcPr>
          <w:p w14:paraId="17E17962"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FT turi teisę teikti finansavimo paslaugas</w:t>
            </w:r>
          </w:p>
        </w:tc>
        <w:tc>
          <w:tcPr>
            <w:tcW w:w="4110" w:type="dxa"/>
          </w:tcPr>
          <w:p w14:paraId="3FFA6BA2" w14:textId="77777777" w:rsidR="006E1A5C" w:rsidRPr="00B86BF8" w:rsidRDefault="006E1A5C" w:rsidP="006E1A5C">
            <w:pPr>
              <w:spacing w:after="0"/>
              <w:jc w:val="both"/>
              <w:rPr>
                <w:rFonts w:ascii="Times New Roman" w:hAnsi="Times New Roman"/>
              </w:rPr>
            </w:pPr>
          </w:p>
        </w:tc>
      </w:tr>
      <w:tr w:rsidR="006E1A5C" w:rsidRPr="00B86BF8" w14:paraId="6FA83466" w14:textId="77777777" w:rsidTr="00FE7CF5">
        <w:tc>
          <w:tcPr>
            <w:tcW w:w="3539" w:type="dxa"/>
          </w:tcPr>
          <w:p w14:paraId="6D206E0A" w14:textId="77777777" w:rsidR="006E1A5C" w:rsidRPr="00B86BF8" w:rsidRDefault="006E1A5C" w:rsidP="006E1A5C">
            <w:pPr>
              <w:spacing w:after="0"/>
              <w:jc w:val="both"/>
              <w:rPr>
                <w:rFonts w:ascii="Times New Roman" w:hAnsi="Times New Roman" w:cs="Times New Roman"/>
                <w:b/>
                <w:bCs/>
              </w:rPr>
            </w:pPr>
            <w:r w:rsidRPr="00B86BF8">
              <w:rPr>
                <w:rFonts w:ascii="Times New Roman" w:hAnsi="Times New Roman" w:cs="Times New Roman"/>
                <w:b/>
                <w:bCs/>
              </w:rPr>
              <w:t>FT ir jo grupės valdymo struktūra</w:t>
            </w:r>
          </w:p>
        </w:tc>
        <w:tc>
          <w:tcPr>
            <w:tcW w:w="3260" w:type="dxa"/>
          </w:tcPr>
          <w:p w14:paraId="102A58EB"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Nereikia pateikti</w:t>
            </w:r>
          </w:p>
        </w:tc>
        <w:tc>
          <w:tcPr>
            <w:tcW w:w="4395" w:type="dxa"/>
          </w:tcPr>
          <w:p w14:paraId="43A1D669"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Privaloma pateikti</w:t>
            </w:r>
          </w:p>
        </w:tc>
        <w:tc>
          <w:tcPr>
            <w:tcW w:w="4110" w:type="dxa"/>
          </w:tcPr>
          <w:p w14:paraId="32AB45F9" w14:textId="77777777" w:rsidR="006E1A5C" w:rsidRPr="00B86BF8" w:rsidRDefault="006E1A5C" w:rsidP="006E1A5C">
            <w:pPr>
              <w:spacing w:after="0"/>
              <w:jc w:val="both"/>
              <w:rPr>
                <w:rFonts w:ascii="Times New Roman" w:hAnsi="Times New Roman"/>
              </w:rPr>
            </w:pPr>
          </w:p>
        </w:tc>
      </w:tr>
      <w:tr w:rsidR="006E1A5C" w:rsidRPr="00B86BF8" w14:paraId="63273F60" w14:textId="77777777" w:rsidTr="00FE7CF5">
        <w:trPr>
          <w:trHeight w:val="1833"/>
        </w:trPr>
        <w:tc>
          <w:tcPr>
            <w:tcW w:w="3539" w:type="dxa"/>
            <w:vMerge w:val="restart"/>
          </w:tcPr>
          <w:p w14:paraId="22EF302E" w14:textId="77777777" w:rsidR="006E1A5C" w:rsidRPr="00B86BF8" w:rsidRDefault="006E1A5C" w:rsidP="006E1A5C">
            <w:pPr>
              <w:spacing w:after="0"/>
              <w:jc w:val="both"/>
              <w:rPr>
                <w:rFonts w:ascii="Times New Roman" w:hAnsi="Times New Roman" w:cs="Times New Roman"/>
                <w:b/>
                <w:bCs/>
              </w:rPr>
            </w:pPr>
            <w:r w:rsidRPr="00B86BF8">
              <w:rPr>
                <w:rFonts w:ascii="Times New Roman" w:hAnsi="Times New Roman" w:cs="Times New Roman"/>
                <w:b/>
                <w:bCs/>
              </w:rPr>
              <w:t>Patirtis ir reputacija</w:t>
            </w:r>
          </w:p>
        </w:tc>
        <w:tc>
          <w:tcPr>
            <w:tcW w:w="3260" w:type="dxa"/>
          </w:tcPr>
          <w:p w14:paraId="4D1829C1"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Neturi būti taikomos poveikio priemonės ar veiklos apribojimai remiantis Lietuvos banko duomenimis*</w:t>
            </w:r>
          </w:p>
        </w:tc>
        <w:tc>
          <w:tcPr>
            <w:tcW w:w="4395" w:type="dxa"/>
          </w:tcPr>
          <w:p w14:paraId="3306B12C" w14:textId="77777777" w:rsidR="006E1A5C" w:rsidRPr="00B86BF8" w:rsidRDefault="007B1C6C" w:rsidP="006E1A5C">
            <w:pPr>
              <w:spacing w:after="0"/>
              <w:jc w:val="both"/>
              <w:rPr>
                <w:rFonts w:ascii="Times New Roman" w:hAnsi="Times New Roman" w:cs="Times New Roman"/>
              </w:rPr>
            </w:pPr>
            <w:r w:rsidRPr="00B86BF8">
              <w:rPr>
                <w:rFonts w:ascii="Times New Roman" w:hAnsi="Times New Roman"/>
              </w:rPr>
              <w:t>FT, su juo susiję asmenys*** ir administracijos, valdymo ir (ar) priežiūros organų nariai, turintys FT atstovavimo, sprendimo ar kontrolės įgaliojimus, negali būti minimi su korupcija susijusiuose viešai prieinamuose finansinių institucijų sankcijų sąrašuose</w:t>
            </w:r>
          </w:p>
        </w:tc>
        <w:tc>
          <w:tcPr>
            <w:tcW w:w="4110" w:type="dxa"/>
          </w:tcPr>
          <w:p w14:paraId="22C7B995" w14:textId="77777777" w:rsidR="006E1A5C" w:rsidRPr="00B86BF8" w:rsidRDefault="006E1A5C" w:rsidP="006E1A5C">
            <w:pPr>
              <w:spacing w:after="0"/>
              <w:jc w:val="both"/>
              <w:rPr>
                <w:rFonts w:ascii="Times New Roman" w:hAnsi="Times New Roman"/>
              </w:rPr>
            </w:pPr>
          </w:p>
        </w:tc>
      </w:tr>
      <w:tr w:rsidR="006E1A5C" w:rsidRPr="00B86BF8" w14:paraId="0D054982" w14:textId="77777777" w:rsidTr="00FE7CF5">
        <w:tc>
          <w:tcPr>
            <w:tcW w:w="3539" w:type="dxa"/>
            <w:vMerge/>
          </w:tcPr>
          <w:p w14:paraId="73B73331" w14:textId="77777777" w:rsidR="006E1A5C" w:rsidRPr="00B86BF8" w:rsidRDefault="006E1A5C" w:rsidP="006E1A5C">
            <w:pPr>
              <w:spacing w:after="0"/>
              <w:jc w:val="both"/>
              <w:rPr>
                <w:rFonts w:ascii="Times New Roman" w:hAnsi="Times New Roman" w:cs="Times New Roman"/>
                <w:b/>
                <w:bCs/>
              </w:rPr>
            </w:pPr>
          </w:p>
        </w:tc>
        <w:tc>
          <w:tcPr>
            <w:tcW w:w="3260" w:type="dxa"/>
          </w:tcPr>
          <w:p w14:paraId="5633DF87"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Vadovai ir kreditavimo sprendimus priimantys asmenys turi turėti atitinkamą kvalifikaciją ir patirtį, leidžiančią tinkamai eiti pareigas*</w:t>
            </w:r>
          </w:p>
        </w:tc>
        <w:tc>
          <w:tcPr>
            <w:tcW w:w="4395" w:type="dxa"/>
          </w:tcPr>
          <w:p w14:paraId="1F131A48"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FT vadovai ir kreditavimo sprendimus priimantys asmenys turi turėti atitinkamą kvalifikaciją ir patirtį, leidžiančią tinkamai eiti pareigas</w:t>
            </w:r>
          </w:p>
          <w:p w14:paraId="3AE406A3" w14:textId="77777777" w:rsidR="006E1A5C" w:rsidRPr="00B86BF8" w:rsidRDefault="006E1A5C" w:rsidP="006E1A5C">
            <w:pPr>
              <w:spacing w:after="0"/>
              <w:jc w:val="both"/>
              <w:rPr>
                <w:rFonts w:ascii="Times New Roman" w:hAnsi="Times New Roman" w:cs="Times New Roman"/>
              </w:rPr>
            </w:pPr>
          </w:p>
        </w:tc>
        <w:tc>
          <w:tcPr>
            <w:tcW w:w="4110" w:type="dxa"/>
          </w:tcPr>
          <w:p w14:paraId="58DF63D2" w14:textId="77777777" w:rsidR="006E1A5C" w:rsidRPr="00B86BF8" w:rsidRDefault="006E1A5C" w:rsidP="006E1A5C">
            <w:pPr>
              <w:spacing w:after="0"/>
              <w:jc w:val="both"/>
              <w:rPr>
                <w:rFonts w:ascii="Times New Roman" w:hAnsi="Times New Roman"/>
              </w:rPr>
            </w:pPr>
          </w:p>
        </w:tc>
      </w:tr>
      <w:tr w:rsidR="006E1A5C" w:rsidRPr="00B86BF8" w14:paraId="4C623316" w14:textId="77777777" w:rsidTr="00FE7CF5">
        <w:tc>
          <w:tcPr>
            <w:tcW w:w="3539" w:type="dxa"/>
          </w:tcPr>
          <w:p w14:paraId="1EE1A804" w14:textId="77777777" w:rsidR="006E1A5C" w:rsidRPr="00B86BF8" w:rsidRDefault="006E1A5C" w:rsidP="006E1A5C">
            <w:pPr>
              <w:spacing w:after="0"/>
              <w:jc w:val="both"/>
              <w:rPr>
                <w:rFonts w:ascii="Times New Roman" w:hAnsi="Times New Roman"/>
                <w:b/>
                <w:bCs/>
              </w:rPr>
            </w:pPr>
          </w:p>
        </w:tc>
        <w:tc>
          <w:tcPr>
            <w:tcW w:w="3260" w:type="dxa"/>
          </w:tcPr>
          <w:p w14:paraId="51F7663D" w14:textId="77777777" w:rsidR="006E1A5C" w:rsidRPr="00B86BF8" w:rsidRDefault="006E1A5C" w:rsidP="006E1A5C">
            <w:pPr>
              <w:spacing w:after="0"/>
              <w:jc w:val="both"/>
              <w:rPr>
                <w:rFonts w:ascii="Times New Roman" w:hAnsi="Times New Roman"/>
              </w:rPr>
            </w:pPr>
            <w:r w:rsidRPr="00B86BF8">
              <w:rPr>
                <w:rFonts w:ascii="Times New Roman" w:hAnsi="Times New Roman" w:cs="Times New Roman"/>
              </w:rPr>
              <w:t>Administracijos, valdymo ir (ar) priežiūros organų nariai, turintys FT atstovavimo, sprendimo ar kontrolės įgaliojimus, turi būti nepriekaištingos reputacijos*</w:t>
            </w:r>
          </w:p>
        </w:tc>
        <w:tc>
          <w:tcPr>
            <w:tcW w:w="4395" w:type="dxa"/>
          </w:tcPr>
          <w:p w14:paraId="1B1A0243" w14:textId="77777777" w:rsidR="006E1A5C" w:rsidRPr="00B86BF8" w:rsidRDefault="006E1A5C" w:rsidP="006E1A5C">
            <w:pPr>
              <w:spacing w:after="0"/>
              <w:jc w:val="both"/>
              <w:rPr>
                <w:rFonts w:ascii="Times New Roman" w:hAnsi="Times New Roman"/>
                <w:strike/>
              </w:rPr>
            </w:pPr>
            <w:r w:rsidRPr="00B86BF8">
              <w:rPr>
                <w:rFonts w:ascii="Times New Roman" w:hAnsi="Times New Roman" w:cs="Times New Roman"/>
              </w:rPr>
              <w:t>FT administracijos, valdymo ir (ar) priežiūros organų nariai, turintys FT atstovavimo, sprendimo ar kontrolės įgaliojimus, turi būti nepriekaištingos reputacijos***</w:t>
            </w:r>
            <w:r w:rsidR="00C30CDB" w:rsidRPr="00B86BF8">
              <w:rPr>
                <w:rFonts w:ascii="Times New Roman" w:hAnsi="Times New Roman" w:cs="Times New Roman"/>
              </w:rPr>
              <w:t>*</w:t>
            </w:r>
          </w:p>
        </w:tc>
        <w:tc>
          <w:tcPr>
            <w:tcW w:w="4110" w:type="dxa"/>
          </w:tcPr>
          <w:p w14:paraId="4FD57E7C" w14:textId="77777777" w:rsidR="006E1A5C" w:rsidRPr="00B86BF8" w:rsidRDefault="006E1A5C" w:rsidP="006E1A5C">
            <w:pPr>
              <w:spacing w:after="0"/>
              <w:jc w:val="both"/>
              <w:rPr>
                <w:rFonts w:ascii="Times New Roman" w:hAnsi="Times New Roman"/>
              </w:rPr>
            </w:pPr>
          </w:p>
        </w:tc>
      </w:tr>
      <w:tr w:rsidR="006E1A5C" w:rsidRPr="00B86BF8" w14:paraId="6D17C34A" w14:textId="77777777" w:rsidTr="00FE7CF5">
        <w:tc>
          <w:tcPr>
            <w:tcW w:w="3539" w:type="dxa"/>
            <w:vMerge w:val="restart"/>
          </w:tcPr>
          <w:p w14:paraId="6E4EBD3D" w14:textId="77777777" w:rsidR="006E1A5C" w:rsidRPr="00B86BF8" w:rsidRDefault="006E1A5C" w:rsidP="006E1A5C">
            <w:pPr>
              <w:spacing w:after="0"/>
              <w:jc w:val="both"/>
              <w:rPr>
                <w:rFonts w:ascii="Times New Roman" w:hAnsi="Times New Roman" w:cs="Times New Roman"/>
                <w:b/>
                <w:bCs/>
              </w:rPr>
            </w:pPr>
            <w:r w:rsidRPr="00B86BF8">
              <w:rPr>
                <w:rFonts w:ascii="Times New Roman" w:hAnsi="Times New Roman" w:cs="Times New Roman"/>
                <w:b/>
                <w:bCs/>
              </w:rPr>
              <w:lastRenderedPageBreak/>
              <w:t>Finansiniai reikalavimai ir normatyvai</w:t>
            </w:r>
          </w:p>
        </w:tc>
        <w:tc>
          <w:tcPr>
            <w:tcW w:w="3260" w:type="dxa"/>
          </w:tcPr>
          <w:p w14:paraId="5DBEBCBA"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Lietuvos bankui turi būti pateikta audituota metinė finansinė atskaitomybė</w:t>
            </w:r>
            <w:r w:rsidRPr="00B86BF8">
              <w:rPr>
                <w:rFonts w:ascii="Times New Roman" w:hAnsi="Times New Roman"/>
              </w:rPr>
              <w:t>*</w:t>
            </w:r>
          </w:p>
        </w:tc>
        <w:tc>
          <w:tcPr>
            <w:tcW w:w="4395" w:type="dxa"/>
          </w:tcPr>
          <w:p w14:paraId="795B173D"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Audituota metinė finansinė atskaitomybė</w:t>
            </w:r>
          </w:p>
        </w:tc>
        <w:tc>
          <w:tcPr>
            <w:tcW w:w="4110" w:type="dxa"/>
            <w:vMerge w:val="restart"/>
          </w:tcPr>
          <w:p w14:paraId="3697800A" w14:textId="77777777" w:rsidR="006E1A5C" w:rsidRPr="00B86BF8" w:rsidRDefault="006E1A5C" w:rsidP="006E1A5C">
            <w:pPr>
              <w:spacing w:after="0"/>
              <w:jc w:val="both"/>
              <w:rPr>
                <w:rFonts w:ascii="Times New Roman" w:hAnsi="Times New Roman"/>
              </w:rPr>
            </w:pPr>
          </w:p>
        </w:tc>
      </w:tr>
      <w:tr w:rsidR="006E1A5C" w:rsidRPr="00B86BF8" w14:paraId="39BE6A20" w14:textId="77777777" w:rsidTr="00FE7CF5">
        <w:trPr>
          <w:trHeight w:val="2253"/>
        </w:trPr>
        <w:tc>
          <w:tcPr>
            <w:tcW w:w="3539" w:type="dxa"/>
            <w:vMerge/>
          </w:tcPr>
          <w:p w14:paraId="43ABEEE9" w14:textId="77777777" w:rsidR="006E1A5C" w:rsidRPr="00B86BF8" w:rsidRDefault="006E1A5C" w:rsidP="006E1A5C">
            <w:pPr>
              <w:spacing w:after="0"/>
              <w:jc w:val="both"/>
              <w:rPr>
                <w:rFonts w:ascii="Times New Roman" w:hAnsi="Times New Roman" w:cs="Times New Roman"/>
                <w:b/>
                <w:bCs/>
              </w:rPr>
            </w:pPr>
          </w:p>
        </w:tc>
        <w:tc>
          <w:tcPr>
            <w:tcW w:w="3260" w:type="dxa"/>
          </w:tcPr>
          <w:p w14:paraId="35F93264" w14:textId="77777777" w:rsidR="006E1A5C" w:rsidRPr="00B86BF8" w:rsidRDefault="00C30CDB" w:rsidP="006E1A5C">
            <w:pPr>
              <w:spacing w:after="0"/>
              <w:jc w:val="both"/>
              <w:rPr>
                <w:rFonts w:ascii="Times New Roman" w:hAnsi="Times New Roman" w:cs="Times New Roman"/>
              </w:rPr>
            </w:pPr>
            <w:r w:rsidRPr="00B86BF8">
              <w:rPr>
                <w:rFonts w:ascii="Times New Roman" w:hAnsi="Times New Roman" w:cs="Times New Roman"/>
              </w:rPr>
              <w:t>FT nėra taikomos Lietuvos banko poveikio priemonės, išskyrus įspėjimą*</w:t>
            </w:r>
          </w:p>
        </w:tc>
        <w:tc>
          <w:tcPr>
            <w:tcW w:w="4395" w:type="dxa"/>
          </w:tcPr>
          <w:p w14:paraId="340F06B0"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 xml:space="preserve">Minimalios </w:t>
            </w:r>
            <w:r w:rsidR="006F4B2B" w:rsidRPr="00B86BF8">
              <w:rPr>
                <w:rFonts w:ascii="Times New Roman" w:hAnsi="Times New Roman" w:cs="Times New Roman"/>
              </w:rPr>
              <w:t xml:space="preserve">metinės </w:t>
            </w:r>
            <w:r w:rsidRPr="00B86BF8">
              <w:rPr>
                <w:rFonts w:ascii="Times New Roman" w:hAnsi="Times New Roman" w:cs="Times New Roman"/>
              </w:rPr>
              <w:t>pajamos – ne mažiau kaip 100 000 EUR, iš jų ne mažiau kaip 50 proc. pajamų iš finansavimo veiklos</w:t>
            </w:r>
            <w:r w:rsidR="00C30CDB" w:rsidRPr="00B86BF8">
              <w:rPr>
                <w:rFonts w:ascii="Times New Roman" w:hAnsi="Times New Roman" w:cs="Times New Roman"/>
              </w:rPr>
              <w:t>.</w:t>
            </w:r>
          </w:p>
        </w:tc>
        <w:tc>
          <w:tcPr>
            <w:tcW w:w="4110" w:type="dxa"/>
            <w:vMerge/>
          </w:tcPr>
          <w:p w14:paraId="3F80580B" w14:textId="77777777" w:rsidR="006E1A5C" w:rsidRPr="00B86BF8" w:rsidRDefault="006E1A5C" w:rsidP="006E1A5C">
            <w:pPr>
              <w:spacing w:after="0"/>
              <w:jc w:val="both"/>
              <w:rPr>
                <w:rFonts w:ascii="Times New Roman" w:hAnsi="Times New Roman"/>
              </w:rPr>
            </w:pPr>
          </w:p>
        </w:tc>
      </w:tr>
      <w:tr w:rsidR="006E1A5C" w:rsidRPr="00B86BF8" w14:paraId="5F233FE0" w14:textId="77777777" w:rsidTr="00FE7CF5">
        <w:tc>
          <w:tcPr>
            <w:tcW w:w="3539" w:type="dxa"/>
            <w:vMerge/>
          </w:tcPr>
          <w:p w14:paraId="58FA1614" w14:textId="77777777" w:rsidR="006E1A5C" w:rsidRPr="00B86BF8" w:rsidRDefault="006E1A5C" w:rsidP="006E1A5C">
            <w:pPr>
              <w:spacing w:after="0"/>
              <w:jc w:val="both"/>
              <w:rPr>
                <w:rFonts w:ascii="Times New Roman" w:hAnsi="Times New Roman" w:cs="Times New Roman"/>
                <w:b/>
                <w:bCs/>
              </w:rPr>
            </w:pPr>
          </w:p>
        </w:tc>
        <w:tc>
          <w:tcPr>
            <w:tcW w:w="3260" w:type="dxa"/>
          </w:tcPr>
          <w:p w14:paraId="0D2DEFE9" w14:textId="77777777" w:rsidR="006E1A5C" w:rsidRPr="00B86BF8" w:rsidRDefault="006E1A5C" w:rsidP="006E1A5C">
            <w:pPr>
              <w:spacing w:after="0"/>
              <w:jc w:val="both"/>
              <w:rPr>
                <w:rFonts w:ascii="Times New Roman" w:hAnsi="Times New Roman" w:cs="Times New Roman"/>
              </w:rPr>
            </w:pPr>
            <w:r w:rsidRPr="00B86BF8">
              <w:rPr>
                <w:rFonts w:ascii="Times New Roman" w:hAnsi="Times New Roman" w:cs="Times New Roman"/>
              </w:rPr>
              <w:t>Jeigu Lietuvos bankas netaiko FT veiklos riziką ribojančių normatyvų, tokiu atveju taikomi Lietuvos banko neprižiūrimiems FT nustatyti normatyvai</w:t>
            </w:r>
          </w:p>
        </w:tc>
        <w:tc>
          <w:tcPr>
            <w:tcW w:w="4395" w:type="dxa"/>
          </w:tcPr>
          <w:p w14:paraId="36596DAD" w14:textId="77777777" w:rsidR="00C30CDB" w:rsidRPr="00B86BF8" w:rsidRDefault="00C30CDB" w:rsidP="00C30CDB">
            <w:pPr>
              <w:spacing w:after="0"/>
              <w:jc w:val="both"/>
              <w:rPr>
                <w:rFonts w:ascii="Times New Roman" w:hAnsi="Times New Roman" w:cs="Times New Roman"/>
              </w:rPr>
            </w:pPr>
            <w:r w:rsidRPr="00B86BF8">
              <w:rPr>
                <w:rFonts w:ascii="Times New Roman" w:hAnsi="Times New Roman" w:cs="Times New Roman"/>
              </w:rPr>
              <w:t>FT nuosavo kapitalo suma (įstatinio kapitalo, jo priedų, rezervų ir nepaskirstyto pelno suma) turi būti ne mažesnė nei 0,</w:t>
            </w:r>
            <w:r w:rsidR="004D2599" w:rsidRPr="00B86BF8">
              <w:rPr>
                <w:rFonts w:ascii="Times New Roman" w:hAnsi="Times New Roman" w:cs="Times New Roman"/>
              </w:rPr>
              <w:t>2</w:t>
            </w:r>
            <w:r w:rsidRPr="00B86BF8">
              <w:rPr>
                <w:rFonts w:ascii="Times New Roman" w:hAnsi="Times New Roman" w:cs="Times New Roman"/>
              </w:rPr>
              <w:t xml:space="preserve">5 mln. EUR. FT koreguoto nuosavo kapitalo suma** negali būti mažesnė kaip 0,2 mln. EUR. </w:t>
            </w:r>
          </w:p>
          <w:p w14:paraId="1FD149E3" w14:textId="77777777" w:rsidR="006E1A5C" w:rsidRPr="00B86BF8" w:rsidRDefault="006E1A5C" w:rsidP="006E1A5C">
            <w:pPr>
              <w:spacing w:after="0"/>
              <w:jc w:val="both"/>
              <w:rPr>
                <w:rFonts w:ascii="Times New Roman" w:hAnsi="Times New Roman" w:cs="Times New Roman"/>
              </w:rPr>
            </w:pPr>
          </w:p>
        </w:tc>
        <w:tc>
          <w:tcPr>
            <w:tcW w:w="4110" w:type="dxa"/>
            <w:vMerge/>
          </w:tcPr>
          <w:p w14:paraId="3B0C3A3E" w14:textId="77777777" w:rsidR="006E1A5C" w:rsidRPr="00B86BF8" w:rsidRDefault="006E1A5C" w:rsidP="006E1A5C">
            <w:pPr>
              <w:spacing w:after="0"/>
              <w:jc w:val="both"/>
              <w:rPr>
                <w:rFonts w:ascii="Times New Roman" w:hAnsi="Times New Roman"/>
              </w:rPr>
            </w:pPr>
          </w:p>
        </w:tc>
      </w:tr>
      <w:tr w:rsidR="006E1A5C" w:rsidRPr="00B86BF8" w14:paraId="47D2C639" w14:textId="77777777" w:rsidTr="00FE7CF5">
        <w:tc>
          <w:tcPr>
            <w:tcW w:w="3539" w:type="dxa"/>
          </w:tcPr>
          <w:p w14:paraId="66566F08" w14:textId="77777777" w:rsidR="006E1A5C" w:rsidRPr="00B86BF8" w:rsidRDefault="006E1A5C" w:rsidP="006E1A5C">
            <w:pPr>
              <w:spacing w:after="0"/>
              <w:jc w:val="both"/>
              <w:rPr>
                <w:rFonts w:ascii="Times New Roman" w:hAnsi="Times New Roman" w:cs="Times New Roman"/>
                <w:b/>
                <w:bCs/>
              </w:rPr>
            </w:pPr>
            <w:r w:rsidRPr="00B86BF8">
              <w:rPr>
                <w:rFonts w:ascii="Times New Roman" w:hAnsi="Times New Roman" w:cs="Times New Roman"/>
                <w:b/>
                <w:bCs/>
              </w:rPr>
              <w:t xml:space="preserve">Minimali veiklos vykdymo trukmė 12 mėn. </w:t>
            </w:r>
          </w:p>
        </w:tc>
        <w:tc>
          <w:tcPr>
            <w:tcW w:w="3260" w:type="dxa"/>
          </w:tcPr>
          <w:p w14:paraId="1CEE6D03" w14:textId="77777777" w:rsidR="006E1A5C" w:rsidRPr="00B86BF8" w:rsidRDefault="006E1A5C" w:rsidP="006E1A5C">
            <w:pPr>
              <w:spacing w:after="0"/>
              <w:jc w:val="both"/>
              <w:rPr>
                <w:rFonts w:ascii="Times New Roman" w:hAnsi="Times New Roman" w:cs="Times New Roman"/>
              </w:rPr>
            </w:pPr>
          </w:p>
        </w:tc>
        <w:tc>
          <w:tcPr>
            <w:tcW w:w="4395" w:type="dxa"/>
          </w:tcPr>
          <w:p w14:paraId="01D8BD2C" w14:textId="77777777" w:rsidR="006E1A5C" w:rsidRPr="00B86BF8" w:rsidRDefault="006E1A5C" w:rsidP="006E1A5C">
            <w:pPr>
              <w:spacing w:after="0"/>
              <w:jc w:val="both"/>
              <w:rPr>
                <w:rFonts w:ascii="Times New Roman" w:hAnsi="Times New Roman" w:cs="Times New Roman"/>
              </w:rPr>
            </w:pPr>
          </w:p>
        </w:tc>
        <w:tc>
          <w:tcPr>
            <w:tcW w:w="4110" w:type="dxa"/>
          </w:tcPr>
          <w:p w14:paraId="72DDF37C" w14:textId="77777777" w:rsidR="006E1A5C" w:rsidRPr="00B86BF8" w:rsidRDefault="006E1A5C" w:rsidP="006E1A5C">
            <w:pPr>
              <w:spacing w:after="0"/>
              <w:jc w:val="both"/>
              <w:rPr>
                <w:rFonts w:ascii="Times New Roman" w:hAnsi="Times New Roman"/>
              </w:rPr>
            </w:pPr>
          </w:p>
        </w:tc>
      </w:tr>
      <w:tr w:rsidR="00C30CDB" w:rsidRPr="00B86BF8" w14:paraId="52CF1FF9" w14:textId="77777777" w:rsidTr="00FE7CF5">
        <w:tc>
          <w:tcPr>
            <w:tcW w:w="3539" w:type="dxa"/>
          </w:tcPr>
          <w:p w14:paraId="7C0B51F1" w14:textId="77777777" w:rsidR="00C30CDB" w:rsidRPr="00B86BF8" w:rsidRDefault="00C30CDB" w:rsidP="00C30CDB">
            <w:pPr>
              <w:spacing w:after="0"/>
              <w:jc w:val="both"/>
              <w:rPr>
                <w:rFonts w:ascii="Times New Roman" w:hAnsi="Times New Roman" w:cs="Times New Roman"/>
                <w:b/>
                <w:bCs/>
              </w:rPr>
            </w:pPr>
            <w:r w:rsidRPr="00B86BF8">
              <w:rPr>
                <w:rFonts w:ascii="Times New Roman" w:hAnsi="Times New Roman"/>
                <w:b/>
                <w:bCs/>
              </w:rPr>
              <w:t xml:space="preserve">FT turi pagrįsti, kad Lietuvoje per paskutinius 12 mėnesių tinkamai suteikė ne mažiau kaip 50 vnt. Paskolų verslo subjektams), kurių kiekvieno vertė ne didesnė kaip </w:t>
            </w:r>
            <w:r w:rsidR="00667B1F" w:rsidRPr="00B86BF8">
              <w:rPr>
                <w:rFonts w:ascii="Times New Roman" w:hAnsi="Times New Roman"/>
                <w:b/>
                <w:bCs/>
              </w:rPr>
              <w:t>5</w:t>
            </w:r>
            <w:r w:rsidRPr="00B86BF8">
              <w:rPr>
                <w:rFonts w:ascii="Times New Roman" w:hAnsi="Times New Roman"/>
                <w:b/>
                <w:bCs/>
              </w:rPr>
              <w:t>00  000 Eur</w:t>
            </w:r>
            <w:r w:rsidRPr="00B86BF8">
              <w:rPr>
                <w:rFonts w:ascii="Times New Roman" w:hAnsi="Times New Roman" w:cs="Times New Roman"/>
                <w:b/>
                <w:bCs/>
              </w:rPr>
              <w:t xml:space="preserve"> </w:t>
            </w:r>
          </w:p>
        </w:tc>
        <w:tc>
          <w:tcPr>
            <w:tcW w:w="3260" w:type="dxa"/>
          </w:tcPr>
          <w:p w14:paraId="59539791" w14:textId="77777777" w:rsidR="00C30CDB" w:rsidRPr="00B86BF8" w:rsidRDefault="00C30CDB" w:rsidP="00C30CDB">
            <w:pPr>
              <w:spacing w:after="0"/>
              <w:jc w:val="both"/>
              <w:rPr>
                <w:rFonts w:ascii="Times New Roman" w:hAnsi="Times New Roman" w:cs="Times New Roman"/>
              </w:rPr>
            </w:pPr>
          </w:p>
        </w:tc>
        <w:tc>
          <w:tcPr>
            <w:tcW w:w="4395" w:type="dxa"/>
          </w:tcPr>
          <w:p w14:paraId="76EA69D1" w14:textId="77777777" w:rsidR="00C30CDB" w:rsidRPr="00B86BF8" w:rsidRDefault="00C30CDB" w:rsidP="00C30CDB">
            <w:pPr>
              <w:spacing w:after="0"/>
              <w:jc w:val="both"/>
              <w:rPr>
                <w:rFonts w:ascii="Times New Roman" w:hAnsi="Times New Roman" w:cs="Times New Roman"/>
              </w:rPr>
            </w:pPr>
          </w:p>
        </w:tc>
        <w:tc>
          <w:tcPr>
            <w:tcW w:w="4110" w:type="dxa"/>
          </w:tcPr>
          <w:p w14:paraId="19EA7675" w14:textId="77777777" w:rsidR="00C30CDB" w:rsidRPr="00B86BF8" w:rsidRDefault="00C30CDB" w:rsidP="00C30CDB">
            <w:pPr>
              <w:spacing w:after="0"/>
              <w:jc w:val="both"/>
              <w:rPr>
                <w:rFonts w:ascii="Times New Roman" w:hAnsi="Times New Roman"/>
              </w:rPr>
            </w:pPr>
          </w:p>
        </w:tc>
      </w:tr>
      <w:tr w:rsidR="00C30CDB" w:rsidRPr="00B86BF8" w14:paraId="72A12813" w14:textId="77777777" w:rsidTr="00FE7CF5">
        <w:tc>
          <w:tcPr>
            <w:tcW w:w="3539" w:type="dxa"/>
          </w:tcPr>
          <w:p w14:paraId="6F0A7982" w14:textId="77777777" w:rsidR="0047296B" w:rsidRPr="00B86BF8" w:rsidRDefault="0047296B" w:rsidP="0047296B">
            <w:pPr>
              <w:spacing w:after="0" w:line="240" w:lineRule="auto"/>
              <w:jc w:val="both"/>
              <w:rPr>
                <w:rFonts w:ascii="Times New Roman" w:hAnsi="Times New Roman"/>
                <w:b/>
                <w:bCs/>
                <w:sz w:val="24"/>
                <w:szCs w:val="24"/>
              </w:rPr>
            </w:pPr>
            <w:r w:rsidRPr="00B86BF8">
              <w:rPr>
                <w:rFonts w:ascii="Times New Roman" w:hAnsi="Times New Roman"/>
                <w:b/>
                <w:bCs/>
              </w:rPr>
              <w:t xml:space="preserve">FT turi pateikti informaciją apie paskutinius penkis sudarytus skolinimosi sandorius (skolinimosi sandoriai sudaryti tarp FT ir susijusių asmenų*** nevertinami), </w:t>
            </w:r>
            <w:r w:rsidRPr="00B86BF8">
              <w:rPr>
                <w:rFonts w:ascii="Times New Roman" w:hAnsi="Times New Roman"/>
                <w:b/>
                <w:bCs/>
              </w:rPr>
              <w:lastRenderedPageBreak/>
              <w:t>kurių vertė ne mažesnė kaip 100 000 Eur</w:t>
            </w:r>
            <w:r w:rsidRPr="00B86BF8">
              <w:rPr>
                <w:rFonts w:ascii="Times New Roman" w:hAnsi="Times New Roman"/>
                <w:b/>
                <w:bCs/>
                <w:sz w:val="24"/>
                <w:szCs w:val="24"/>
              </w:rPr>
              <w:t xml:space="preserve"> arba informaciją </w:t>
            </w:r>
            <w:r w:rsidRPr="00B86BF8">
              <w:rPr>
                <w:rFonts w:ascii="Times New Roman" w:hAnsi="Times New Roman"/>
                <w:b/>
                <w:bCs/>
              </w:rPr>
              <w:t>apie FT arba FT 100 proc. valdančios įmonės paskutinę viešai išplatintą obligacijų emisiją</w:t>
            </w:r>
          </w:p>
          <w:p w14:paraId="7FE45933" w14:textId="77777777" w:rsidR="00C30CDB" w:rsidRPr="00B86BF8" w:rsidRDefault="00C30CDB" w:rsidP="00C30CDB">
            <w:pPr>
              <w:jc w:val="both"/>
              <w:rPr>
                <w:rFonts w:ascii="Times New Roman" w:hAnsi="Times New Roman"/>
                <w:b/>
                <w:bCs/>
              </w:rPr>
            </w:pPr>
          </w:p>
        </w:tc>
        <w:tc>
          <w:tcPr>
            <w:tcW w:w="3260" w:type="dxa"/>
          </w:tcPr>
          <w:p w14:paraId="763EE5CC" w14:textId="77777777" w:rsidR="00C30CDB" w:rsidRPr="00B86BF8" w:rsidRDefault="00C30CDB" w:rsidP="00C30CDB">
            <w:pPr>
              <w:spacing w:after="0"/>
              <w:jc w:val="both"/>
              <w:rPr>
                <w:rFonts w:ascii="Times New Roman" w:hAnsi="Times New Roman"/>
              </w:rPr>
            </w:pPr>
          </w:p>
        </w:tc>
        <w:tc>
          <w:tcPr>
            <w:tcW w:w="4395" w:type="dxa"/>
          </w:tcPr>
          <w:p w14:paraId="6602AF14" w14:textId="77777777" w:rsidR="00C30CDB" w:rsidRPr="00B86BF8" w:rsidRDefault="00C30CDB" w:rsidP="00C30CDB">
            <w:pPr>
              <w:spacing w:after="0"/>
              <w:jc w:val="both"/>
              <w:rPr>
                <w:rFonts w:ascii="Times New Roman" w:hAnsi="Times New Roman"/>
              </w:rPr>
            </w:pPr>
          </w:p>
        </w:tc>
        <w:tc>
          <w:tcPr>
            <w:tcW w:w="4110" w:type="dxa"/>
          </w:tcPr>
          <w:p w14:paraId="100388BB" w14:textId="77777777" w:rsidR="00C30CDB" w:rsidRPr="00B86BF8" w:rsidRDefault="00C30CDB" w:rsidP="00C30CDB">
            <w:pPr>
              <w:spacing w:after="0"/>
              <w:jc w:val="both"/>
              <w:rPr>
                <w:rFonts w:ascii="Times New Roman" w:hAnsi="Times New Roman"/>
              </w:rPr>
            </w:pPr>
          </w:p>
        </w:tc>
      </w:tr>
      <w:tr w:rsidR="009E306D" w:rsidRPr="00B86BF8" w14:paraId="5E489216" w14:textId="77777777" w:rsidTr="00FE7CF5">
        <w:trPr>
          <w:trHeight w:val="1354"/>
        </w:trPr>
        <w:tc>
          <w:tcPr>
            <w:tcW w:w="3539" w:type="dxa"/>
            <w:vMerge w:val="restart"/>
          </w:tcPr>
          <w:p w14:paraId="2B8B5F4F" w14:textId="77777777" w:rsidR="009E306D" w:rsidRPr="00B86BF8" w:rsidRDefault="009E306D" w:rsidP="009E306D">
            <w:pPr>
              <w:spacing w:after="0"/>
              <w:jc w:val="both"/>
              <w:rPr>
                <w:rFonts w:ascii="Times New Roman" w:hAnsi="Times New Roman" w:cs="Times New Roman"/>
                <w:b/>
                <w:bCs/>
              </w:rPr>
            </w:pPr>
            <w:r w:rsidRPr="00B86BF8">
              <w:rPr>
                <w:rFonts w:ascii="Times New Roman" w:hAnsi="Times New Roman" w:cs="Times New Roman"/>
                <w:b/>
                <w:bCs/>
              </w:rPr>
              <w:t>Vidaus kontrolės sistema</w:t>
            </w:r>
          </w:p>
        </w:tc>
        <w:tc>
          <w:tcPr>
            <w:tcW w:w="3260" w:type="dxa"/>
            <w:tcBorders>
              <w:bottom w:val="single" w:sz="4" w:space="0" w:color="auto"/>
            </w:tcBorders>
          </w:tcPr>
          <w:p w14:paraId="1CD41DA9"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Neturi būti taikomos Lietuvos banko poveikio priemonės, išskyrus įspėjimą, ar veiklos apribojimai, remiantis Lietuvos banko duomenimis*</w:t>
            </w:r>
          </w:p>
        </w:tc>
        <w:tc>
          <w:tcPr>
            <w:tcW w:w="4395" w:type="dxa"/>
            <w:tcBorders>
              <w:bottom w:val="single" w:sz="4" w:space="0" w:color="auto"/>
            </w:tcBorders>
          </w:tcPr>
          <w:p w14:paraId="1082AC92"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FT turi turėti saugią ir patikimą jo veiklą užtikrinančią vidaus kontrolės sistemą, kaip tai nustatyta LR finansų įstaigų įstatyme</w:t>
            </w:r>
          </w:p>
        </w:tc>
        <w:tc>
          <w:tcPr>
            <w:tcW w:w="4110" w:type="dxa"/>
            <w:vMerge w:val="restart"/>
          </w:tcPr>
          <w:p w14:paraId="00231E28" w14:textId="77777777" w:rsidR="009E306D" w:rsidRPr="00B86BF8" w:rsidRDefault="009E306D" w:rsidP="009E306D">
            <w:pPr>
              <w:spacing w:after="0"/>
              <w:jc w:val="both"/>
              <w:rPr>
                <w:rFonts w:ascii="Times New Roman" w:hAnsi="Times New Roman"/>
              </w:rPr>
            </w:pPr>
          </w:p>
        </w:tc>
      </w:tr>
      <w:tr w:rsidR="009E306D" w:rsidRPr="00B86BF8" w14:paraId="6B3BA82D" w14:textId="77777777" w:rsidTr="00FE7CF5">
        <w:trPr>
          <w:trHeight w:val="1296"/>
        </w:trPr>
        <w:tc>
          <w:tcPr>
            <w:tcW w:w="3539" w:type="dxa"/>
            <w:vMerge/>
          </w:tcPr>
          <w:p w14:paraId="2119409E" w14:textId="77777777" w:rsidR="009E306D" w:rsidRPr="00B86BF8" w:rsidRDefault="009E306D" w:rsidP="009E306D">
            <w:pPr>
              <w:spacing w:after="0"/>
              <w:jc w:val="both"/>
              <w:rPr>
                <w:rFonts w:ascii="Times New Roman" w:hAnsi="Times New Roman" w:cs="Times New Roman"/>
                <w:b/>
                <w:bCs/>
              </w:rPr>
            </w:pPr>
          </w:p>
        </w:tc>
        <w:tc>
          <w:tcPr>
            <w:tcW w:w="3260" w:type="dxa"/>
            <w:tcBorders>
              <w:bottom w:val="single" w:sz="4" w:space="0" w:color="auto"/>
            </w:tcBorders>
          </w:tcPr>
          <w:p w14:paraId="60D0C177"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w:t>
            </w:r>
          </w:p>
        </w:tc>
        <w:tc>
          <w:tcPr>
            <w:tcW w:w="4395" w:type="dxa"/>
            <w:tcBorders>
              <w:bottom w:val="single" w:sz="4" w:space="0" w:color="auto"/>
            </w:tcBorders>
          </w:tcPr>
          <w:p w14:paraId="439AEACA"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FT turi turėti nustatytas procedūras, skirtas vertinti pinigų plovimo ir (ar) teroristų finansavimo rizikos pasireiškimą bei ją valdyti</w:t>
            </w:r>
          </w:p>
        </w:tc>
        <w:tc>
          <w:tcPr>
            <w:tcW w:w="4110" w:type="dxa"/>
            <w:vMerge/>
          </w:tcPr>
          <w:p w14:paraId="292E2B30" w14:textId="77777777" w:rsidR="009E306D" w:rsidRPr="00B86BF8" w:rsidRDefault="009E306D" w:rsidP="009E306D">
            <w:pPr>
              <w:spacing w:after="0"/>
              <w:jc w:val="both"/>
              <w:rPr>
                <w:rFonts w:ascii="Times New Roman" w:hAnsi="Times New Roman"/>
              </w:rPr>
            </w:pPr>
          </w:p>
        </w:tc>
      </w:tr>
      <w:tr w:rsidR="009E306D" w:rsidRPr="00B86BF8" w14:paraId="5355CB80" w14:textId="77777777" w:rsidTr="00FE7CF5">
        <w:tc>
          <w:tcPr>
            <w:tcW w:w="3539" w:type="dxa"/>
            <w:vMerge/>
          </w:tcPr>
          <w:p w14:paraId="6AAFBB15" w14:textId="77777777" w:rsidR="009E306D" w:rsidRPr="00B86BF8" w:rsidRDefault="009E306D" w:rsidP="009E306D">
            <w:pPr>
              <w:spacing w:after="0"/>
              <w:jc w:val="both"/>
              <w:rPr>
                <w:rFonts w:ascii="Times New Roman" w:hAnsi="Times New Roman" w:cs="Times New Roman"/>
                <w:b/>
                <w:bCs/>
              </w:rPr>
            </w:pPr>
          </w:p>
        </w:tc>
        <w:tc>
          <w:tcPr>
            <w:tcW w:w="3260" w:type="dxa"/>
          </w:tcPr>
          <w:p w14:paraId="72A914D4"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w:t>
            </w:r>
          </w:p>
        </w:tc>
        <w:tc>
          <w:tcPr>
            <w:tcW w:w="4395" w:type="dxa"/>
          </w:tcPr>
          <w:p w14:paraId="5B91010D"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FT turi užtikrinti informacijos saugumą pagal BDAR reikalavimus</w:t>
            </w:r>
          </w:p>
        </w:tc>
        <w:tc>
          <w:tcPr>
            <w:tcW w:w="4110" w:type="dxa"/>
            <w:vMerge/>
          </w:tcPr>
          <w:p w14:paraId="64E22943" w14:textId="77777777" w:rsidR="009E306D" w:rsidRPr="00B86BF8" w:rsidRDefault="009E306D" w:rsidP="009E306D">
            <w:pPr>
              <w:spacing w:after="0"/>
              <w:jc w:val="both"/>
              <w:rPr>
                <w:rFonts w:ascii="Times New Roman" w:hAnsi="Times New Roman"/>
              </w:rPr>
            </w:pPr>
          </w:p>
        </w:tc>
      </w:tr>
      <w:tr w:rsidR="009E306D" w:rsidRPr="00B86BF8" w14:paraId="332DF690" w14:textId="77777777" w:rsidTr="00FE7CF5">
        <w:tc>
          <w:tcPr>
            <w:tcW w:w="3539" w:type="dxa"/>
            <w:vMerge/>
          </w:tcPr>
          <w:p w14:paraId="1D6CD760" w14:textId="77777777" w:rsidR="009E306D" w:rsidRPr="00B86BF8" w:rsidRDefault="009E306D" w:rsidP="009E306D">
            <w:pPr>
              <w:spacing w:after="0"/>
              <w:jc w:val="both"/>
              <w:rPr>
                <w:rFonts w:ascii="Times New Roman" w:hAnsi="Times New Roman" w:cs="Times New Roman"/>
                <w:b/>
                <w:bCs/>
              </w:rPr>
            </w:pPr>
          </w:p>
        </w:tc>
        <w:tc>
          <w:tcPr>
            <w:tcW w:w="3260" w:type="dxa"/>
          </w:tcPr>
          <w:p w14:paraId="738F4A99"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w:t>
            </w:r>
          </w:p>
        </w:tc>
        <w:tc>
          <w:tcPr>
            <w:tcW w:w="4395" w:type="dxa"/>
          </w:tcPr>
          <w:p w14:paraId="5B2DCFC8"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FT turi turėti galimų interesų konfliktų valdymo tvarkas ir procedūras</w:t>
            </w:r>
          </w:p>
        </w:tc>
        <w:tc>
          <w:tcPr>
            <w:tcW w:w="4110" w:type="dxa"/>
            <w:vMerge/>
          </w:tcPr>
          <w:p w14:paraId="078923C5" w14:textId="77777777" w:rsidR="009E306D" w:rsidRPr="00B86BF8" w:rsidRDefault="009E306D" w:rsidP="009E306D">
            <w:pPr>
              <w:spacing w:after="0"/>
              <w:jc w:val="both"/>
              <w:rPr>
                <w:rFonts w:ascii="Times New Roman" w:hAnsi="Times New Roman"/>
              </w:rPr>
            </w:pPr>
          </w:p>
        </w:tc>
      </w:tr>
      <w:tr w:rsidR="009E306D" w:rsidRPr="00B86BF8" w14:paraId="0866000D" w14:textId="77777777" w:rsidTr="00FE7CF5">
        <w:tc>
          <w:tcPr>
            <w:tcW w:w="3539" w:type="dxa"/>
            <w:vMerge/>
          </w:tcPr>
          <w:p w14:paraId="0558BC6C" w14:textId="77777777" w:rsidR="009E306D" w:rsidRPr="00B86BF8" w:rsidRDefault="009E306D" w:rsidP="009E306D">
            <w:pPr>
              <w:spacing w:after="0"/>
              <w:jc w:val="both"/>
              <w:rPr>
                <w:rFonts w:ascii="Times New Roman" w:hAnsi="Times New Roman"/>
                <w:b/>
                <w:bCs/>
              </w:rPr>
            </w:pPr>
          </w:p>
        </w:tc>
        <w:tc>
          <w:tcPr>
            <w:tcW w:w="3260" w:type="dxa"/>
          </w:tcPr>
          <w:p w14:paraId="38412100" w14:textId="77777777" w:rsidR="009E306D" w:rsidRPr="00B86BF8" w:rsidRDefault="009E306D" w:rsidP="009E306D">
            <w:pPr>
              <w:spacing w:after="0"/>
              <w:jc w:val="both"/>
              <w:rPr>
                <w:rFonts w:ascii="Times New Roman" w:hAnsi="Times New Roman"/>
              </w:rPr>
            </w:pPr>
          </w:p>
        </w:tc>
        <w:tc>
          <w:tcPr>
            <w:tcW w:w="4395" w:type="dxa"/>
          </w:tcPr>
          <w:p w14:paraId="359BC575" w14:textId="77777777" w:rsidR="009E306D" w:rsidRPr="00B86BF8" w:rsidRDefault="009E306D" w:rsidP="009E306D">
            <w:pPr>
              <w:spacing w:after="0"/>
              <w:jc w:val="both"/>
              <w:rPr>
                <w:rFonts w:ascii="Times New Roman" w:hAnsi="Times New Roman"/>
              </w:rPr>
            </w:pPr>
            <w:r w:rsidRPr="00B86BF8">
              <w:rPr>
                <w:rFonts w:ascii="Times New Roman" w:hAnsi="Times New Roman" w:cs="Times New Roman"/>
              </w:rPr>
              <w:t xml:space="preserve">FT turi </w:t>
            </w:r>
            <w:r w:rsidRPr="00B86BF8">
              <w:rPr>
                <w:rFonts w:ascii="Times New Roman" w:hAnsi="Times New Roman"/>
              </w:rPr>
              <w:t>turėti elektroninių duomenų apdorojimo kontrolės ir apsaugos priemones</w:t>
            </w:r>
          </w:p>
        </w:tc>
        <w:tc>
          <w:tcPr>
            <w:tcW w:w="4110" w:type="dxa"/>
            <w:vMerge/>
          </w:tcPr>
          <w:p w14:paraId="33F2E5C8" w14:textId="77777777" w:rsidR="009E306D" w:rsidRPr="00B86BF8" w:rsidRDefault="009E306D" w:rsidP="009E306D">
            <w:pPr>
              <w:spacing w:after="0"/>
              <w:jc w:val="both"/>
              <w:rPr>
                <w:rFonts w:ascii="Times New Roman" w:hAnsi="Times New Roman"/>
              </w:rPr>
            </w:pPr>
          </w:p>
        </w:tc>
      </w:tr>
      <w:tr w:rsidR="009E306D" w:rsidRPr="00B86BF8" w14:paraId="2B506FF6" w14:textId="77777777" w:rsidTr="00FE7CF5">
        <w:trPr>
          <w:trHeight w:val="841"/>
        </w:trPr>
        <w:tc>
          <w:tcPr>
            <w:tcW w:w="3539" w:type="dxa"/>
            <w:vMerge/>
          </w:tcPr>
          <w:p w14:paraId="4C1CB6C2" w14:textId="77777777" w:rsidR="009E306D" w:rsidRPr="00B86BF8" w:rsidRDefault="009E306D" w:rsidP="009E306D">
            <w:pPr>
              <w:spacing w:after="0"/>
              <w:jc w:val="both"/>
              <w:rPr>
                <w:rFonts w:ascii="Times New Roman" w:hAnsi="Times New Roman"/>
                <w:b/>
                <w:bCs/>
              </w:rPr>
            </w:pPr>
          </w:p>
        </w:tc>
        <w:tc>
          <w:tcPr>
            <w:tcW w:w="3260" w:type="dxa"/>
          </w:tcPr>
          <w:p w14:paraId="049C079F" w14:textId="77777777" w:rsidR="009E306D" w:rsidRPr="00B86BF8" w:rsidRDefault="009E306D" w:rsidP="009E306D">
            <w:pPr>
              <w:spacing w:after="0"/>
              <w:jc w:val="both"/>
              <w:rPr>
                <w:rFonts w:ascii="Times New Roman" w:hAnsi="Times New Roman"/>
              </w:rPr>
            </w:pPr>
          </w:p>
        </w:tc>
        <w:tc>
          <w:tcPr>
            <w:tcW w:w="4395" w:type="dxa"/>
          </w:tcPr>
          <w:p w14:paraId="70DD1BC0" w14:textId="77777777" w:rsidR="009E306D" w:rsidRPr="00B86BF8" w:rsidRDefault="009E306D" w:rsidP="009E306D">
            <w:pPr>
              <w:spacing w:after="0"/>
              <w:jc w:val="both"/>
              <w:rPr>
                <w:rFonts w:ascii="Times New Roman" w:hAnsi="Times New Roman"/>
              </w:rPr>
            </w:pPr>
            <w:r w:rsidRPr="00B86BF8">
              <w:rPr>
                <w:rFonts w:ascii="Times New Roman" w:hAnsi="Times New Roman" w:cs="Times New Roman"/>
              </w:rPr>
              <w:t xml:space="preserve">FT turi </w:t>
            </w:r>
            <w:r w:rsidRPr="00B86BF8">
              <w:rPr>
                <w:rFonts w:ascii="Times New Roman" w:hAnsi="Times New Roman"/>
              </w:rPr>
              <w:t>turėti patikimą dokumentų saugojimo sistemą</w:t>
            </w:r>
            <w:r w:rsidRPr="00B86BF8">
              <w:rPr>
                <w:rFonts w:ascii="Times New Roman" w:hAnsi="Times New Roman" w:cs="Times New Roman"/>
              </w:rPr>
              <w:t xml:space="preserve"> ir duomenų, susijusių su Faktoringo sandorių teikimu MVĮ, kaupimo bei valdymo sistemą</w:t>
            </w:r>
          </w:p>
        </w:tc>
        <w:tc>
          <w:tcPr>
            <w:tcW w:w="4110" w:type="dxa"/>
            <w:vMerge/>
          </w:tcPr>
          <w:p w14:paraId="6D7E8F68" w14:textId="77777777" w:rsidR="009E306D" w:rsidRPr="00B86BF8" w:rsidRDefault="009E306D" w:rsidP="009E306D">
            <w:pPr>
              <w:spacing w:after="0"/>
              <w:jc w:val="both"/>
              <w:rPr>
                <w:rFonts w:ascii="Times New Roman" w:hAnsi="Times New Roman"/>
              </w:rPr>
            </w:pPr>
          </w:p>
        </w:tc>
      </w:tr>
      <w:tr w:rsidR="009E306D" w:rsidRPr="00B86BF8" w14:paraId="44016312" w14:textId="77777777" w:rsidTr="00FE7CF5">
        <w:trPr>
          <w:trHeight w:val="1504"/>
        </w:trPr>
        <w:tc>
          <w:tcPr>
            <w:tcW w:w="3539" w:type="dxa"/>
            <w:vMerge w:val="restart"/>
          </w:tcPr>
          <w:p w14:paraId="47E3E87D" w14:textId="77777777" w:rsidR="009E306D" w:rsidRPr="00B86BF8" w:rsidRDefault="009E306D" w:rsidP="009E306D">
            <w:pPr>
              <w:spacing w:after="0"/>
              <w:jc w:val="both"/>
              <w:rPr>
                <w:rFonts w:ascii="Times New Roman" w:hAnsi="Times New Roman" w:cs="Times New Roman"/>
                <w:b/>
                <w:bCs/>
              </w:rPr>
            </w:pPr>
            <w:r w:rsidRPr="00B86BF8">
              <w:rPr>
                <w:rFonts w:ascii="Times New Roman" w:hAnsi="Times New Roman" w:cs="Times New Roman"/>
                <w:b/>
                <w:bCs/>
              </w:rPr>
              <w:lastRenderedPageBreak/>
              <w:t>Kreditavimo tvarkos ir procedūros</w:t>
            </w:r>
          </w:p>
        </w:tc>
        <w:tc>
          <w:tcPr>
            <w:tcW w:w="3260" w:type="dxa"/>
          </w:tcPr>
          <w:p w14:paraId="0D5ADF20"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Turėti kreditavimo procesą ir su juo susijusias rizikas reglamentuojančias tvarkas, procedūras ir (ar) politikas*</w:t>
            </w:r>
          </w:p>
        </w:tc>
        <w:tc>
          <w:tcPr>
            <w:tcW w:w="4395" w:type="dxa"/>
          </w:tcPr>
          <w:p w14:paraId="722E8EB0"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Turėti kreditavimo procesą ir su juo susijusias rizikas reglamentuojančias tvarkas, procedūras ir (ar) politikas</w:t>
            </w:r>
          </w:p>
        </w:tc>
        <w:tc>
          <w:tcPr>
            <w:tcW w:w="4110" w:type="dxa"/>
            <w:vMerge w:val="restart"/>
          </w:tcPr>
          <w:p w14:paraId="7F24DB63" w14:textId="77777777" w:rsidR="009E306D" w:rsidRPr="00B86BF8" w:rsidRDefault="009E306D" w:rsidP="009E306D">
            <w:pPr>
              <w:spacing w:after="0"/>
              <w:jc w:val="both"/>
              <w:rPr>
                <w:rFonts w:ascii="Times New Roman" w:hAnsi="Times New Roman"/>
              </w:rPr>
            </w:pPr>
          </w:p>
        </w:tc>
      </w:tr>
      <w:tr w:rsidR="009E306D" w:rsidRPr="00B86BF8" w14:paraId="229DB7CE" w14:textId="77777777" w:rsidTr="00FE7CF5">
        <w:tc>
          <w:tcPr>
            <w:tcW w:w="3539" w:type="dxa"/>
            <w:vMerge/>
            <w:tcBorders>
              <w:top w:val="nil"/>
              <w:bottom w:val="single" w:sz="4" w:space="0" w:color="auto"/>
            </w:tcBorders>
          </w:tcPr>
          <w:p w14:paraId="044277FE" w14:textId="77777777" w:rsidR="009E306D" w:rsidRPr="00B86BF8" w:rsidRDefault="009E306D" w:rsidP="009E306D">
            <w:pPr>
              <w:spacing w:after="0"/>
              <w:jc w:val="both"/>
              <w:rPr>
                <w:rFonts w:ascii="Times New Roman" w:hAnsi="Times New Roman" w:cs="Times New Roman"/>
                <w:b/>
                <w:bCs/>
              </w:rPr>
            </w:pPr>
          </w:p>
        </w:tc>
        <w:tc>
          <w:tcPr>
            <w:tcW w:w="3260" w:type="dxa"/>
            <w:tcBorders>
              <w:top w:val="nil"/>
              <w:bottom w:val="single" w:sz="4" w:space="0" w:color="auto"/>
            </w:tcBorders>
          </w:tcPr>
          <w:p w14:paraId="05020592"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r w:rsidRPr="00B86BF8">
              <w:rPr>
                <w:rFonts w:ascii="Times New Roman" w:hAnsi="Times New Roman"/>
              </w:rPr>
              <w:t>*</w:t>
            </w:r>
          </w:p>
        </w:tc>
        <w:tc>
          <w:tcPr>
            <w:tcW w:w="4395" w:type="dxa"/>
            <w:tcBorders>
              <w:top w:val="nil"/>
              <w:bottom w:val="single" w:sz="4" w:space="0" w:color="auto"/>
            </w:tcBorders>
          </w:tcPr>
          <w:p w14:paraId="399C71A7" w14:textId="77777777" w:rsidR="009E306D" w:rsidRPr="00B86BF8" w:rsidRDefault="009E306D" w:rsidP="009E306D">
            <w:pPr>
              <w:spacing w:after="0"/>
              <w:jc w:val="both"/>
              <w:rPr>
                <w:rFonts w:ascii="Times New Roman" w:hAnsi="Times New Roman" w:cs="Times New Roman"/>
              </w:rPr>
            </w:pPr>
            <w:r w:rsidRPr="00B86BF8">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4110" w:type="dxa"/>
            <w:vMerge/>
            <w:tcBorders>
              <w:bottom w:val="single" w:sz="4" w:space="0" w:color="auto"/>
            </w:tcBorders>
          </w:tcPr>
          <w:p w14:paraId="41C0F5AD" w14:textId="77777777" w:rsidR="009E306D" w:rsidRPr="00B86BF8" w:rsidRDefault="009E306D" w:rsidP="009E306D">
            <w:pPr>
              <w:spacing w:after="0"/>
              <w:jc w:val="both"/>
              <w:rPr>
                <w:rFonts w:ascii="Times New Roman" w:hAnsi="Times New Roman"/>
              </w:rPr>
            </w:pPr>
          </w:p>
        </w:tc>
      </w:tr>
      <w:tr w:rsidR="0046052E" w:rsidRPr="00B86BF8" w14:paraId="3D03AAC7" w14:textId="77777777" w:rsidTr="00FE7CF5">
        <w:tc>
          <w:tcPr>
            <w:tcW w:w="3539" w:type="dxa"/>
            <w:tcBorders>
              <w:top w:val="single" w:sz="4" w:space="0" w:color="auto"/>
              <w:bottom w:val="single" w:sz="4" w:space="0" w:color="auto"/>
            </w:tcBorders>
          </w:tcPr>
          <w:p w14:paraId="17A11807" w14:textId="77777777" w:rsidR="0046052E" w:rsidRPr="00B86BF8" w:rsidRDefault="0046052E" w:rsidP="0046052E">
            <w:pPr>
              <w:spacing w:after="0"/>
              <w:jc w:val="both"/>
              <w:rPr>
                <w:rFonts w:ascii="Times New Roman" w:hAnsi="Times New Roman"/>
                <w:b/>
                <w:bCs/>
              </w:rPr>
            </w:pPr>
            <w:r w:rsidRPr="00B86BF8">
              <w:rPr>
                <w:rFonts w:ascii="Times New Roman" w:hAnsi="Times New Roman"/>
                <w:b/>
                <w:bCs/>
              </w:rPr>
              <w:t>Tvarkos ir procedūros tinkamam Sutarties įgyvendinimui ir administravimui</w:t>
            </w:r>
          </w:p>
        </w:tc>
        <w:tc>
          <w:tcPr>
            <w:tcW w:w="3260" w:type="dxa"/>
            <w:tcBorders>
              <w:top w:val="single" w:sz="4" w:space="0" w:color="auto"/>
              <w:bottom w:val="single" w:sz="4" w:space="0" w:color="auto"/>
            </w:tcBorders>
          </w:tcPr>
          <w:p w14:paraId="1A23953E" w14:textId="77777777" w:rsidR="0046052E" w:rsidRPr="00B86BF8" w:rsidRDefault="0046052E" w:rsidP="0046052E">
            <w:pPr>
              <w:spacing w:after="0"/>
              <w:jc w:val="both"/>
              <w:rPr>
                <w:rFonts w:ascii="Times New Roman" w:hAnsi="Times New Roman"/>
              </w:rPr>
            </w:pPr>
            <w:r w:rsidRPr="00B86BF8">
              <w:rPr>
                <w:rFonts w:ascii="Times New Roman" w:hAnsi="Times New Roman"/>
              </w:rPr>
              <w:t>Paskolų ir (ar) Paskolų gavėjų rizikos įvertinimo ir reitingavimo procedūros</w:t>
            </w:r>
          </w:p>
        </w:tc>
        <w:tc>
          <w:tcPr>
            <w:tcW w:w="4395" w:type="dxa"/>
            <w:tcBorders>
              <w:top w:val="single" w:sz="4" w:space="0" w:color="auto"/>
              <w:bottom w:val="single" w:sz="4" w:space="0" w:color="auto"/>
            </w:tcBorders>
          </w:tcPr>
          <w:p w14:paraId="6221370D" w14:textId="77777777" w:rsidR="0046052E" w:rsidRPr="00B86BF8" w:rsidRDefault="0046052E" w:rsidP="0046052E">
            <w:pPr>
              <w:spacing w:after="0"/>
              <w:jc w:val="both"/>
              <w:rPr>
                <w:rFonts w:ascii="Times New Roman" w:hAnsi="Times New Roman"/>
              </w:rPr>
            </w:pPr>
            <w:r w:rsidRPr="00B86BF8">
              <w:rPr>
                <w:rFonts w:ascii="Times New Roman" w:hAnsi="Times New Roman"/>
              </w:rPr>
              <w:t>Paskolų ir (ar) Paskolų gavėjų rizikos įvertinimo ir reitingavimo procedūros</w:t>
            </w:r>
          </w:p>
        </w:tc>
        <w:tc>
          <w:tcPr>
            <w:tcW w:w="4110" w:type="dxa"/>
            <w:tcBorders>
              <w:bottom w:val="single" w:sz="4" w:space="0" w:color="auto"/>
            </w:tcBorders>
          </w:tcPr>
          <w:p w14:paraId="2F49CB29" w14:textId="77777777" w:rsidR="0046052E" w:rsidRPr="00B86BF8" w:rsidRDefault="0046052E" w:rsidP="0046052E">
            <w:pPr>
              <w:spacing w:after="0"/>
              <w:jc w:val="both"/>
              <w:rPr>
                <w:rFonts w:ascii="Times New Roman" w:hAnsi="Times New Roman"/>
              </w:rPr>
            </w:pPr>
          </w:p>
        </w:tc>
      </w:tr>
      <w:tr w:rsidR="0046052E" w:rsidRPr="00B86BF8" w14:paraId="3DE08CB9" w14:textId="77777777" w:rsidTr="00FE7CF5">
        <w:tc>
          <w:tcPr>
            <w:tcW w:w="3539" w:type="dxa"/>
            <w:tcBorders>
              <w:top w:val="single" w:sz="4" w:space="0" w:color="auto"/>
              <w:bottom w:val="single" w:sz="4" w:space="0" w:color="auto"/>
            </w:tcBorders>
          </w:tcPr>
          <w:p w14:paraId="50BB67B0" w14:textId="77777777" w:rsidR="0046052E" w:rsidRPr="00B86BF8" w:rsidRDefault="0046052E" w:rsidP="0046052E">
            <w:pPr>
              <w:spacing w:after="0"/>
              <w:jc w:val="both"/>
              <w:rPr>
                <w:rFonts w:ascii="Times New Roman" w:hAnsi="Times New Roman"/>
              </w:rPr>
            </w:pPr>
          </w:p>
        </w:tc>
        <w:tc>
          <w:tcPr>
            <w:tcW w:w="3260" w:type="dxa"/>
            <w:tcBorders>
              <w:top w:val="single" w:sz="4" w:space="0" w:color="auto"/>
              <w:bottom w:val="single" w:sz="4" w:space="0" w:color="auto"/>
            </w:tcBorders>
          </w:tcPr>
          <w:p w14:paraId="4085AB25" w14:textId="77777777" w:rsidR="0046052E" w:rsidRPr="00B86BF8" w:rsidRDefault="0046052E" w:rsidP="0046052E">
            <w:pPr>
              <w:spacing w:after="0"/>
              <w:jc w:val="both"/>
              <w:rPr>
                <w:rFonts w:ascii="Times New Roman" w:hAnsi="Times New Roman"/>
              </w:rPr>
            </w:pPr>
            <w:r w:rsidRPr="00B86BF8">
              <w:rPr>
                <w:rFonts w:ascii="Times New Roman" w:hAnsi="Times New Roman"/>
              </w:rPr>
              <w:t xml:space="preserve">Turėti Paskolų teikimo, Paskolų stebėsenos procedūras, Paskolų portfelio rizikos valdymo, skolų išieškojimo metodikas* </w:t>
            </w:r>
          </w:p>
        </w:tc>
        <w:tc>
          <w:tcPr>
            <w:tcW w:w="4395" w:type="dxa"/>
            <w:tcBorders>
              <w:top w:val="single" w:sz="4" w:space="0" w:color="auto"/>
              <w:bottom w:val="single" w:sz="4" w:space="0" w:color="auto"/>
            </w:tcBorders>
          </w:tcPr>
          <w:p w14:paraId="63038CF8" w14:textId="77777777" w:rsidR="0046052E" w:rsidRPr="00B86BF8" w:rsidRDefault="0046052E" w:rsidP="0046052E">
            <w:pPr>
              <w:spacing w:after="0"/>
              <w:jc w:val="both"/>
              <w:rPr>
                <w:rFonts w:ascii="Times New Roman" w:hAnsi="Times New Roman"/>
              </w:rPr>
            </w:pPr>
            <w:r w:rsidRPr="00B86BF8">
              <w:rPr>
                <w:rFonts w:ascii="Times New Roman" w:hAnsi="Times New Roman"/>
              </w:rPr>
              <w:t xml:space="preserve">Turėti Paskolų teikimo, Paskolų stebėsenos procedūras, Paskolų portfelio rizikos valdymo, skolų išieškojimo metodikas </w:t>
            </w:r>
          </w:p>
        </w:tc>
        <w:tc>
          <w:tcPr>
            <w:tcW w:w="4110" w:type="dxa"/>
            <w:tcBorders>
              <w:top w:val="single" w:sz="4" w:space="0" w:color="auto"/>
              <w:bottom w:val="single" w:sz="4" w:space="0" w:color="auto"/>
            </w:tcBorders>
          </w:tcPr>
          <w:p w14:paraId="1A4400D4" w14:textId="77777777" w:rsidR="0046052E" w:rsidRPr="00B86BF8" w:rsidRDefault="0046052E" w:rsidP="0046052E">
            <w:pPr>
              <w:spacing w:after="0"/>
              <w:jc w:val="both"/>
              <w:rPr>
                <w:rFonts w:ascii="Times New Roman" w:hAnsi="Times New Roman"/>
              </w:rPr>
            </w:pPr>
          </w:p>
        </w:tc>
      </w:tr>
      <w:tr w:rsidR="0046052E" w:rsidRPr="00B86BF8" w14:paraId="69FDD640" w14:textId="77777777" w:rsidTr="00FE7CF5">
        <w:tc>
          <w:tcPr>
            <w:tcW w:w="3539" w:type="dxa"/>
            <w:tcBorders>
              <w:top w:val="single" w:sz="4" w:space="0" w:color="auto"/>
              <w:bottom w:val="single" w:sz="4" w:space="0" w:color="auto"/>
            </w:tcBorders>
          </w:tcPr>
          <w:p w14:paraId="6A836886" w14:textId="77777777" w:rsidR="0046052E" w:rsidRPr="00B86BF8" w:rsidRDefault="0046052E" w:rsidP="0046052E">
            <w:pPr>
              <w:spacing w:after="0"/>
              <w:jc w:val="both"/>
              <w:rPr>
                <w:rFonts w:ascii="Times New Roman" w:hAnsi="Times New Roman"/>
              </w:rPr>
            </w:pPr>
          </w:p>
        </w:tc>
        <w:tc>
          <w:tcPr>
            <w:tcW w:w="3260" w:type="dxa"/>
            <w:tcBorders>
              <w:top w:val="single" w:sz="4" w:space="0" w:color="auto"/>
              <w:bottom w:val="single" w:sz="4" w:space="0" w:color="auto"/>
            </w:tcBorders>
          </w:tcPr>
          <w:p w14:paraId="4E4DDC48" w14:textId="77777777" w:rsidR="0046052E" w:rsidRPr="00B86BF8" w:rsidRDefault="0046052E" w:rsidP="0046052E">
            <w:pPr>
              <w:spacing w:after="0"/>
              <w:jc w:val="both"/>
              <w:rPr>
                <w:rFonts w:ascii="Times New Roman" w:hAnsi="Times New Roman"/>
              </w:rPr>
            </w:pPr>
            <w:r w:rsidRPr="00B86BF8">
              <w:rPr>
                <w:rFonts w:ascii="Times New Roman" w:hAnsi="Times New Roman"/>
              </w:rPr>
              <w:t xml:space="preserve">Turėti administracines ir apskaitos procedūras, elektroninių duomenų apdorojimo kontrolės ir apsaugos priemones, kurios yra patikimos ir gali pateikti informaciją apie visas paskolas, jų turinį, laiką ir vietą, kad būtų galima nustatyti, ar </w:t>
            </w:r>
            <w:r w:rsidRPr="00B86BF8">
              <w:rPr>
                <w:rFonts w:ascii="Times New Roman" w:hAnsi="Times New Roman"/>
              </w:rPr>
              <w:lastRenderedPageBreak/>
              <w:t>finansavimas suteiktas pagal nustatytus reikalavimus</w:t>
            </w:r>
          </w:p>
          <w:p w14:paraId="1C089CCF" w14:textId="77777777" w:rsidR="0046052E" w:rsidRPr="00B86BF8" w:rsidRDefault="0046052E" w:rsidP="0046052E">
            <w:pPr>
              <w:spacing w:after="0"/>
              <w:jc w:val="both"/>
              <w:rPr>
                <w:rFonts w:ascii="Times New Roman" w:hAnsi="Times New Roman"/>
              </w:rPr>
            </w:pPr>
          </w:p>
        </w:tc>
        <w:tc>
          <w:tcPr>
            <w:tcW w:w="4395" w:type="dxa"/>
            <w:tcBorders>
              <w:top w:val="single" w:sz="4" w:space="0" w:color="auto"/>
              <w:bottom w:val="single" w:sz="4" w:space="0" w:color="auto"/>
            </w:tcBorders>
          </w:tcPr>
          <w:p w14:paraId="11748532" w14:textId="77777777" w:rsidR="0046052E" w:rsidRPr="00B86BF8" w:rsidRDefault="0046052E" w:rsidP="0046052E">
            <w:pPr>
              <w:spacing w:after="0"/>
              <w:jc w:val="both"/>
              <w:rPr>
                <w:rFonts w:ascii="Bookman Old Style" w:hAnsi="Bookman Old Style" w:cs="Calibri"/>
                <w:sz w:val="18"/>
                <w:lang w:eastAsia="lt-LT"/>
              </w:rPr>
            </w:pPr>
            <w:r w:rsidRPr="00B86BF8">
              <w:rPr>
                <w:rFonts w:ascii="Times New Roman" w:hAnsi="Times New Roman"/>
              </w:rPr>
              <w:lastRenderedPageBreak/>
              <w:t>Turėti administracines ir apskaitos procedūras, elektroninių duomenų apdorojimo kontrolės ir apsaugos priemones, kurios yra patikimos ir gali pateikti informaciją apie visas paskolas,  jų turinį, laiką ir vietą, kad būtų galima nustatyti, ar finansavimas suteiktas pagal nustatytus reikalavimus</w:t>
            </w:r>
          </w:p>
        </w:tc>
        <w:tc>
          <w:tcPr>
            <w:tcW w:w="4110" w:type="dxa"/>
            <w:tcBorders>
              <w:top w:val="single" w:sz="4" w:space="0" w:color="auto"/>
              <w:bottom w:val="single" w:sz="4" w:space="0" w:color="auto"/>
            </w:tcBorders>
          </w:tcPr>
          <w:p w14:paraId="3E269A64" w14:textId="77777777" w:rsidR="0046052E" w:rsidRPr="00B86BF8" w:rsidRDefault="0046052E" w:rsidP="0046052E">
            <w:pPr>
              <w:spacing w:after="0"/>
              <w:jc w:val="both"/>
              <w:rPr>
                <w:rFonts w:ascii="Times New Roman" w:hAnsi="Times New Roman"/>
              </w:rPr>
            </w:pPr>
          </w:p>
        </w:tc>
      </w:tr>
    </w:tbl>
    <w:p w14:paraId="4A1152FB" w14:textId="77777777" w:rsidR="000C3927" w:rsidRPr="00B86BF8" w:rsidRDefault="000C3927" w:rsidP="005704D0">
      <w:pPr>
        <w:tabs>
          <w:tab w:val="left" w:pos="709"/>
        </w:tabs>
        <w:autoSpaceDE w:val="0"/>
        <w:autoSpaceDN w:val="0"/>
        <w:adjustRightInd w:val="0"/>
        <w:spacing w:after="0" w:line="240" w:lineRule="auto"/>
        <w:rPr>
          <w:rFonts w:ascii="Times New Roman" w:hAnsi="Times New Roman"/>
          <w:sz w:val="20"/>
          <w:szCs w:val="20"/>
        </w:rPr>
      </w:pPr>
      <w:r w:rsidRPr="00B86BF8">
        <w:rPr>
          <w:rFonts w:ascii="Times New Roman" w:hAnsi="Times New Roman"/>
          <w:sz w:val="20"/>
          <w:szCs w:val="20"/>
        </w:rPr>
        <w:t>PAAIŠKINIMAI:</w:t>
      </w:r>
    </w:p>
    <w:p w14:paraId="15A93915"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xml:space="preserve">* Tais atvejais, kai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 kokių veiksmų buvo imtasi, kad  pažeidimai, dėl kurių taikytos Lietuvos banko poveikio priemonės ar veiklos ribojimai  būtų ištaisyti ar panaikinti  ir neturės įtakos tinkamam Priemonės „Alternatyva“ įgyvendinimui. Papildomų paaiškinimų iš FT neprašoma, kai Lietuvos banko taikyta poveikio priemonė - įspėjimas. </w:t>
      </w:r>
    </w:p>
    <w:p w14:paraId="17FFA290"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w:t>
      </w:r>
      <w:r w:rsidRPr="00B86BF8">
        <w:t xml:space="preserve"> </w:t>
      </w:r>
      <w:r w:rsidRPr="00B86BF8">
        <w:rPr>
          <w:rFonts w:ascii="Times New Roman" w:hAnsi="Times New Roman"/>
          <w:sz w:val="20"/>
          <w:szCs w:val="20"/>
        </w:rPr>
        <w:t>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“Invegos“, FT ir lėšas paskolinusių asmenų arba pateikti kiti tinkami patvirtinimai dėl šio reikalavimo įvykdymo).</w:t>
      </w:r>
    </w:p>
    <w:p w14:paraId="450C302D"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Su FT susijusiais asmenimis laikomi:</w:t>
      </w:r>
    </w:p>
    <w:p w14:paraId="7FA0FB38"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asmenys, turintys FT kvalifikuotąją įstatinio kapitalo ir (arba) balsavimo teisių dalį ir jų kontroliuojamos įmonės;</w:t>
      </w:r>
    </w:p>
    <w:p w14:paraId="5DD2A17B"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juridiniai asmenys, kurių kvalifikuotąją įstatinio kapitalo ir (arba) balsavimo teisių dalį turi FT;</w:t>
      </w:r>
    </w:p>
    <w:p w14:paraId="7489DB8C"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aukščiau nurodytų juridinių asmenų vadovai ir su jais artimos giminystės, taip pat svainystės ryšiais susiję asmenys;</w:t>
      </w:r>
    </w:p>
    <w:p w14:paraId="67B89154"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fiziniai asmenys, artimos giminystės, taip pat svainystės ryšiais susiję su FT kvalifikuotąją įstatinio kapitalo ir (arba) balsavimo teisių dalį turinčiais fiziniais asmenimis;</w:t>
      </w:r>
    </w:p>
    <w:p w14:paraId="2EAC2CF1"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Asmuo negali būti laikomas nepriekaištingos reputacijos, jeigu:</w:t>
      </w:r>
    </w:p>
    <w:p w14:paraId="1E44E2D5"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53BED195"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5A7B108D"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3E36DFBE" w14:textId="77777777" w:rsidR="000C3927" w:rsidRPr="00B86BF8" w:rsidRDefault="000C3927" w:rsidP="003C6B5A">
      <w:pPr>
        <w:autoSpaceDE w:val="0"/>
        <w:autoSpaceDN w:val="0"/>
        <w:adjustRightInd w:val="0"/>
        <w:spacing w:after="0" w:line="240" w:lineRule="auto"/>
        <w:jc w:val="both"/>
        <w:rPr>
          <w:rFonts w:ascii="Times New Roman" w:hAnsi="Times New Roman"/>
          <w:sz w:val="20"/>
          <w:szCs w:val="20"/>
        </w:rPr>
      </w:pPr>
      <w:r w:rsidRPr="00B86BF8">
        <w:rPr>
          <w:rFonts w:ascii="Times New Roman" w:hAnsi="Times New Roman"/>
          <w:sz w:val="20"/>
          <w:szCs w:val="20"/>
        </w:rPr>
        <w:t>- jis piktnaudžiauja psichotropinėmis, narkotinėmis, kitomis psichiką veikiančiomis medžiagomis ar alkoholiu;</w:t>
      </w:r>
    </w:p>
    <w:p w14:paraId="5A3252CA" w14:textId="77777777" w:rsidR="006E1A5C" w:rsidRPr="00B86BF8" w:rsidRDefault="000C3927" w:rsidP="005704D0">
      <w:pPr>
        <w:spacing w:after="0" w:line="240" w:lineRule="auto"/>
        <w:rPr>
          <w:rFonts w:ascii="Times New Roman" w:hAnsi="Times New Roman"/>
          <w:sz w:val="24"/>
          <w:szCs w:val="24"/>
        </w:rPr>
      </w:pPr>
      <w:r w:rsidRPr="00B86BF8">
        <w:rPr>
          <w:rFonts w:ascii="Times New Roman" w:hAnsi="Times New Roman"/>
          <w:sz w:val="20"/>
          <w:szCs w:val="20"/>
        </w:rPr>
        <w:t>- yra kitų reikšmingų aplinkybių, kurios leidžia pagrįstai abejoti asmens gebėjimu užtikrinti patikimą ir apdairų finansų įstaigos valdymą arba tinkamą kitų nustatytų funkcijų atlikimą</w:t>
      </w:r>
      <w:r w:rsidR="005704D0" w:rsidRPr="00B86BF8">
        <w:rPr>
          <w:rFonts w:ascii="Times New Roman" w:hAnsi="Times New Roman"/>
          <w:sz w:val="20"/>
          <w:szCs w:val="20"/>
        </w:rPr>
        <w:t>.</w:t>
      </w:r>
    </w:p>
    <w:p w14:paraId="579EF642" w14:textId="77777777" w:rsidR="006E1A5C" w:rsidRPr="00B86BF8" w:rsidRDefault="006E1A5C">
      <w:pPr>
        <w:spacing w:after="0" w:line="240" w:lineRule="auto"/>
        <w:rPr>
          <w:rFonts w:ascii="Times New Roman" w:hAnsi="Times New Roman"/>
          <w:sz w:val="24"/>
          <w:szCs w:val="24"/>
        </w:rPr>
      </w:pPr>
    </w:p>
    <w:p w14:paraId="085A2AE1" w14:textId="77777777" w:rsidR="006E1A5C" w:rsidRPr="00B86BF8" w:rsidRDefault="006E1A5C">
      <w:pPr>
        <w:spacing w:after="0" w:line="240" w:lineRule="auto"/>
        <w:rPr>
          <w:rFonts w:ascii="Times New Roman" w:hAnsi="Times New Roman"/>
          <w:sz w:val="24"/>
          <w:szCs w:val="24"/>
        </w:rPr>
      </w:pPr>
    </w:p>
    <w:sectPr w:rsidR="006E1A5C" w:rsidRPr="00B86BF8" w:rsidSect="003355D4">
      <w:pgSz w:w="16838" w:h="11906" w:orient="landscape"/>
      <w:pgMar w:top="1701" w:right="993" w:bottom="709" w:left="85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F01C3" w14:textId="77777777" w:rsidR="002F4EC0" w:rsidRDefault="002F4EC0" w:rsidP="004F3A32">
      <w:pPr>
        <w:spacing w:after="0" w:line="240" w:lineRule="auto"/>
      </w:pPr>
      <w:r>
        <w:separator/>
      </w:r>
    </w:p>
  </w:endnote>
  <w:endnote w:type="continuationSeparator" w:id="0">
    <w:p w14:paraId="2FCC2517" w14:textId="77777777" w:rsidR="002F4EC0" w:rsidRDefault="002F4EC0" w:rsidP="004F3A32">
      <w:pPr>
        <w:spacing w:after="0" w:line="240" w:lineRule="auto"/>
      </w:pPr>
      <w:r>
        <w:continuationSeparator/>
      </w:r>
    </w:p>
  </w:endnote>
  <w:endnote w:type="continuationNotice" w:id="1">
    <w:p w14:paraId="359150F3" w14:textId="77777777" w:rsidR="002F4EC0" w:rsidRDefault="002F4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797996"/>
      <w:docPartObj>
        <w:docPartGallery w:val="Page Numbers (Bottom of Page)"/>
        <w:docPartUnique/>
      </w:docPartObj>
    </w:sdtPr>
    <w:sdtEndPr>
      <w:rPr>
        <w:rFonts w:ascii="Times New Roman" w:hAnsi="Times New Roman"/>
        <w:noProof/>
        <w:sz w:val="24"/>
        <w:szCs w:val="24"/>
      </w:rPr>
    </w:sdtEndPr>
    <w:sdtContent>
      <w:p w14:paraId="45B88629" w14:textId="77777777" w:rsidR="00DE1B1F" w:rsidRPr="00846730" w:rsidRDefault="00DE1B1F">
        <w:pPr>
          <w:pStyle w:val="Footer"/>
          <w:jc w:val="center"/>
          <w:rPr>
            <w:rFonts w:ascii="Times New Roman" w:hAnsi="Times New Roman"/>
            <w:sz w:val="24"/>
            <w:szCs w:val="24"/>
          </w:rPr>
        </w:pPr>
        <w:r w:rsidRPr="00846730">
          <w:rPr>
            <w:rFonts w:ascii="Times New Roman" w:hAnsi="Times New Roman"/>
            <w:sz w:val="24"/>
            <w:szCs w:val="24"/>
          </w:rPr>
          <w:fldChar w:fldCharType="begin"/>
        </w:r>
        <w:r w:rsidRPr="00846730">
          <w:rPr>
            <w:rFonts w:ascii="Times New Roman" w:hAnsi="Times New Roman"/>
            <w:sz w:val="24"/>
            <w:szCs w:val="24"/>
          </w:rPr>
          <w:instrText xml:space="preserve"> PAGE   \* MERGEFORMAT </w:instrText>
        </w:r>
        <w:r w:rsidRPr="00846730">
          <w:rPr>
            <w:rFonts w:ascii="Times New Roman" w:hAnsi="Times New Roman"/>
            <w:sz w:val="24"/>
            <w:szCs w:val="24"/>
          </w:rPr>
          <w:fldChar w:fldCharType="separate"/>
        </w:r>
        <w:r>
          <w:rPr>
            <w:rFonts w:ascii="Times New Roman" w:hAnsi="Times New Roman"/>
            <w:noProof/>
            <w:sz w:val="24"/>
            <w:szCs w:val="24"/>
          </w:rPr>
          <w:t>30</w:t>
        </w:r>
        <w:r w:rsidRPr="00846730">
          <w:rPr>
            <w:rFonts w:ascii="Times New Roman" w:hAnsi="Times New Roman"/>
            <w:noProof/>
            <w:sz w:val="24"/>
            <w:szCs w:val="24"/>
          </w:rPr>
          <w:fldChar w:fldCharType="end"/>
        </w:r>
      </w:p>
    </w:sdtContent>
  </w:sdt>
  <w:p w14:paraId="52FFB80C" w14:textId="77777777" w:rsidR="00DE1B1F" w:rsidRDefault="00DE1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4E936" w14:textId="77777777" w:rsidR="002F4EC0" w:rsidRDefault="002F4EC0" w:rsidP="004F3A32">
      <w:pPr>
        <w:spacing w:after="0" w:line="240" w:lineRule="auto"/>
      </w:pPr>
      <w:r>
        <w:separator/>
      </w:r>
    </w:p>
  </w:footnote>
  <w:footnote w:type="continuationSeparator" w:id="0">
    <w:p w14:paraId="0AA3AABB" w14:textId="77777777" w:rsidR="002F4EC0" w:rsidRDefault="002F4EC0" w:rsidP="004F3A32">
      <w:pPr>
        <w:spacing w:after="0" w:line="240" w:lineRule="auto"/>
      </w:pPr>
      <w:r>
        <w:continuationSeparator/>
      </w:r>
    </w:p>
  </w:footnote>
  <w:footnote w:type="continuationNotice" w:id="1">
    <w:p w14:paraId="0B6E4527" w14:textId="77777777" w:rsidR="002F4EC0" w:rsidRDefault="002F4EC0">
      <w:pPr>
        <w:spacing w:after="0" w:line="240" w:lineRule="auto"/>
      </w:pPr>
    </w:p>
  </w:footnote>
  <w:footnote w:id="2">
    <w:p w14:paraId="5B7DA164" w14:textId="77777777" w:rsidR="00DE1B1F" w:rsidRDefault="00DE1B1F" w:rsidP="005D491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Sąvokos šiame skyriuje suprantamos taip, kaip nurodyta žemiau pagrindinių sąvokų ir sąlygų lentelėje.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54F6" w14:textId="77777777" w:rsidR="00DE1B1F" w:rsidRPr="00C3281F" w:rsidRDefault="00DE1B1F">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F"/>
    <w:multiLevelType w:val="hybridMultilevel"/>
    <w:tmpl w:val="CE98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20"/>
    <w:multiLevelType w:val="hybridMultilevel"/>
    <w:tmpl w:val="09C8A78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0000024"/>
    <w:multiLevelType w:val="hybridMultilevel"/>
    <w:tmpl w:val="4D8A3022"/>
    <w:lvl w:ilvl="0" w:tplc="456EDE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0000025"/>
    <w:multiLevelType w:val="hybridMultilevel"/>
    <w:tmpl w:val="495492CC"/>
    <w:lvl w:ilvl="0" w:tplc="C03089A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0000028"/>
    <w:multiLevelType w:val="hybridMultilevel"/>
    <w:tmpl w:val="F648F16A"/>
    <w:lvl w:ilvl="0" w:tplc="0E2C09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0000029"/>
    <w:multiLevelType w:val="hybridMultilevel"/>
    <w:tmpl w:val="E020EDB4"/>
    <w:lvl w:ilvl="0" w:tplc="9190DC00">
      <w:start w:val="1"/>
      <w:numFmt w:val="decimal"/>
      <w:lvlText w:val="%1."/>
      <w:lvlJc w:val="left"/>
      <w:pPr>
        <w:ind w:left="785" w:hanging="360"/>
      </w:pPr>
      <w:rPr>
        <w:rFonts w:hint="default"/>
        <w:b w:val="0"/>
        <w:bCs/>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000002D"/>
    <w:multiLevelType w:val="hybridMultilevel"/>
    <w:tmpl w:val="745A329A"/>
    <w:lvl w:ilvl="0" w:tplc="29B679BE">
      <w:start w:val="2"/>
      <w:numFmt w:val="bullet"/>
      <w:lvlText w:val="-"/>
      <w:lvlJc w:val="left"/>
      <w:pPr>
        <w:ind w:left="4474" w:hanging="360"/>
      </w:pPr>
      <w:rPr>
        <w:rFonts w:ascii="Arial" w:eastAsia="Calibri" w:hAnsi="Arial" w:cs="Arial" w:hint="default"/>
      </w:rPr>
    </w:lvl>
    <w:lvl w:ilvl="1" w:tplc="04270003" w:tentative="1">
      <w:start w:val="1"/>
      <w:numFmt w:val="bullet"/>
      <w:lvlText w:val="o"/>
      <w:lvlJc w:val="left"/>
      <w:pPr>
        <w:ind w:left="4544" w:hanging="360"/>
      </w:pPr>
      <w:rPr>
        <w:rFonts w:ascii="Courier New" w:hAnsi="Courier New" w:cs="Courier New" w:hint="default"/>
      </w:rPr>
    </w:lvl>
    <w:lvl w:ilvl="2" w:tplc="04270005" w:tentative="1">
      <w:start w:val="1"/>
      <w:numFmt w:val="bullet"/>
      <w:lvlText w:val=""/>
      <w:lvlJc w:val="left"/>
      <w:pPr>
        <w:ind w:left="5264" w:hanging="360"/>
      </w:pPr>
      <w:rPr>
        <w:rFonts w:ascii="Wingdings" w:hAnsi="Wingdings" w:hint="default"/>
      </w:rPr>
    </w:lvl>
    <w:lvl w:ilvl="3" w:tplc="04270001" w:tentative="1">
      <w:start w:val="1"/>
      <w:numFmt w:val="bullet"/>
      <w:lvlText w:val=""/>
      <w:lvlJc w:val="left"/>
      <w:pPr>
        <w:ind w:left="5984" w:hanging="360"/>
      </w:pPr>
      <w:rPr>
        <w:rFonts w:ascii="Symbol" w:hAnsi="Symbol" w:hint="default"/>
      </w:rPr>
    </w:lvl>
    <w:lvl w:ilvl="4" w:tplc="04270003" w:tentative="1">
      <w:start w:val="1"/>
      <w:numFmt w:val="bullet"/>
      <w:lvlText w:val="o"/>
      <w:lvlJc w:val="left"/>
      <w:pPr>
        <w:ind w:left="6704" w:hanging="360"/>
      </w:pPr>
      <w:rPr>
        <w:rFonts w:ascii="Courier New" w:hAnsi="Courier New" w:cs="Courier New" w:hint="default"/>
      </w:rPr>
    </w:lvl>
    <w:lvl w:ilvl="5" w:tplc="04270005" w:tentative="1">
      <w:start w:val="1"/>
      <w:numFmt w:val="bullet"/>
      <w:lvlText w:val=""/>
      <w:lvlJc w:val="left"/>
      <w:pPr>
        <w:ind w:left="7424" w:hanging="360"/>
      </w:pPr>
      <w:rPr>
        <w:rFonts w:ascii="Wingdings" w:hAnsi="Wingdings" w:hint="default"/>
      </w:rPr>
    </w:lvl>
    <w:lvl w:ilvl="6" w:tplc="04270001" w:tentative="1">
      <w:start w:val="1"/>
      <w:numFmt w:val="bullet"/>
      <w:lvlText w:val=""/>
      <w:lvlJc w:val="left"/>
      <w:pPr>
        <w:ind w:left="8144" w:hanging="360"/>
      </w:pPr>
      <w:rPr>
        <w:rFonts w:ascii="Symbol" w:hAnsi="Symbol" w:hint="default"/>
      </w:rPr>
    </w:lvl>
    <w:lvl w:ilvl="7" w:tplc="04270003" w:tentative="1">
      <w:start w:val="1"/>
      <w:numFmt w:val="bullet"/>
      <w:lvlText w:val="o"/>
      <w:lvlJc w:val="left"/>
      <w:pPr>
        <w:ind w:left="8864" w:hanging="360"/>
      </w:pPr>
      <w:rPr>
        <w:rFonts w:ascii="Courier New" w:hAnsi="Courier New" w:cs="Courier New" w:hint="default"/>
      </w:rPr>
    </w:lvl>
    <w:lvl w:ilvl="8" w:tplc="04270005" w:tentative="1">
      <w:start w:val="1"/>
      <w:numFmt w:val="bullet"/>
      <w:lvlText w:val=""/>
      <w:lvlJc w:val="left"/>
      <w:pPr>
        <w:ind w:left="9584" w:hanging="360"/>
      </w:pPr>
      <w:rPr>
        <w:rFonts w:ascii="Wingdings" w:hAnsi="Wingdings" w:hint="default"/>
      </w:rPr>
    </w:lvl>
  </w:abstractNum>
  <w:abstractNum w:abstractNumId="7" w15:restartNumberingAfterBreak="0">
    <w:nsid w:val="030F0D91"/>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8"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7547A9"/>
    <w:multiLevelType w:val="hybridMultilevel"/>
    <w:tmpl w:val="1F402764"/>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8B5995"/>
    <w:multiLevelType w:val="multilevel"/>
    <w:tmpl w:val="7D7C980A"/>
    <w:lvl w:ilvl="0">
      <w:start w:val="6"/>
      <w:numFmt w:val="decimal"/>
      <w:lvlText w:val="%1."/>
      <w:lvlJc w:val="left"/>
      <w:pPr>
        <w:ind w:left="1211" w:hanging="360"/>
      </w:pPr>
    </w:lvl>
    <w:lvl w:ilvl="1">
      <w:start w:val="1"/>
      <w:numFmt w:val="decimal"/>
      <w:isLgl/>
      <w:lvlText w:val="%1.%2."/>
      <w:lvlJc w:val="left"/>
      <w:pPr>
        <w:ind w:left="1271" w:hanging="42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11"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29347210"/>
    <w:multiLevelType w:val="hybridMultilevel"/>
    <w:tmpl w:val="1D30FCFA"/>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98" w:hanging="360"/>
      </w:pPr>
      <w:rPr>
        <w:rFonts w:ascii="Courier New" w:hAnsi="Courier New" w:cs="Courier New" w:hint="default"/>
      </w:rPr>
    </w:lvl>
    <w:lvl w:ilvl="2" w:tplc="04270005" w:tentative="1">
      <w:start w:val="1"/>
      <w:numFmt w:val="bullet"/>
      <w:lvlText w:val=""/>
      <w:lvlJc w:val="left"/>
      <w:pPr>
        <w:ind w:left="2218" w:hanging="360"/>
      </w:pPr>
      <w:rPr>
        <w:rFonts w:ascii="Wingdings" w:hAnsi="Wingdings" w:hint="default"/>
      </w:rPr>
    </w:lvl>
    <w:lvl w:ilvl="3" w:tplc="04270001" w:tentative="1">
      <w:start w:val="1"/>
      <w:numFmt w:val="bullet"/>
      <w:lvlText w:val=""/>
      <w:lvlJc w:val="left"/>
      <w:pPr>
        <w:ind w:left="2938" w:hanging="360"/>
      </w:pPr>
      <w:rPr>
        <w:rFonts w:ascii="Symbol" w:hAnsi="Symbol" w:hint="default"/>
      </w:rPr>
    </w:lvl>
    <w:lvl w:ilvl="4" w:tplc="04270003" w:tentative="1">
      <w:start w:val="1"/>
      <w:numFmt w:val="bullet"/>
      <w:lvlText w:val="o"/>
      <w:lvlJc w:val="left"/>
      <w:pPr>
        <w:ind w:left="3658" w:hanging="360"/>
      </w:pPr>
      <w:rPr>
        <w:rFonts w:ascii="Courier New" w:hAnsi="Courier New" w:cs="Courier New" w:hint="default"/>
      </w:rPr>
    </w:lvl>
    <w:lvl w:ilvl="5" w:tplc="04270005" w:tentative="1">
      <w:start w:val="1"/>
      <w:numFmt w:val="bullet"/>
      <w:lvlText w:val=""/>
      <w:lvlJc w:val="left"/>
      <w:pPr>
        <w:ind w:left="4378" w:hanging="360"/>
      </w:pPr>
      <w:rPr>
        <w:rFonts w:ascii="Wingdings" w:hAnsi="Wingdings" w:hint="default"/>
      </w:rPr>
    </w:lvl>
    <w:lvl w:ilvl="6" w:tplc="04270001" w:tentative="1">
      <w:start w:val="1"/>
      <w:numFmt w:val="bullet"/>
      <w:lvlText w:val=""/>
      <w:lvlJc w:val="left"/>
      <w:pPr>
        <w:ind w:left="5098" w:hanging="360"/>
      </w:pPr>
      <w:rPr>
        <w:rFonts w:ascii="Symbol" w:hAnsi="Symbol" w:hint="default"/>
      </w:rPr>
    </w:lvl>
    <w:lvl w:ilvl="7" w:tplc="04270003" w:tentative="1">
      <w:start w:val="1"/>
      <w:numFmt w:val="bullet"/>
      <w:lvlText w:val="o"/>
      <w:lvlJc w:val="left"/>
      <w:pPr>
        <w:ind w:left="5818" w:hanging="360"/>
      </w:pPr>
      <w:rPr>
        <w:rFonts w:ascii="Courier New" w:hAnsi="Courier New" w:cs="Courier New" w:hint="default"/>
      </w:rPr>
    </w:lvl>
    <w:lvl w:ilvl="8" w:tplc="04270005" w:tentative="1">
      <w:start w:val="1"/>
      <w:numFmt w:val="bullet"/>
      <w:lvlText w:val=""/>
      <w:lvlJc w:val="left"/>
      <w:pPr>
        <w:ind w:left="6538" w:hanging="360"/>
      </w:pPr>
      <w:rPr>
        <w:rFonts w:ascii="Wingdings" w:hAnsi="Wingdings" w:hint="default"/>
      </w:rPr>
    </w:lvl>
  </w:abstractNum>
  <w:abstractNum w:abstractNumId="15" w15:restartNumberingAfterBreak="0">
    <w:nsid w:val="29723FB1"/>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DE521A"/>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E16374"/>
    <w:multiLevelType w:val="multilevel"/>
    <w:tmpl w:val="0427001F"/>
    <w:numStyleLink w:val="Style1"/>
  </w:abstractNum>
  <w:abstractNum w:abstractNumId="19" w15:restartNumberingAfterBreak="0">
    <w:nsid w:val="2D915C88"/>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15:restartNumberingAfterBreak="0">
    <w:nsid w:val="42D5394C"/>
    <w:multiLevelType w:val="multilevel"/>
    <w:tmpl w:val="0427001F"/>
    <w:numStyleLink w:val="Style6"/>
  </w:abstractNum>
  <w:abstractNum w:abstractNumId="22"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FA765E"/>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A66B2F"/>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B23E2B"/>
    <w:multiLevelType w:val="multilevel"/>
    <w:tmpl w:val="A4A61714"/>
    <w:numStyleLink w:val="Style3"/>
  </w:abstractNum>
  <w:abstractNum w:abstractNumId="26" w15:restartNumberingAfterBreak="0">
    <w:nsid w:val="587B3CF0"/>
    <w:multiLevelType w:val="hybridMultilevel"/>
    <w:tmpl w:val="E3389C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CE553E"/>
    <w:multiLevelType w:val="multilevel"/>
    <w:tmpl w:val="0427001F"/>
    <w:numStyleLink w:val="Style5"/>
  </w:abstractNum>
  <w:abstractNum w:abstractNumId="29" w15:restartNumberingAfterBreak="0">
    <w:nsid w:val="67225A13"/>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6FA448F6"/>
    <w:multiLevelType w:val="hybridMultilevel"/>
    <w:tmpl w:val="4D8A3022"/>
    <w:lvl w:ilvl="0" w:tplc="456EDE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99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77CA5694"/>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E4C70D3"/>
    <w:multiLevelType w:val="multilevel"/>
    <w:tmpl w:val="0427001F"/>
    <w:numStyleLink w:val="Style2"/>
  </w:abstractNum>
  <w:abstractNum w:abstractNumId="35"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3"/>
  </w:num>
  <w:num w:numId="2">
    <w:abstractNumId w:val="32"/>
  </w:num>
  <w:num w:numId="3">
    <w:abstractNumId w:val="25"/>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1214" w:hanging="504"/>
        </w:pPr>
        <w:rPr>
          <w:rFonts w:hint="default"/>
        </w:rPr>
      </w:lvl>
    </w:lvlOverride>
  </w:num>
  <w:num w:numId="4">
    <w:abstractNumId w:val="18"/>
    <w:lvlOverride w:ilvl="2">
      <w:lvl w:ilvl="2">
        <w:start w:val="1"/>
        <w:numFmt w:val="decimal"/>
        <w:lvlText w:val="%1.%2.%3."/>
        <w:lvlJc w:val="left"/>
        <w:pPr>
          <w:ind w:left="1224" w:hanging="504"/>
        </w:pPr>
      </w:lvl>
    </w:lvlOverride>
  </w:num>
  <w:num w:numId="5">
    <w:abstractNumId w:val="21"/>
  </w:num>
  <w:num w:numId="6">
    <w:abstractNumId w:val="22"/>
  </w:num>
  <w:num w:numId="7">
    <w:abstractNumId w:val="8"/>
  </w:num>
  <w:num w:numId="8">
    <w:abstractNumId w:val="34"/>
    <w:lvlOverride w:ilvl="1">
      <w:lvl w:ilvl="1">
        <w:start w:val="1"/>
        <w:numFmt w:val="decimal"/>
        <w:lvlText w:val="%1.%2."/>
        <w:lvlJc w:val="left"/>
        <w:pPr>
          <w:ind w:left="432" w:hanging="432"/>
        </w:pPr>
      </w:lvl>
    </w:lvlOverride>
    <w:lvlOverride w:ilvl="2">
      <w:lvl w:ilvl="2">
        <w:start w:val="1"/>
        <w:numFmt w:val="decimal"/>
        <w:lvlText w:val="%1.%2.%3."/>
        <w:lvlJc w:val="left"/>
        <w:pPr>
          <w:ind w:left="1224" w:hanging="504"/>
        </w:pPr>
      </w:lvl>
    </w:lvlOverride>
  </w:num>
  <w:num w:numId="9">
    <w:abstractNumId w:val="17"/>
  </w:num>
  <w:num w:numId="10">
    <w:abstractNumId w:val="20"/>
  </w:num>
  <w:num w:numId="11">
    <w:abstractNumId w:val="28"/>
  </w:num>
  <w:num w:numId="12">
    <w:abstractNumId w:val="27"/>
  </w:num>
  <w:num w:numId="13">
    <w:abstractNumId w:val="35"/>
  </w:num>
  <w:num w:numId="14">
    <w:abstractNumId w:val="26"/>
  </w:num>
  <w:num w:numId="15">
    <w:abstractNumId w:val="36"/>
  </w:num>
  <w:num w:numId="16">
    <w:abstractNumId w:val="30"/>
  </w:num>
  <w:num w:numId="17">
    <w:abstractNumId w:val="11"/>
  </w:num>
  <w:num w:numId="18">
    <w:abstractNumId w:val="12"/>
  </w:num>
  <w:num w:numId="19">
    <w:abstractNumId w:val="7"/>
  </w:num>
  <w:num w:numId="20">
    <w:abstractNumId w:val="34"/>
    <w:lvlOverride w:ilvl="0">
      <w:startOverride w:val="3"/>
      <w:lvl w:ilvl="0">
        <w:start w:val="3"/>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31"/>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 w:numId="25">
    <w:abstractNumId w:val="4"/>
  </w:num>
  <w:num w:numId="26">
    <w:abstractNumId w:val="2"/>
  </w:num>
  <w:num w:numId="27">
    <w:abstractNumId w:val="1"/>
  </w:num>
  <w:num w:numId="28">
    <w:abstractNumId w:val="3"/>
  </w:num>
  <w:num w:numId="29">
    <w:abstractNumId w:val="5"/>
  </w:num>
  <w:num w:numId="30">
    <w:abstractNumId w:val="33"/>
  </w:num>
  <w:num w:numId="31">
    <w:abstractNumId w:val="19"/>
  </w:num>
  <w:num w:numId="32">
    <w:abstractNumId w:val="29"/>
  </w:num>
  <w:num w:numId="33">
    <w:abstractNumId w:val="23"/>
  </w:num>
  <w:num w:numId="34">
    <w:abstractNumId w:val="15"/>
  </w:num>
  <w:num w:numId="35">
    <w:abstractNumId w:val="24"/>
  </w:num>
  <w:num w:numId="36">
    <w:abstractNumId w:val="36"/>
  </w:num>
  <w:num w:numId="37">
    <w:abstractNumId w:val="14"/>
  </w:num>
  <w:num w:numId="38">
    <w:abstractNumId w:val="16"/>
  </w:num>
  <w:num w:numId="3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grammar="clean"/>
  <w:defaultTabStop w:val="1296"/>
  <w:hyphenationZone w:val="396"/>
  <w:characterSpacingControl w:val="doNotCompress"/>
  <w:hdrShapeDefaults>
    <o:shapedefaults v:ext="edit" spidmax="2049">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C"/>
    <w:rsid w:val="000001E1"/>
    <w:rsid w:val="00000650"/>
    <w:rsid w:val="0000072D"/>
    <w:rsid w:val="000007F2"/>
    <w:rsid w:val="00000B07"/>
    <w:rsid w:val="0000159D"/>
    <w:rsid w:val="00001622"/>
    <w:rsid w:val="00002CAB"/>
    <w:rsid w:val="0000327E"/>
    <w:rsid w:val="0000427F"/>
    <w:rsid w:val="00004474"/>
    <w:rsid w:val="000044A5"/>
    <w:rsid w:val="00004B2A"/>
    <w:rsid w:val="000053BE"/>
    <w:rsid w:val="00005FF2"/>
    <w:rsid w:val="000064FD"/>
    <w:rsid w:val="00010452"/>
    <w:rsid w:val="000114A3"/>
    <w:rsid w:val="00012357"/>
    <w:rsid w:val="000128EE"/>
    <w:rsid w:val="00012C6E"/>
    <w:rsid w:val="00012D30"/>
    <w:rsid w:val="00014361"/>
    <w:rsid w:val="000148FF"/>
    <w:rsid w:val="00015848"/>
    <w:rsid w:val="00015A50"/>
    <w:rsid w:val="00016EC2"/>
    <w:rsid w:val="000200A3"/>
    <w:rsid w:val="00020919"/>
    <w:rsid w:val="000209BE"/>
    <w:rsid w:val="00020C3C"/>
    <w:rsid w:val="00020FEC"/>
    <w:rsid w:val="0002117A"/>
    <w:rsid w:val="0002187D"/>
    <w:rsid w:val="00021C93"/>
    <w:rsid w:val="00021FA8"/>
    <w:rsid w:val="0002257C"/>
    <w:rsid w:val="0002271D"/>
    <w:rsid w:val="000229F9"/>
    <w:rsid w:val="00022B3B"/>
    <w:rsid w:val="000238E3"/>
    <w:rsid w:val="0002422D"/>
    <w:rsid w:val="0002460A"/>
    <w:rsid w:val="0002704A"/>
    <w:rsid w:val="0002734E"/>
    <w:rsid w:val="000273BD"/>
    <w:rsid w:val="000274AD"/>
    <w:rsid w:val="000274D7"/>
    <w:rsid w:val="00027F86"/>
    <w:rsid w:val="000310AB"/>
    <w:rsid w:val="0003250F"/>
    <w:rsid w:val="00032818"/>
    <w:rsid w:val="00032B5E"/>
    <w:rsid w:val="00033E86"/>
    <w:rsid w:val="00034CC1"/>
    <w:rsid w:val="00035106"/>
    <w:rsid w:val="000359DA"/>
    <w:rsid w:val="00035B2A"/>
    <w:rsid w:val="00036A7A"/>
    <w:rsid w:val="000376EE"/>
    <w:rsid w:val="0003776B"/>
    <w:rsid w:val="00037F62"/>
    <w:rsid w:val="00040A9A"/>
    <w:rsid w:val="00041F85"/>
    <w:rsid w:val="00042205"/>
    <w:rsid w:val="0004231A"/>
    <w:rsid w:val="0004262B"/>
    <w:rsid w:val="00042CE8"/>
    <w:rsid w:val="000433CD"/>
    <w:rsid w:val="00043485"/>
    <w:rsid w:val="00043BA4"/>
    <w:rsid w:val="00043FBF"/>
    <w:rsid w:val="00044073"/>
    <w:rsid w:val="0004467D"/>
    <w:rsid w:val="000447DA"/>
    <w:rsid w:val="000447FD"/>
    <w:rsid w:val="00044A1A"/>
    <w:rsid w:val="00044F3D"/>
    <w:rsid w:val="0004511D"/>
    <w:rsid w:val="0004533D"/>
    <w:rsid w:val="000457A3"/>
    <w:rsid w:val="000460BF"/>
    <w:rsid w:val="00046131"/>
    <w:rsid w:val="00046237"/>
    <w:rsid w:val="000471CE"/>
    <w:rsid w:val="000471E2"/>
    <w:rsid w:val="00047428"/>
    <w:rsid w:val="000478CB"/>
    <w:rsid w:val="00047D37"/>
    <w:rsid w:val="00050030"/>
    <w:rsid w:val="00050B2A"/>
    <w:rsid w:val="00050C3B"/>
    <w:rsid w:val="00050D3F"/>
    <w:rsid w:val="00050D9C"/>
    <w:rsid w:val="00050EE2"/>
    <w:rsid w:val="000512DC"/>
    <w:rsid w:val="00051D68"/>
    <w:rsid w:val="00051E3E"/>
    <w:rsid w:val="0005222D"/>
    <w:rsid w:val="00052824"/>
    <w:rsid w:val="00053F2D"/>
    <w:rsid w:val="00054E86"/>
    <w:rsid w:val="00055EBA"/>
    <w:rsid w:val="00056651"/>
    <w:rsid w:val="00056F0A"/>
    <w:rsid w:val="000578D7"/>
    <w:rsid w:val="00057A99"/>
    <w:rsid w:val="00057B5C"/>
    <w:rsid w:val="000606F7"/>
    <w:rsid w:val="00061105"/>
    <w:rsid w:val="00062650"/>
    <w:rsid w:val="00062E1B"/>
    <w:rsid w:val="00063843"/>
    <w:rsid w:val="00063A86"/>
    <w:rsid w:val="00063E59"/>
    <w:rsid w:val="000651EC"/>
    <w:rsid w:val="0006554F"/>
    <w:rsid w:val="00065D65"/>
    <w:rsid w:val="0006617E"/>
    <w:rsid w:val="00066B19"/>
    <w:rsid w:val="00066EC2"/>
    <w:rsid w:val="0006717D"/>
    <w:rsid w:val="00067663"/>
    <w:rsid w:val="00067696"/>
    <w:rsid w:val="0007035D"/>
    <w:rsid w:val="00070380"/>
    <w:rsid w:val="0007071F"/>
    <w:rsid w:val="0007088C"/>
    <w:rsid w:val="00070CCC"/>
    <w:rsid w:val="00070EFC"/>
    <w:rsid w:val="0007116E"/>
    <w:rsid w:val="0007172E"/>
    <w:rsid w:val="000718FD"/>
    <w:rsid w:val="00071C31"/>
    <w:rsid w:val="00072033"/>
    <w:rsid w:val="00072123"/>
    <w:rsid w:val="000721CB"/>
    <w:rsid w:val="000722F5"/>
    <w:rsid w:val="00072D00"/>
    <w:rsid w:val="000733E3"/>
    <w:rsid w:val="000737A4"/>
    <w:rsid w:val="00074220"/>
    <w:rsid w:val="0007444E"/>
    <w:rsid w:val="000747FE"/>
    <w:rsid w:val="00074DF7"/>
    <w:rsid w:val="0007566D"/>
    <w:rsid w:val="0007635A"/>
    <w:rsid w:val="0007662D"/>
    <w:rsid w:val="00076FD9"/>
    <w:rsid w:val="000771E1"/>
    <w:rsid w:val="00080232"/>
    <w:rsid w:val="000803C9"/>
    <w:rsid w:val="00080A4D"/>
    <w:rsid w:val="000815F0"/>
    <w:rsid w:val="0008179A"/>
    <w:rsid w:val="00081ECC"/>
    <w:rsid w:val="000821AD"/>
    <w:rsid w:val="0008270F"/>
    <w:rsid w:val="00082C2E"/>
    <w:rsid w:val="00083FEF"/>
    <w:rsid w:val="00084A36"/>
    <w:rsid w:val="00084EBF"/>
    <w:rsid w:val="000856A8"/>
    <w:rsid w:val="00087403"/>
    <w:rsid w:val="00087A0F"/>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6157"/>
    <w:rsid w:val="00097502"/>
    <w:rsid w:val="00097A3F"/>
    <w:rsid w:val="00097D5C"/>
    <w:rsid w:val="00097FB9"/>
    <w:rsid w:val="000A05F8"/>
    <w:rsid w:val="000A0C3B"/>
    <w:rsid w:val="000A1974"/>
    <w:rsid w:val="000A2958"/>
    <w:rsid w:val="000A2997"/>
    <w:rsid w:val="000A2F8A"/>
    <w:rsid w:val="000A3123"/>
    <w:rsid w:val="000A3208"/>
    <w:rsid w:val="000A3BBE"/>
    <w:rsid w:val="000A42BC"/>
    <w:rsid w:val="000A635C"/>
    <w:rsid w:val="000A7257"/>
    <w:rsid w:val="000A7D77"/>
    <w:rsid w:val="000A7F8E"/>
    <w:rsid w:val="000B03AE"/>
    <w:rsid w:val="000B1047"/>
    <w:rsid w:val="000B1224"/>
    <w:rsid w:val="000B1DC8"/>
    <w:rsid w:val="000B268D"/>
    <w:rsid w:val="000B2ACC"/>
    <w:rsid w:val="000B2F25"/>
    <w:rsid w:val="000B3BB3"/>
    <w:rsid w:val="000B3CED"/>
    <w:rsid w:val="000B4584"/>
    <w:rsid w:val="000B4AAC"/>
    <w:rsid w:val="000B57DB"/>
    <w:rsid w:val="000B5863"/>
    <w:rsid w:val="000B5C4C"/>
    <w:rsid w:val="000C0751"/>
    <w:rsid w:val="000C0F46"/>
    <w:rsid w:val="000C10BC"/>
    <w:rsid w:val="000C117C"/>
    <w:rsid w:val="000C16AD"/>
    <w:rsid w:val="000C1EFD"/>
    <w:rsid w:val="000C2C1E"/>
    <w:rsid w:val="000C2D7E"/>
    <w:rsid w:val="000C3927"/>
    <w:rsid w:val="000C3F5E"/>
    <w:rsid w:val="000C4A10"/>
    <w:rsid w:val="000C4A88"/>
    <w:rsid w:val="000C5133"/>
    <w:rsid w:val="000C57A8"/>
    <w:rsid w:val="000C57C0"/>
    <w:rsid w:val="000C5A79"/>
    <w:rsid w:val="000C5FFF"/>
    <w:rsid w:val="000C61C4"/>
    <w:rsid w:val="000C68F7"/>
    <w:rsid w:val="000C696D"/>
    <w:rsid w:val="000C73B3"/>
    <w:rsid w:val="000C7B36"/>
    <w:rsid w:val="000C7D9B"/>
    <w:rsid w:val="000D0F43"/>
    <w:rsid w:val="000D16D4"/>
    <w:rsid w:val="000D1754"/>
    <w:rsid w:val="000D1AB8"/>
    <w:rsid w:val="000D24A8"/>
    <w:rsid w:val="000D2819"/>
    <w:rsid w:val="000D2A27"/>
    <w:rsid w:val="000D339E"/>
    <w:rsid w:val="000D47C4"/>
    <w:rsid w:val="000D4987"/>
    <w:rsid w:val="000D53DD"/>
    <w:rsid w:val="000D5481"/>
    <w:rsid w:val="000D5887"/>
    <w:rsid w:val="000D5B5B"/>
    <w:rsid w:val="000D5E65"/>
    <w:rsid w:val="000D601C"/>
    <w:rsid w:val="000D65CF"/>
    <w:rsid w:val="000D7462"/>
    <w:rsid w:val="000D79A6"/>
    <w:rsid w:val="000E0922"/>
    <w:rsid w:val="000E12D8"/>
    <w:rsid w:val="000E1534"/>
    <w:rsid w:val="000E26FF"/>
    <w:rsid w:val="000E270D"/>
    <w:rsid w:val="000E2946"/>
    <w:rsid w:val="000E2995"/>
    <w:rsid w:val="000E3108"/>
    <w:rsid w:val="000E37A9"/>
    <w:rsid w:val="000E3D1B"/>
    <w:rsid w:val="000E55AA"/>
    <w:rsid w:val="000E56E8"/>
    <w:rsid w:val="000E5CF2"/>
    <w:rsid w:val="000E602B"/>
    <w:rsid w:val="000E720A"/>
    <w:rsid w:val="000F0046"/>
    <w:rsid w:val="000F0B6F"/>
    <w:rsid w:val="000F0EFE"/>
    <w:rsid w:val="000F1236"/>
    <w:rsid w:val="000F1495"/>
    <w:rsid w:val="000F14F0"/>
    <w:rsid w:val="000F1533"/>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05F"/>
    <w:rsid w:val="00106C97"/>
    <w:rsid w:val="00106D81"/>
    <w:rsid w:val="00106E38"/>
    <w:rsid w:val="0011006A"/>
    <w:rsid w:val="00110559"/>
    <w:rsid w:val="00110A90"/>
    <w:rsid w:val="00112220"/>
    <w:rsid w:val="00112895"/>
    <w:rsid w:val="00112997"/>
    <w:rsid w:val="00113389"/>
    <w:rsid w:val="0011392B"/>
    <w:rsid w:val="00113AAD"/>
    <w:rsid w:val="00114434"/>
    <w:rsid w:val="001152BF"/>
    <w:rsid w:val="001169E1"/>
    <w:rsid w:val="00117598"/>
    <w:rsid w:val="00117846"/>
    <w:rsid w:val="001178A7"/>
    <w:rsid w:val="0012161A"/>
    <w:rsid w:val="0012283B"/>
    <w:rsid w:val="00122DD0"/>
    <w:rsid w:val="00123952"/>
    <w:rsid w:val="00123FE7"/>
    <w:rsid w:val="0012498F"/>
    <w:rsid w:val="00124FA2"/>
    <w:rsid w:val="001256C8"/>
    <w:rsid w:val="00125A81"/>
    <w:rsid w:val="00125B5C"/>
    <w:rsid w:val="00125C97"/>
    <w:rsid w:val="00125DFD"/>
    <w:rsid w:val="00125E78"/>
    <w:rsid w:val="00125E97"/>
    <w:rsid w:val="001276AF"/>
    <w:rsid w:val="00131245"/>
    <w:rsid w:val="00131429"/>
    <w:rsid w:val="001315B4"/>
    <w:rsid w:val="00131E0B"/>
    <w:rsid w:val="00132D1E"/>
    <w:rsid w:val="001336B0"/>
    <w:rsid w:val="00133792"/>
    <w:rsid w:val="0013426E"/>
    <w:rsid w:val="00134FC1"/>
    <w:rsid w:val="00134FDD"/>
    <w:rsid w:val="001355DE"/>
    <w:rsid w:val="001361C1"/>
    <w:rsid w:val="001361CF"/>
    <w:rsid w:val="00136F53"/>
    <w:rsid w:val="00137BCE"/>
    <w:rsid w:val="00140536"/>
    <w:rsid w:val="0014063E"/>
    <w:rsid w:val="0014113B"/>
    <w:rsid w:val="0014116F"/>
    <w:rsid w:val="001411CF"/>
    <w:rsid w:val="00141655"/>
    <w:rsid w:val="001416F5"/>
    <w:rsid w:val="00141962"/>
    <w:rsid w:val="001425EF"/>
    <w:rsid w:val="0014294A"/>
    <w:rsid w:val="001429C4"/>
    <w:rsid w:val="0014368C"/>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83C"/>
    <w:rsid w:val="001551D0"/>
    <w:rsid w:val="00155B86"/>
    <w:rsid w:val="00155ED8"/>
    <w:rsid w:val="001568CD"/>
    <w:rsid w:val="001569D1"/>
    <w:rsid w:val="00157BC3"/>
    <w:rsid w:val="00160CA8"/>
    <w:rsid w:val="00161654"/>
    <w:rsid w:val="001616AB"/>
    <w:rsid w:val="001621E0"/>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75"/>
    <w:rsid w:val="00170D8E"/>
    <w:rsid w:val="001718BE"/>
    <w:rsid w:val="0017191E"/>
    <w:rsid w:val="00171F6D"/>
    <w:rsid w:val="00172178"/>
    <w:rsid w:val="0017220E"/>
    <w:rsid w:val="0017273E"/>
    <w:rsid w:val="0017351D"/>
    <w:rsid w:val="00173901"/>
    <w:rsid w:val="0017416F"/>
    <w:rsid w:val="00174BD2"/>
    <w:rsid w:val="001752A4"/>
    <w:rsid w:val="00175A4F"/>
    <w:rsid w:val="0017642B"/>
    <w:rsid w:val="00176D69"/>
    <w:rsid w:val="00176D6C"/>
    <w:rsid w:val="00177104"/>
    <w:rsid w:val="00177139"/>
    <w:rsid w:val="00180137"/>
    <w:rsid w:val="00180766"/>
    <w:rsid w:val="001809F2"/>
    <w:rsid w:val="00180CB7"/>
    <w:rsid w:val="00180CEE"/>
    <w:rsid w:val="00180D93"/>
    <w:rsid w:val="00181915"/>
    <w:rsid w:val="001820FD"/>
    <w:rsid w:val="0018361F"/>
    <w:rsid w:val="00183CBC"/>
    <w:rsid w:val="00184CBF"/>
    <w:rsid w:val="0018655D"/>
    <w:rsid w:val="00187223"/>
    <w:rsid w:val="00187A76"/>
    <w:rsid w:val="0019061E"/>
    <w:rsid w:val="00191C44"/>
    <w:rsid w:val="00191F30"/>
    <w:rsid w:val="0019235F"/>
    <w:rsid w:val="00192532"/>
    <w:rsid w:val="00192563"/>
    <w:rsid w:val="00192C8E"/>
    <w:rsid w:val="00194B3A"/>
    <w:rsid w:val="00194D28"/>
    <w:rsid w:val="00194E8F"/>
    <w:rsid w:val="001951A1"/>
    <w:rsid w:val="00195225"/>
    <w:rsid w:val="00196D19"/>
    <w:rsid w:val="00196E5A"/>
    <w:rsid w:val="00197D04"/>
    <w:rsid w:val="001A0099"/>
    <w:rsid w:val="001A0376"/>
    <w:rsid w:val="001A0E1A"/>
    <w:rsid w:val="001A15B3"/>
    <w:rsid w:val="001A1836"/>
    <w:rsid w:val="001A1CC5"/>
    <w:rsid w:val="001A1DEE"/>
    <w:rsid w:val="001A21AA"/>
    <w:rsid w:val="001A286C"/>
    <w:rsid w:val="001A2A03"/>
    <w:rsid w:val="001A4B1A"/>
    <w:rsid w:val="001A5092"/>
    <w:rsid w:val="001A5202"/>
    <w:rsid w:val="001A59A5"/>
    <w:rsid w:val="001A61D8"/>
    <w:rsid w:val="001A6C2B"/>
    <w:rsid w:val="001A6EDE"/>
    <w:rsid w:val="001A78C3"/>
    <w:rsid w:val="001B03A7"/>
    <w:rsid w:val="001B04AB"/>
    <w:rsid w:val="001B1455"/>
    <w:rsid w:val="001B1CCF"/>
    <w:rsid w:val="001B1E60"/>
    <w:rsid w:val="001B2683"/>
    <w:rsid w:val="001B29AF"/>
    <w:rsid w:val="001B2D89"/>
    <w:rsid w:val="001B308F"/>
    <w:rsid w:val="001B34D0"/>
    <w:rsid w:val="001B374D"/>
    <w:rsid w:val="001B4238"/>
    <w:rsid w:val="001B4881"/>
    <w:rsid w:val="001B4AE7"/>
    <w:rsid w:val="001B50FA"/>
    <w:rsid w:val="001B5366"/>
    <w:rsid w:val="001B74A3"/>
    <w:rsid w:val="001B7D40"/>
    <w:rsid w:val="001C0652"/>
    <w:rsid w:val="001C0A34"/>
    <w:rsid w:val="001C1291"/>
    <w:rsid w:val="001C1296"/>
    <w:rsid w:val="001C2A37"/>
    <w:rsid w:val="001C3C39"/>
    <w:rsid w:val="001C6716"/>
    <w:rsid w:val="001D0D6B"/>
    <w:rsid w:val="001D0E25"/>
    <w:rsid w:val="001D0F6A"/>
    <w:rsid w:val="001D12DE"/>
    <w:rsid w:val="001D1319"/>
    <w:rsid w:val="001D294F"/>
    <w:rsid w:val="001D29FB"/>
    <w:rsid w:val="001D3387"/>
    <w:rsid w:val="001D35D3"/>
    <w:rsid w:val="001D3D69"/>
    <w:rsid w:val="001D44C6"/>
    <w:rsid w:val="001D4F06"/>
    <w:rsid w:val="001D4FB5"/>
    <w:rsid w:val="001D50F2"/>
    <w:rsid w:val="001D5321"/>
    <w:rsid w:val="001D5415"/>
    <w:rsid w:val="001D594C"/>
    <w:rsid w:val="001D6572"/>
    <w:rsid w:val="001D6A23"/>
    <w:rsid w:val="001D6C7B"/>
    <w:rsid w:val="001D6F62"/>
    <w:rsid w:val="001D70BA"/>
    <w:rsid w:val="001E0E91"/>
    <w:rsid w:val="001E194E"/>
    <w:rsid w:val="001E1DEC"/>
    <w:rsid w:val="001E1EE2"/>
    <w:rsid w:val="001E1F87"/>
    <w:rsid w:val="001E2D60"/>
    <w:rsid w:val="001E2FEC"/>
    <w:rsid w:val="001E3056"/>
    <w:rsid w:val="001E35B1"/>
    <w:rsid w:val="001E3930"/>
    <w:rsid w:val="001E3988"/>
    <w:rsid w:val="001E4708"/>
    <w:rsid w:val="001E547D"/>
    <w:rsid w:val="001E602F"/>
    <w:rsid w:val="001E6266"/>
    <w:rsid w:val="001E6C67"/>
    <w:rsid w:val="001E73A9"/>
    <w:rsid w:val="001E7CC0"/>
    <w:rsid w:val="001F1281"/>
    <w:rsid w:val="001F152D"/>
    <w:rsid w:val="001F21EF"/>
    <w:rsid w:val="001F2412"/>
    <w:rsid w:val="001F272D"/>
    <w:rsid w:val="001F28CD"/>
    <w:rsid w:val="001F296E"/>
    <w:rsid w:val="001F3ACF"/>
    <w:rsid w:val="001F4EC5"/>
    <w:rsid w:val="001F4F2D"/>
    <w:rsid w:val="001F668B"/>
    <w:rsid w:val="001F7373"/>
    <w:rsid w:val="001F7410"/>
    <w:rsid w:val="001F7534"/>
    <w:rsid w:val="001F7940"/>
    <w:rsid w:val="001F7E66"/>
    <w:rsid w:val="001F7F35"/>
    <w:rsid w:val="0020029F"/>
    <w:rsid w:val="00202444"/>
    <w:rsid w:val="00203445"/>
    <w:rsid w:val="002034DA"/>
    <w:rsid w:val="00203635"/>
    <w:rsid w:val="00203CB4"/>
    <w:rsid w:val="00204052"/>
    <w:rsid w:val="0020472C"/>
    <w:rsid w:val="002047F8"/>
    <w:rsid w:val="00204F35"/>
    <w:rsid w:val="00206039"/>
    <w:rsid w:val="0020605F"/>
    <w:rsid w:val="00206589"/>
    <w:rsid w:val="002079C8"/>
    <w:rsid w:val="002101CC"/>
    <w:rsid w:val="002101FC"/>
    <w:rsid w:val="002103E9"/>
    <w:rsid w:val="00211518"/>
    <w:rsid w:val="00211A20"/>
    <w:rsid w:val="00211ADB"/>
    <w:rsid w:val="00211B77"/>
    <w:rsid w:val="002124A7"/>
    <w:rsid w:val="002127E0"/>
    <w:rsid w:val="002129E6"/>
    <w:rsid w:val="00212B77"/>
    <w:rsid w:val="00212F84"/>
    <w:rsid w:val="00213055"/>
    <w:rsid w:val="00213916"/>
    <w:rsid w:val="00213C06"/>
    <w:rsid w:val="002146FE"/>
    <w:rsid w:val="002147E9"/>
    <w:rsid w:val="00214967"/>
    <w:rsid w:val="0021563B"/>
    <w:rsid w:val="00215CE1"/>
    <w:rsid w:val="00215E00"/>
    <w:rsid w:val="0021649A"/>
    <w:rsid w:val="002172F3"/>
    <w:rsid w:val="00217BA0"/>
    <w:rsid w:val="002204C5"/>
    <w:rsid w:val="00221353"/>
    <w:rsid w:val="00222912"/>
    <w:rsid w:val="00222AAF"/>
    <w:rsid w:val="00222DEE"/>
    <w:rsid w:val="00223455"/>
    <w:rsid w:val="002241A1"/>
    <w:rsid w:val="00224638"/>
    <w:rsid w:val="0022470E"/>
    <w:rsid w:val="00224C9A"/>
    <w:rsid w:val="00226BD9"/>
    <w:rsid w:val="00226FFE"/>
    <w:rsid w:val="00227014"/>
    <w:rsid w:val="002276A9"/>
    <w:rsid w:val="00227921"/>
    <w:rsid w:val="00227B25"/>
    <w:rsid w:val="0023033D"/>
    <w:rsid w:val="002313B4"/>
    <w:rsid w:val="00231C3C"/>
    <w:rsid w:val="00231C8D"/>
    <w:rsid w:val="00231F00"/>
    <w:rsid w:val="00232628"/>
    <w:rsid w:val="00233282"/>
    <w:rsid w:val="00233A82"/>
    <w:rsid w:val="0023401C"/>
    <w:rsid w:val="002341CA"/>
    <w:rsid w:val="00234304"/>
    <w:rsid w:val="00235834"/>
    <w:rsid w:val="0023585C"/>
    <w:rsid w:val="00235863"/>
    <w:rsid w:val="00235D7A"/>
    <w:rsid w:val="00235ED1"/>
    <w:rsid w:val="00236CE8"/>
    <w:rsid w:val="00237A22"/>
    <w:rsid w:val="00237AA7"/>
    <w:rsid w:val="00240107"/>
    <w:rsid w:val="00240F00"/>
    <w:rsid w:val="00242284"/>
    <w:rsid w:val="00242524"/>
    <w:rsid w:val="00243571"/>
    <w:rsid w:val="002447D3"/>
    <w:rsid w:val="00244DAF"/>
    <w:rsid w:val="00244E64"/>
    <w:rsid w:val="0024589B"/>
    <w:rsid w:val="00245F84"/>
    <w:rsid w:val="00246648"/>
    <w:rsid w:val="00246B9F"/>
    <w:rsid w:val="00247CED"/>
    <w:rsid w:val="00247ECB"/>
    <w:rsid w:val="00250E8E"/>
    <w:rsid w:val="00251671"/>
    <w:rsid w:val="00251824"/>
    <w:rsid w:val="0025267B"/>
    <w:rsid w:val="002533ED"/>
    <w:rsid w:val="00253CF1"/>
    <w:rsid w:val="00253FE1"/>
    <w:rsid w:val="00254061"/>
    <w:rsid w:val="0025411A"/>
    <w:rsid w:val="00254494"/>
    <w:rsid w:val="00254E8E"/>
    <w:rsid w:val="002550C4"/>
    <w:rsid w:val="002552E2"/>
    <w:rsid w:val="0025588C"/>
    <w:rsid w:val="002566A0"/>
    <w:rsid w:val="002570D6"/>
    <w:rsid w:val="00261C37"/>
    <w:rsid w:val="00262982"/>
    <w:rsid w:val="00262F5B"/>
    <w:rsid w:val="00265408"/>
    <w:rsid w:val="00265D3A"/>
    <w:rsid w:val="00266524"/>
    <w:rsid w:val="00266D32"/>
    <w:rsid w:val="00267141"/>
    <w:rsid w:val="00267A7A"/>
    <w:rsid w:val="00267AE8"/>
    <w:rsid w:val="00270705"/>
    <w:rsid w:val="002719A4"/>
    <w:rsid w:val="00272291"/>
    <w:rsid w:val="00272F3E"/>
    <w:rsid w:val="00273222"/>
    <w:rsid w:val="0027356C"/>
    <w:rsid w:val="00273D5A"/>
    <w:rsid w:val="00273F7E"/>
    <w:rsid w:val="00274158"/>
    <w:rsid w:val="00274190"/>
    <w:rsid w:val="00274681"/>
    <w:rsid w:val="00274CE9"/>
    <w:rsid w:val="00275D2C"/>
    <w:rsid w:val="00276E90"/>
    <w:rsid w:val="002771A2"/>
    <w:rsid w:val="00277BAC"/>
    <w:rsid w:val="002803C2"/>
    <w:rsid w:val="00280B29"/>
    <w:rsid w:val="00281D28"/>
    <w:rsid w:val="00281E7E"/>
    <w:rsid w:val="002824F8"/>
    <w:rsid w:val="00282632"/>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16E"/>
    <w:rsid w:val="00290227"/>
    <w:rsid w:val="0029025D"/>
    <w:rsid w:val="002903C2"/>
    <w:rsid w:val="00290BA4"/>
    <w:rsid w:val="00290C45"/>
    <w:rsid w:val="00290CFD"/>
    <w:rsid w:val="00290DC6"/>
    <w:rsid w:val="002921AA"/>
    <w:rsid w:val="00292C88"/>
    <w:rsid w:val="002942D0"/>
    <w:rsid w:val="002943E8"/>
    <w:rsid w:val="002945AE"/>
    <w:rsid w:val="00294898"/>
    <w:rsid w:val="00294C46"/>
    <w:rsid w:val="00294FA1"/>
    <w:rsid w:val="00295339"/>
    <w:rsid w:val="002956E0"/>
    <w:rsid w:val="002957EB"/>
    <w:rsid w:val="00295BDB"/>
    <w:rsid w:val="00296508"/>
    <w:rsid w:val="00297D8D"/>
    <w:rsid w:val="002A0940"/>
    <w:rsid w:val="002A0D4B"/>
    <w:rsid w:val="002A137C"/>
    <w:rsid w:val="002A1ABE"/>
    <w:rsid w:val="002A3992"/>
    <w:rsid w:val="002A432D"/>
    <w:rsid w:val="002A43DB"/>
    <w:rsid w:val="002A449D"/>
    <w:rsid w:val="002A4699"/>
    <w:rsid w:val="002A4B2D"/>
    <w:rsid w:val="002A4D68"/>
    <w:rsid w:val="002A569E"/>
    <w:rsid w:val="002A689D"/>
    <w:rsid w:val="002A6A71"/>
    <w:rsid w:val="002A78AB"/>
    <w:rsid w:val="002B094D"/>
    <w:rsid w:val="002B0A03"/>
    <w:rsid w:val="002B115F"/>
    <w:rsid w:val="002B152E"/>
    <w:rsid w:val="002B1C1D"/>
    <w:rsid w:val="002B3097"/>
    <w:rsid w:val="002B3376"/>
    <w:rsid w:val="002B355E"/>
    <w:rsid w:val="002B3F19"/>
    <w:rsid w:val="002B4A2A"/>
    <w:rsid w:val="002B4E66"/>
    <w:rsid w:val="002B5AB0"/>
    <w:rsid w:val="002B6033"/>
    <w:rsid w:val="002B7852"/>
    <w:rsid w:val="002C00E4"/>
    <w:rsid w:val="002C040E"/>
    <w:rsid w:val="002C0780"/>
    <w:rsid w:val="002C17B5"/>
    <w:rsid w:val="002C2848"/>
    <w:rsid w:val="002C2D2D"/>
    <w:rsid w:val="002C30C1"/>
    <w:rsid w:val="002C33AC"/>
    <w:rsid w:val="002C3655"/>
    <w:rsid w:val="002C37E0"/>
    <w:rsid w:val="002C3C15"/>
    <w:rsid w:val="002C425B"/>
    <w:rsid w:val="002C43C7"/>
    <w:rsid w:val="002C4993"/>
    <w:rsid w:val="002C4F39"/>
    <w:rsid w:val="002C55D6"/>
    <w:rsid w:val="002C6286"/>
    <w:rsid w:val="002C7279"/>
    <w:rsid w:val="002C75F1"/>
    <w:rsid w:val="002D0463"/>
    <w:rsid w:val="002D0729"/>
    <w:rsid w:val="002D0816"/>
    <w:rsid w:val="002D263B"/>
    <w:rsid w:val="002D39B0"/>
    <w:rsid w:val="002D3E56"/>
    <w:rsid w:val="002D49EB"/>
    <w:rsid w:val="002D4ACA"/>
    <w:rsid w:val="002D4B61"/>
    <w:rsid w:val="002D5666"/>
    <w:rsid w:val="002D5784"/>
    <w:rsid w:val="002D67CC"/>
    <w:rsid w:val="002D737E"/>
    <w:rsid w:val="002D7787"/>
    <w:rsid w:val="002D7B22"/>
    <w:rsid w:val="002D7CA8"/>
    <w:rsid w:val="002D7EF7"/>
    <w:rsid w:val="002E01D8"/>
    <w:rsid w:val="002E0CF1"/>
    <w:rsid w:val="002E1F2A"/>
    <w:rsid w:val="002E25E3"/>
    <w:rsid w:val="002E272C"/>
    <w:rsid w:val="002E2BE5"/>
    <w:rsid w:val="002E2F26"/>
    <w:rsid w:val="002E3564"/>
    <w:rsid w:val="002E3A24"/>
    <w:rsid w:val="002E4007"/>
    <w:rsid w:val="002E4634"/>
    <w:rsid w:val="002E4CF2"/>
    <w:rsid w:val="002E4CFB"/>
    <w:rsid w:val="002E4D7F"/>
    <w:rsid w:val="002E5367"/>
    <w:rsid w:val="002E5B78"/>
    <w:rsid w:val="002E6288"/>
    <w:rsid w:val="002E6479"/>
    <w:rsid w:val="002E67F8"/>
    <w:rsid w:val="002E6B01"/>
    <w:rsid w:val="002E6B17"/>
    <w:rsid w:val="002E6B42"/>
    <w:rsid w:val="002E6C8A"/>
    <w:rsid w:val="002E6D91"/>
    <w:rsid w:val="002F01C2"/>
    <w:rsid w:val="002F046B"/>
    <w:rsid w:val="002F056A"/>
    <w:rsid w:val="002F0A0F"/>
    <w:rsid w:val="002F0D60"/>
    <w:rsid w:val="002F0DC6"/>
    <w:rsid w:val="002F0E3C"/>
    <w:rsid w:val="002F1B4D"/>
    <w:rsid w:val="002F1B93"/>
    <w:rsid w:val="002F2131"/>
    <w:rsid w:val="002F26B4"/>
    <w:rsid w:val="002F26DF"/>
    <w:rsid w:val="002F4426"/>
    <w:rsid w:val="002F4EC0"/>
    <w:rsid w:val="002F5274"/>
    <w:rsid w:val="002F53F9"/>
    <w:rsid w:val="002F621A"/>
    <w:rsid w:val="002F7CC4"/>
    <w:rsid w:val="00300A4E"/>
    <w:rsid w:val="00301266"/>
    <w:rsid w:val="00301443"/>
    <w:rsid w:val="00302276"/>
    <w:rsid w:val="003026D9"/>
    <w:rsid w:val="00302A5A"/>
    <w:rsid w:val="00302CCF"/>
    <w:rsid w:val="003038E6"/>
    <w:rsid w:val="00304B2B"/>
    <w:rsid w:val="00306141"/>
    <w:rsid w:val="00306AC9"/>
    <w:rsid w:val="00307568"/>
    <w:rsid w:val="00307881"/>
    <w:rsid w:val="00307B9A"/>
    <w:rsid w:val="00307C06"/>
    <w:rsid w:val="00310326"/>
    <w:rsid w:val="003107CE"/>
    <w:rsid w:val="0031082A"/>
    <w:rsid w:val="00310F02"/>
    <w:rsid w:val="003123F8"/>
    <w:rsid w:val="0031283B"/>
    <w:rsid w:val="00312D97"/>
    <w:rsid w:val="003137F9"/>
    <w:rsid w:val="00313995"/>
    <w:rsid w:val="003149D2"/>
    <w:rsid w:val="00314A1D"/>
    <w:rsid w:val="00314BF9"/>
    <w:rsid w:val="003155A9"/>
    <w:rsid w:val="003155DF"/>
    <w:rsid w:val="00315A84"/>
    <w:rsid w:val="0031666C"/>
    <w:rsid w:val="003172CC"/>
    <w:rsid w:val="0031774A"/>
    <w:rsid w:val="00317C1B"/>
    <w:rsid w:val="00317DFC"/>
    <w:rsid w:val="0032048B"/>
    <w:rsid w:val="00320602"/>
    <w:rsid w:val="00320744"/>
    <w:rsid w:val="00320F01"/>
    <w:rsid w:val="00320F95"/>
    <w:rsid w:val="003222AC"/>
    <w:rsid w:val="00322A81"/>
    <w:rsid w:val="003243CA"/>
    <w:rsid w:val="00324439"/>
    <w:rsid w:val="00324C67"/>
    <w:rsid w:val="0032567A"/>
    <w:rsid w:val="003257CB"/>
    <w:rsid w:val="00325EAA"/>
    <w:rsid w:val="0032636D"/>
    <w:rsid w:val="00326AE5"/>
    <w:rsid w:val="003278B4"/>
    <w:rsid w:val="0033070B"/>
    <w:rsid w:val="00330F16"/>
    <w:rsid w:val="003315E1"/>
    <w:rsid w:val="00331C30"/>
    <w:rsid w:val="00331C8C"/>
    <w:rsid w:val="00332576"/>
    <w:rsid w:val="003328BB"/>
    <w:rsid w:val="00333DD2"/>
    <w:rsid w:val="00333ED3"/>
    <w:rsid w:val="00334041"/>
    <w:rsid w:val="00334825"/>
    <w:rsid w:val="003355D4"/>
    <w:rsid w:val="00336B78"/>
    <w:rsid w:val="00336D1D"/>
    <w:rsid w:val="00336EA2"/>
    <w:rsid w:val="00337507"/>
    <w:rsid w:val="00337887"/>
    <w:rsid w:val="00337F97"/>
    <w:rsid w:val="003400E3"/>
    <w:rsid w:val="00340CC0"/>
    <w:rsid w:val="003411D4"/>
    <w:rsid w:val="00341E07"/>
    <w:rsid w:val="003427F1"/>
    <w:rsid w:val="00342F63"/>
    <w:rsid w:val="00343A34"/>
    <w:rsid w:val="0034497B"/>
    <w:rsid w:val="00345841"/>
    <w:rsid w:val="00345B8F"/>
    <w:rsid w:val="003460B2"/>
    <w:rsid w:val="003460C7"/>
    <w:rsid w:val="003468BF"/>
    <w:rsid w:val="00346E1E"/>
    <w:rsid w:val="00346F47"/>
    <w:rsid w:val="003477AD"/>
    <w:rsid w:val="00347B5B"/>
    <w:rsid w:val="00347DB5"/>
    <w:rsid w:val="003504D0"/>
    <w:rsid w:val="0035051C"/>
    <w:rsid w:val="00350692"/>
    <w:rsid w:val="00350D4E"/>
    <w:rsid w:val="003516A1"/>
    <w:rsid w:val="00351BC4"/>
    <w:rsid w:val="003535CA"/>
    <w:rsid w:val="003537C8"/>
    <w:rsid w:val="00354337"/>
    <w:rsid w:val="00354427"/>
    <w:rsid w:val="00354678"/>
    <w:rsid w:val="0035489B"/>
    <w:rsid w:val="00354E7F"/>
    <w:rsid w:val="0035511D"/>
    <w:rsid w:val="003552A3"/>
    <w:rsid w:val="003560BE"/>
    <w:rsid w:val="00356AA5"/>
    <w:rsid w:val="00357D70"/>
    <w:rsid w:val="00360247"/>
    <w:rsid w:val="00360657"/>
    <w:rsid w:val="00361EF4"/>
    <w:rsid w:val="00362125"/>
    <w:rsid w:val="00363086"/>
    <w:rsid w:val="0036326D"/>
    <w:rsid w:val="00364284"/>
    <w:rsid w:val="003642EB"/>
    <w:rsid w:val="00364550"/>
    <w:rsid w:val="003648B3"/>
    <w:rsid w:val="00365114"/>
    <w:rsid w:val="003653C7"/>
    <w:rsid w:val="003658D3"/>
    <w:rsid w:val="00365949"/>
    <w:rsid w:val="00365F02"/>
    <w:rsid w:val="00366157"/>
    <w:rsid w:val="003662BD"/>
    <w:rsid w:val="00366437"/>
    <w:rsid w:val="00366730"/>
    <w:rsid w:val="00366943"/>
    <w:rsid w:val="00367AA8"/>
    <w:rsid w:val="00367E4A"/>
    <w:rsid w:val="0037103E"/>
    <w:rsid w:val="00371185"/>
    <w:rsid w:val="0037251F"/>
    <w:rsid w:val="00372765"/>
    <w:rsid w:val="00372C36"/>
    <w:rsid w:val="00372CA0"/>
    <w:rsid w:val="00373E84"/>
    <w:rsid w:val="00374244"/>
    <w:rsid w:val="00374CE6"/>
    <w:rsid w:val="00375598"/>
    <w:rsid w:val="003756CA"/>
    <w:rsid w:val="003758C5"/>
    <w:rsid w:val="003758CE"/>
    <w:rsid w:val="00375EFE"/>
    <w:rsid w:val="00375F7A"/>
    <w:rsid w:val="003767A1"/>
    <w:rsid w:val="0037683A"/>
    <w:rsid w:val="00376F72"/>
    <w:rsid w:val="00380863"/>
    <w:rsid w:val="00380D41"/>
    <w:rsid w:val="00380DA5"/>
    <w:rsid w:val="00381E1C"/>
    <w:rsid w:val="0038367D"/>
    <w:rsid w:val="00383A6B"/>
    <w:rsid w:val="00383AFE"/>
    <w:rsid w:val="00384AC7"/>
    <w:rsid w:val="0038620C"/>
    <w:rsid w:val="00386391"/>
    <w:rsid w:val="003863ED"/>
    <w:rsid w:val="003864CC"/>
    <w:rsid w:val="00386CCA"/>
    <w:rsid w:val="00387364"/>
    <w:rsid w:val="00390FAE"/>
    <w:rsid w:val="003910DB"/>
    <w:rsid w:val="00392238"/>
    <w:rsid w:val="0039258C"/>
    <w:rsid w:val="00392936"/>
    <w:rsid w:val="0039295F"/>
    <w:rsid w:val="003929B4"/>
    <w:rsid w:val="00392BB1"/>
    <w:rsid w:val="003930A4"/>
    <w:rsid w:val="00393C10"/>
    <w:rsid w:val="003943A8"/>
    <w:rsid w:val="003943BC"/>
    <w:rsid w:val="0039456D"/>
    <w:rsid w:val="00394A39"/>
    <w:rsid w:val="00394C7C"/>
    <w:rsid w:val="0039511D"/>
    <w:rsid w:val="00395BD3"/>
    <w:rsid w:val="00395C40"/>
    <w:rsid w:val="00396605"/>
    <w:rsid w:val="003968D8"/>
    <w:rsid w:val="003A0F59"/>
    <w:rsid w:val="003A1716"/>
    <w:rsid w:val="003A1CA1"/>
    <w:rsid w:val="003A227F"/>
    <w:rsid w:val="003A2327"/>
    <w:rsid w:val="003A2B93"/>
    <w:rsid w:val="003A3912"/>
    <w:rsid w:val="003A40D0"/>
    <w:rsid w:val="003A479B"/>
    <w:rsid w:val="003A528C"/>
    <w:rsid w:val="003A5CDF"/>
    <w:rsid w:val="003A61D4"/>
    <w:rsid w:val="003A6B06"/>
    <w:rsid w:val="003A6B38"/>
    <w:rsid w:val="003A6B5C"/>
    <w:rsid w:val="003A6DEC"/>
    <w:rsid w:val="003B012A"/>
    <w:rsid w:val="003B0A8F"/>
    <w:rsid w:val="003B1411"/>
    <w:rsid w:val="003B2846"/>
    <w:rsid w:val="003B2C1E"/>
    <w:rsid w:val="003B3B1D"/>
    <w:rsid w:val="003B52F2"/>
    <w:rsid w:val="003B5421"/>
    <w:rsid w:val="003B5DF7"/>
    <w:rsid w:val="003B63B6"/>
    <w:rsid w:val="003B6595"/>
    <w:rsid w:val="003B675D"/>
    <w:rsid w:val="003B6BF3"/>
    <w:rsid w:val="003B6D93"/>
    <w:rsid w:val="003B7127"/>
    <w:rsid w:val="003C031C"/>
    <w:rsid w:val="003C0C06"/>
    <w:rsid w:val="003C136E"/>
    <w:rsid w:val="003C1C38"/>
    <w:rsid w:val="003C2158"/>
    <w:rsid w:val="003C2874"/>
    <w:rsid w:val="003C3058"/>
    <w:rsid w:val="003C305A"/>
    <w:rsid w:val="003C30B7"/>
    <w:rsid w:val="003C3506"/>
    <w:rsid w:val="003C3B52"/>
    <w:rsid w:val="003C3B89"/>
    <w:rsid w:val="003C3BD2"/>
    <w:rsid w:val="003C3CB0"/>
    <w:rsid w:val="003C3FC7"/>
    <w:rsid w:val="003C416F"/>
    <w:rsid w:val="003C4866"/>
    <w:rsid w:val="003C4B20"/>
    <w:rsid w:val="003C4D78"/>
    <w:rsid w:val="003C51FF"/>
    <w:rsid w:val="003C5475"/>
    <w:rsid w:val="003C5EA0"/>
    <w:rsid w:val="003C67A4"/>
    <w:rsid w:val="003C6B5A"/>
    <w:rsid w:val="003C6C5A"/>
    <w:rsid w:val="003C769C"/>
    <w:rsid w:val="003D094A"/>
    <w:rsid w:val="003D11C6"/>
    <w:rsid w:val="003D2517"/>
    <w:rsid w:val="003D25C5"/>
    <w:rsid w:val="003D2FB9"/>
    <w:rsid w:val="003D2FCF"/>
    <w:rsid w:val="003D395D"/>
    <w:rsid w:val="003D410C"/>
    <w:rsid w:val="003D66BF"/>
    <w:rsid w:val="003D753A"/>
    <w:rsid w:val="003D7DEF"/>
    <w:rsid w:val="003D7EDB"/>
    <w:rsid w:val="003D7F86"/>
    <w:rsid w:val="003E08D6"/>
    <w:rsid w:val="003E08EF"/>
    <w:rsid w:val="003E0AE8"/>
    <w:rsid w:val="003E0E7A"/>
    <w:rsid w:val="003E10DB"/>
    <w:rsid w:val="003E1169"/>
    <w:rsid w:val="003E19CD"/>
    <w:rsid w:val="003E1FB9"/>
    <w:rsid w:val="003E29B3"/>
    <w:rsid w:val="003E2AD5"/>
    <w:rsid w:val="003E31D6"/>
    <w:rsid w:val="003E45D7"/>
    <w:rsid w:val="003E4E09"/>
    <w:rsid w:val="003E5C9A"/>
    <w:rsid w:val="003E5F07"/>
    <w:rsid w:val="003E5FC0"/>
    <w:rsid w:val="003E6DF1"/>
    <w:rsid w:val="003F0D63"/>
    <w:rsid w:val="003F14DC"/>
    <w:rsid w:val="003F1711"/>
    <w:rsid w:val="003F1AB6"/>
    <w:rsid w:val="003F1E63"/>
    <w:rsid w:val="003F1F04"/>
    <w:rsid w:val="003F20CB"/>
    <w:rsid w:val="003F21F9"/>
    <w:rsid w:val="003F24C3"/>
    <w:rsid w:val="003F263F"/>
    <w:rsid w:val="003F267C"/>
    <w:rsid w:val="003F2FDF"/>
    <w:rsid w:val="003F39C5"/>
    <w:rsid w:val="003F3B19"/>
    <w:rsid w:val="003F3B6C"/>
    <w:rsid w:val="003F410E"/>
    <w:rsid w:val="003F41D8"/>
    <w:rsid w:val="003F44A7"/>
    <w:rsid w:val="003F4ACF"/>
    <w:rsid w:val="003F4BF8"/>
    <w:rsid w:val="003F4F73"/>
    <w:rsid w:val="003F58FF"/>
    <w:rsid w:val="003F5A1B"/>
    <w:rsid w:val="003F62C9"/>
    <w:rsid w:val="003F6337"/>
    <w:rsid w:val="003F63C3"/>
    <w:rsid w:val="003F669D"/>
    <w:rsid w:val="003F6824"/>
    <w:rsid w:val="003F6E57"/>
    <w:rsid w:val="003F7058"/>
    <w:rsid w:val="003F7B02"/>
    <w:rsid w:val="004002C5"/>
    <w:rsid w:val="00400445"/>
    <w:rsid w:val="0040165E"/>
    <w:rsid w:val="00401DF2"/>
    <w:rsid w:val="00403557"/>
    <w:rsid w:val="004039A6"/>
    <w:rsid w:val="00404E5A"/>
    <w:rsid w:val="0040505A"/>
    <w:rsid w:val="00405781"/>
    <w:rsid w:val="00405BAF"/>
    <w:rsid w:val="004068BB"/>
    <w:rsid w:val="00406E13"/>
    <w:rsid w:val="0040711D"/>
    <w:rsid w:val="00407D62"/>
    <w:rsid w:val="0041074D"/>
    <w:rsid w:val="00410889"/>
    <w:rsid w:val="00410C35"/>
    <w:rsid w:val="0041117C"/>
    <w:rsid w:val="004111AD"/>
    <w:rsid w:val="0041147D"/>
    <w:rsid w:val="004114B7"/>
    <w:rsid w:val="00411654"/>
    <w:rsid w:val="00413477"/>
    <w:rsid w:val="00413EB0"/>
    <w:rsid w:val="00414485"/>
    <w:rsid w:val="004146B7"/>
    <w:rsid w:val="00414BCE"/>
    <w:rsid w:val="00414EC7"/>
    <w:rsid w:val="00414FF1"/>
    <w:rsid w:val="004153F5"/>
    <w:rsid w:val="0041594C"/>
    <w:rsid w:val="004176F3"/>
    <w:rsid w:val="00417D42"/>
    <w:rsid w:val="00417DE7"/>
    <w:rsid w:val="00417FBD"/>
    <w:rsid w:val="004207C5"/>
    <w:rsid w:val="00420D82"/>
    <w:rsid w:val="004213E6"/>
    <w:rsid w:val="004217BD"/>
    <w:rsid w:val="004228D5"/>
    <w:rsid w:val="00422F06"/>
    <w:rsid w:val="00423100"/>
    <w:rsid w:val="0042397D"/>
    <w:rsid w:val="00423C4C"/>
    <w:rsid w:val="00423ECF"/>
    <w:rsid w:val="004243C0"/>
    <w:rsid w:val="00424575"/>
    <w:rsid w:val="004245B8"/>
    <w:rsid w:val="00424782"/>
    <w:rsid w:val="00424FA2"/>
    <w:rsid w:val="00425BD7"/>
    <w:rsid w:val="0042669C"/>
    <w:rsid w:val="00426A19"/>
    <w:rsid w:val="004277F0"/>
    <w:rsid w:val="00427E61"/>
    <w:rsid w:val="004300D2"/>
    <w:rsid w:val="0043030F"/>
    <w:rsid w:val="004308ED"/>
    <w:rsid w:val="00430C78"/>
    <w:rsid w:val="0043122C"/>
    <w:rsid w:val="00431922"/>
    <w:rsid w:val="00432066"/>
    <w:rsid w:val="00432290"/>
    <w:rsid w:val="004329D1"/>
    <w:rsid w:val="00432A84"/>
    <w:rsid w:val="00432B8A"/>
    <w:rsid w:val="00432CB8"/>
    <w:rsid w:val="00433107"/>
    <w:rsid w:val="004339D9"/>
    <w:rsid w:val="004341B5"/>
    <w:rsid w:val="00434965"/>
    <w:rsid w:val="00434A38"/>
    <w:rsid w:val="00435238"/>
    <w:rsid w:val="00435E4F"/>
    <w:rsid w:val="004360BC"/>
    <w:rsid w:val="00436238"/>
    <w:rsid w:val="004362CE"/>
    <w:rsid w:val="00437AD9"/>
    <w:rsid w:val="00437D8A"/>
    <w:rsid w:val="00440CE0"/>
    <w:rsid w:val="00440E3D"/>
    <w:rsid w:val="004415E8"/>
    <w:rsid w:val="00441AC6"/>
    <w:rsid w:val="00441D5D"/>
    <w:rsid w:val="004423F5"/>
    <w:rsid w:val="00442EB9"/>
    <w:rsid w:val="00442F69"/>
    <w:rsid w:val="004433B1"/>
    <w:rsid w:val="00443BBE"/>
    <w:rsid w:val="00443C10"/>
    <w:rsid w:val="00443F7B"/>
    <w:rsid w:val="0044423E"/>
    <w:rsid w:val="00444257"/>
    <w:rsid w:val="004444B6"/>
    <w:rsid w:val="00444ACB"/>
    <w:rsid w:val="00444CBF"/>
    <w:rsid w:val="004459BD"/>
    <w:rsid w:val="00445B71"/>
    <w:rsid w:val="00446271"/>
    <w:rsid w:val="00446E41"/>
    <w:rsid w:val="00446EF6"/>
    <w:rsid w:val="004473A6"/>
    <w:rsid w:val="00447CE2"/>
    <w:rsid w:val="0045004C"/>
    <w:rsid w:val="004504FB"/>
    <w:rsid w:val="004509C9"/>
    <w:rsid w:val="00451896"/>
    <w:rsid w:val="00451F6A"/>
    <w:rsid w:val="004523A0"/>
    <w:rsid w:val="004531E7"/>
    <w:rsid w:val="00453EFE"/>
    <w:rsid w:val="00454846"/>
    <w:rsid w:val="00455086"/>
    <w:rsid w:val="00455108"/>
    <w:rsid w:val="004557AB"/>
    <w:rsid w:val="00455B41"/>
    <w:rsid w:val="00455DFE"/>
    <w:rsid w:val="00456A96"/>
    <w:rsid w:val="00457125"/>
    <w:rsid w:val="0046052E"/>
    <w:rsid w:val="0046055B"/>
    <w:rsid w:val="004615DD"/>
    <w:rsid w:val="0046168A"/>
    <w:rsid w:val="00461893"/>
    <w:rsid w:val="00461CB4"/>
    <w:rsid w:val="00462AD1"/>
    <w:rsid w:val="0046300D"/>
    <w:rsid w:val="00463098"/>
    <w:rsid w:val="00463173"/>
    <w:rsid w:val="00464131"/>
    <w:rsid w:val="00464CD8"/>
    <w:rsid w:val="00464FB9"/>
    <w:rsid w:val="00465775"/>
    <w:rsid w:val="00465801"/>
    <w:rsid w:val="00465C34"/>
    <w:rsid w:val="004663B9"/>
    <w:rsid w:val="0046739D"/>
    <w:rsid w:val="004679BA"/>
    <w:rsid w:val="00470365"/>
    <w:rsid w:val="00470C02"/>
    <w:rsid w:val="00470ECB"/>
    <w:rsid w:val="0047296B"/>
    <w:rsid w:val="004734DE"/>
    <w:rsid w:val="0047386A"/>
    <w:rsid w:val="00476866"/>
    <w:rsid w:val="00476CAE"/>
    <w:rsid w:val="004770DC"/>
    <w:rsid w:val="00477235"/>
    <w:rsid w:val="004779E2"/>
    <w:rsid w:val="00482747"/>
    <w:rsid w:val="004829BE"/>
    <w:rsid w:val="00483091"/>
    <w:rsid w:val="004831A2"/>
    <w:rsid w:val="0048327E"/>
    <w:rsid w:val="0048335F"/>
    <w:rsid w:val="00483E09"/>
    <w:rsid w:val="00483E20"/>
    <w:rsid w:val="004848B9"/>
    <w:rsid w:val="00485233"/>
    <w:rsid w:val="004866B6"/>
    <w:rsid w:val="0048678D"/>
    <w:rsid w:val="004869A8"/>
    <w:rsid w:val="00487DBB"/>
    <w:rsid w:val="00487E34"/>
    <w:rsid w:val="0049065D"/>
    <w:rsid w:val="00490FE2"/>
    <w:rsid w:val="00490FE4"/>
    <w:rsid w:val="00491107"/>
    <w:rsid w:val="00491164"/>
    <w:rsid w:val="0049144B"/>
    <w:rsid w:val="0049162A"/>
    <w:rsid w:val="00492531"/>
    <w:rsid w:val="00493C1F"/>
    <w:rsid w:val="00493C91"/>
    <w:rsid w:val="00493DFB"/>
    <w:rsid w:val="00494267"/>
    <w:rsid w:val="004945B4"/>
    <w:rsid w:val="00494B14"/>
    <w:rsid w:val="00494DA8"/>
    <w:rsid w:val="00495102"/>
    <w:rsid w:val="0049518C"/>
    <w:rsid w:val="00496E15"/>
    <w:rsid w:val="00496F14"/>
    <w:rsid w:val="004979CD"/>
    <w:rsid w:val="00497FC8"/>
    <w:rsid w:val="004A04D7"/>
    <w:rsid w:val="004A0959"/>
    <w:rsid w:val="004A17A2"/>
    <w:rsid w:val="004A2A47"/>
    <w:rsid w:val="004A3C92"/>
    <w:rsid w:val="004A3DB2"/>
    <w:rsid w:val="004A3DE3"/>
    <w:rsid w:val="004A5298"/>
    <w:rsid w:val="004A5346"/>
    <w:rsid w:val="004A5FF1"/>
    <w:rsid w:val="004A7606"/>
    <w:rsid w:val="004A760B"/>
    <w:rsid w:val="004A769F"/>
    <w:rsid w:val="004A783B"/>
    <w:rsid w:val="004B0177"/>
    <w:rsid w:val="004B0790"/>
    <w:rsid w:val="004B0B94"/>
    <w:rsid w:val="004B30E5"/>
    <w:rsid w:val="004B3CB7"/>
    <w:rsid w:val="004B4851"/>
    <w:rsid w:val="004B4C5B"/>
    <w:rsid w:val="004B512C"/>
    <w:rsid w:val="004B53EB"/>
    <w:rsid w:val="004B5B02"/>
    <w:rsid w:val="004B6152"/>
    <w:rsid w:val="004B6AE3"/>
    <w:rsid w:val="004C08B5"/>
    <w:rsid w:val="004C0EE3"/>
    <w:rsid w:val="004C18BC"/>
    <w:rsid w:val="004C2523"/>
    <w:rsid w:val="004C393C"/>
    <w:rsid w:val="004C3FCA"/>
    <w:rsid w:val="004C4768"/>
    <w:rsid w:val="004C50F2"/>
    <w:rsid w:val="004C5741"/>
    <w:rsid w:val="004C5F5D"/>
    <w:rsid w:val="004C68F9"/>
    <w:rsid w:val="004C6925"/>
    <w:rsid w:val="004C6A5A"/>
    <w:rsid w:val="004C6BBB"/>
    <w:rsid w:val="004C7B70"/>
    <w:rsid w:val="004C7EC2"/>
    <w:rsid w:val="004C7F2E"/>
    <w:rsid w:val="004C7F8C"/>
    <w:rsid w:val="004D0390"/>
    <w:rsid w:val="004D0919"/>
    <w:rsid w:val="004D0C01"/>
    <w:rsid w:val="004D0D77"/>
    <w:rsid w:val="004D1196"/>
    <w:rsid w:val="004D1A78"/>
    <w:rsid w:val="004D2599"/>
    <w:rsid w:val="004D261F"/>
    <w:rsid w:val="004D3BB9"/>
    <w:rsid w:val="004D3C21"/>
    <w:rsid w:val="004D3C22"/>
    <w:rsid w:val="004D4453"/>
    <w:rsid w:val="004D536A"/>
    <w:rsid w:val="004D65EF"/>
    <w:rsid w:val="004D66C2"/>
    <w:rsid w:val="004D74A0"/>
    <w:rsid w:val="004D7EC1"/>
    <w:rsid w:val="004D7F23"/>
    <w:rsid w:val="004E0078"/>
    <w:rsid w:val="004E0605"/>
    <w:rsid w:val="004E098C"/>
    <w:rsid w:val="004E0F53"/>
    <w:rsid w:val="004E2C44"/>
    <w:rsid w:val="004E3EA0"/>
    <w:rsid w:val="004E3FFC"/>
    <w:rsid w:val="004E474A"/>
    <w:rsid w:val="004E4E0B"/>
    <w:rsid w:val="004E74FD"/>
    <w:rsid w:val="004E7BC8"/>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3CB"/>
    <w:rsid w:val="004F5999"/>
    <w:rsid w:val="004F6922"/>
    <w:rsid w:val="004F7251"/>
    <w:rsid w:val="004F7798"/>
    <w:rsid w:val="004F79D3"/>
    <w:rsid w:val="0050014D"/>
    <w:rsid w:val="00500B0D"/>
    <w:rsid w:val="00500C29"/>
    <w:rsid w:val="00501690"/>
    <w:rsid w:val="005019B8"/>
    <w:rsid w:val="00502160"/>
    <w:rsid w:val="00502475"/>
    <w:rsid w:val="005028AB"/>
    <w:rsid w:val="00503D77"/>
    <w:rsid w:val="00504D8D"/>
    <w:rsid w:val="005051C3"/>
    <w:rsid w:val="00505A70"/>
    <w:rsid w:val="00505CEE"/>
    <w:rsid w:val="00505D84"/>
    <w:rsid w:val="005060A0"/>
    <w:rsid w:val="005070D9"/>
    <w:rsid w:val="0050799C"/>
    <w:rsid w:val="00507ED0"/>
    <w:rsid w:val="0051024E"/>
    <w:rsid w:val="005103CC"/>
    <w:rsid w:val="00510EF4"/>
    <w:rsid w:val="0051129C"/>
    <w:rsid w:val="00511323"/>
    <w:rsid w:val="00511BF0"/>
    <w:rsid w:val="005125BF"/>
    <w:rsid w:val="005129D0"/>
    <w:rsid w:val="00512B17"/>
    <w:rsid w:val="00513A1D"/>
    <w:rsid w:val="00513BE7"/>
    <w:rsid w:val="00516336"/>
    <w:rsid w:val="0051681D"/>
    <w:rsid w:val="00516C4F"/>
    <w:rsid w:val="00520147"/>
    <w:rsid w:val="00522131"/>
    <w:rsid w:val="005221EE"/>
    <w:rsid w:val="0052240F"/>
    <w:rsid w:val="005229B9"/>
    <w:rsid w:val="00522C8F"/>
    <w:rsid w:val="00523FAA"/>
    <w:rsid w:val="00524275"/>
    <w:rsid w:val="0052484C"/>
    <w:rsid w:val="0052489C"/>
    <w:rsid w:val="00524E1C"/>
    <w:rsid w:val="0052633D"/>
    <w:rsid w:val="00527287"/>
    <w:rsid w:val="0052765D"/>
    <w:rsid w:val="00527C79"/>
    <w:rsid w:val="00527E22"/>
    <w:rsid w:val="00527E37"/>
    <w:rsid w:val="00530469"/>
    <w:rsid w:val="00531530"/>
    <w:rsid w:val="00531CBF"/>
    <w:rsid w:val="0053213B"/>
    <w:rsid w:val="0053271E"/>
    <w:rsid w:val="00532F36"/>
    <w:rsid w:val="00533C72"/>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2D00"/>
    <w:rsid w:val="00542D06"/>
    <w:rsid w:val="0054359B"/>
    <w:rsid w:val="005440B2"/>
    <w:rsid w:val="005442DF"/>
    <w:rsid w:val="00544B94"/>
    <w:rsid w:val="00544F6D"/>
    <w:rsid w:val="00545200"/>
    <w:rsid w:val="005476EC"/>
    <w:rsid w:val="00547BB6"/>
    <w:rsid w:val="00547D56"/>
    <w:rsid w:val="00550177"/>
    <w:rsid w:val="005502B1"/>
    <w:rsid w:val="00550832"/>
    <w:rsid w:val="00550D92"/>
    <w:rsid w:val="00551582"/>
    <w:rsid w:val="00552396"/>
    <w:rsid w:val="005524AC"/>
    <w:rsid w:val="00552D80"/>
    <w:rsid w:val="00552E96"/>
    <w:rsid w:val="00552F27"/>
    <w:rsid w:val="005535AC"/>
    <w:rsid w:val="005544B0"/>
    <w:rsid w:val="0055489D"/>
    <w:rsid w:val="005553EC"/>
    <w:rsid w:val="00555480"/>
    <w:rsid w:val="00555BB7"/>
    <w:rsid w:val="00556A8E"/>
    <w:rsid w:val="00556C38"/>
    <w:rsid w:val="00556D6F"/>
    <w:rsid w:val="00557552"/>
    <w:rsid w:val="00557C83"/>
    <w:rsid w:val="005600FE"/>
    <w:rsid w:val="005601D3"/>
    <w:rsid w:val="00560398"/>
    <w:rsid w:val="00560DD9"/>
    <w:rsid w:val="00561556"/>
    <w:rsid w:val="005633EA"/>
    <w:rsid w:val="00563D11"/>
    <w:rsid w:val="00563D86"/>
    <w:rsid w:val="00564D16"/>
    <w:rsid w:val="00565111"/>
    <w:rsid w:val="0056540A"/>
    <w:rsid w:val="00565CDE"/>
    <w:rsid w:val="0056651C"/>
    <w:rsid w:val="00567DC6"/>
    <w:rsid w:val="005704D0"/>
    <w:rsid w:val="005706DB"/>
    <w:rsid w:val="0057093D"/>
    <w:rsid w:val="00570D89"/>
    <w:rsid w:val="00571118"/>
    <w:rsid w:val="00571378"/>
    <w:rsid w:val="00571467"/>
    <w:rsid w:val="00571564"/>
    <w:rsid w:val="005715E4"/>
    <w:rsid w:val="00571613"/>
    <w:rsid w:val="00571B83"/>
    <w:rsid w:val="00571BCF"/>
    <w:rsid w:val="00571F09"/>
    <w:rsid w:val="005720A8"/>
    <w:rsid w:val="005722BA"/>
    <w:rsid w:val="00572A35"/>
    <w:rsid w:val="0057323F"/>
    <w:rsid w:val="00573961"/>
    <w:rsid w:val="00573B59"/>
    <w:rsid w:val="00574983"/>
    <w:rsid w:val="005759AD"/>
    <w:rsid w:val="005760CB"/>
    <w:rsid w:val="00576213"/>
    <w:rsid w:val="00576281"/>
    <w:rsid w:val="00576424"/>
    <w:rsid w:val="00576E68"/>
    <w:rsid w:val="005771B8"/>
    <w:rsid w:val="0057786A"/>
    <w:rsid w:val="005807CA"/>
    <w:rsid w:val="00580D16"/>
    <w:rsid w:val="005810EE"/>
    <w:rsid w:val="0058182C"/>
    <w:rsid w:val="00581A66"/>
    <w:rsid w:val="00583768"/>
    <w:rsid w:val="00583C05"/>
    <w:rsid w:val="00583EAB"/>
    <w:rsid w:val="00584824"/>
    <w:rsid w:val="005856EF"/>
    <w:rsid w:val="0058597D"/>
    <w:rsid w:val="00586217"/>
    <w:rsid w:val="00586984"/>
    <w:rsid w:val="00586E8A"/>
    <w:rsid w:val="00587842"/>
    <w:rsid w:val="005909E9"/>
    <w:rsid w:val="00591342"/>
    <w:rsid w:val="005913AD"/>
    <w:rsid w:val="00591742"/>
    <w:rsid w:val="00591C19"/>
    <w:rsid w:val="00593AB0"/>
    <w:rsid w:val="0059432F"/>
    <w:rsid w:val="00594D22"/>
    <w:rsid w:val="00594EC1"/>
    <w:rsid w:val="005952D0"/>
    <w:rsid w:val="00596DD1"/>
    <w:rsid w:val="00597C2F"/>
    <w:rsid w:val="005A0058"/>
    <w:rsid w:val="005A08E9"/>
    <w:rsid w:val="005A0C12"/>
    <w:rsid w:val="005A0F4F"/>
    <w:rsid w:val="005A10FB"/>
    <w:rsid w:val="005A29B5"/>
    <w:rsid w:val="005A2AEC"/>
    <w:rsid w:val="005A2D30"/>
    <w:rsid w:val="005A32D0"/>
    <w:rsid w:val="005A4975"/>
    <w:rsid w:val="005A4BD6"/>
    <w:rsid w:val="005A4D13"/>
    <w:rsid w:val="005A5231"/>
    <w:rsid w:val="005A5FCA"/>
    <w:rsid w:val="005A65B7"/>
    <w:rsid w:val="005A6F6C"/>
    <w:rsid w:val="005A7159"/>
    <w:rsid w:val="005B0820"/>
    <w:rsid w:val="005B1796"/>
    <w:rsid w:val="005B1958"/>
    <w:rsid w:val="005B42BF"/>
    <w:rsid w:val="005B4D7A"/>
    <w:rsid w:val="005B538E"/>
    <w:rsid w:val="005B58BE"/>
    <w:rsid w:val="005B72F7"/>
    <w:rsid w:val="005C059C"/>
    <w:rsid w:val="005C0AFE"/>
    <w:rsid w:val="005C15C5"/>
    <w:rsid w:val="005C1693"/>
    <w:rsid w:val="005C2288"/>
    <w:rsid w:val="005C2C92"/>
    <w:rsid w:val="005C2E34"/>
    <w:rsid w:val="005C3101"/>
    <w:rsid w:val="005C32D1"/>
    <w:rsid w:val="005C48F1"/>
    <w:rsid w:val="005C5485"/>
    <w:rsid w:val="005C5752"/>
    <w:rsid w:val="005C5EFF"/>
    <w:rsid w:val="005C5F97"/>
    <w:rsid w:val="005C71E8"/>
    <w:rsid w:val="005C7573"/>
    <w:rsid w:val="005C7779"/>
    <w:rsid w:val="005C7B41"/>
    <w:rsid w:val="005C7E86"/>
    <w:rsid w:val="005D0537"/>
    <w:rsid w:val="005D0A11"/>
    <w:rsid w:val="005D0B62"/>
    <w:rsid w:val="005D1A2B"/>
    <w:rsid w:val="005D227A"/>
    <w:rsid w:val="005D2939"/>
    <w:rsid w:val="005D2E5E"/>
    <w:rsid w:val="005D335A"/>
    <w:rsid w:val="005D39D7"/>
    <w:rsid w:val="005D3C98"/>
    <w:rsid w:val="005D4204"/>
    <w:rsid w:val="005D491B"/>
    <w:rsid w:val="005D4CE8"/>
    <w:rsid w:val="005D5278"/>
    <w:rsid w:val="005D545A"/>
    <w:rsid w:val="005D5736"/>
    <w:rsid w:val="005D5897"/>
    <w:rsid w:val="005D5E02"/>
    <w:rsid w:val="005D7148"/>
    <w:rsid w:val="005D75D7"/>
    <w:rsid w:val="005D7AAE"/>
    <w:rsid w:val="005E03E5"/>
    <w:rsid w:val="005E11BD"/>
    <w:rsid w:val="005E2768"/>
    <w:rsid w:val="005E3869"/>
    <w:rsid w:val="005E46FB"/>
    <w:rsid w:val="005E5027"/>
    <w:rsid w:val="005E5196"/>
    <w:rsid w:val="005E548B"/>
    <w:rsid w:val="005E54A7"/>
    <w:rsid w:val="005E58BD"/>
    <w:rsid w:val="005E5909"/>
    <w:rsid w:val="005E5AC4"/>
    <w:rsid w:val="005E5CD9"/>
    <w:rsid w:val="005E6249"/>
    <w:rsid w:val="005E6384"/>
    <w:rsid w:val="005E649F"/>
    <w:rsid w:val="005E7787"/>
    <w:rsid w:val="005E7AA1"/>
    <w:rsid w:val="005F0CFF"/>
    <w:rsid w:val="005F22C2"/>
    <w:rsid w:val="005F243F"/>
    <w:rsid w:val="005F3EFD"/>
    <w:rsid w:val="005F4458"/>
    <w:rsid w:val="005F4977"/>
    <w:rsid w:val="005F50A3"/>
    <w:rsid w:val="005F5355"/>
    <w:rsid w:val="005F556D"/>
    <w:rsid w:val="005F619E"/>
    <w:rsid w:val="005F6C42"/>
    <w:rsid w:val="005F6F2F"/>
    <w:rsid w:val="005F764F"/>
    <w:rsid w:val="0060051F"/>
    <w:rsid w:val="00601404"/>
    <w:rsid w:val="0060165F"/>
    <w:rsid w:val="00601DD8"/>
    <w:rsid w:val="00602257"/>
    <w:rsid w:val="00602DA6"/>
    <w:rsid w:val="0060338D"/>
    <w:rsid w:val="00604B0D"/>
    <w:rsid w:val="00604FC2"/>
    <w:rsid w:val="00604FF7"/>
    <w:rsid w:val="00605252"/>
    <w:rsid w:val="0060582D"/>
    <w:rsid w:val="00606269"/>
    <w:rsid w:val="006064E2"/>
    <w:rsid w:val="00606A65"/>
    <w:rsid w:val="0060760F"/>
    <w:rsid w:val="00610844"/>
    <w:rsid w:val="00610A86"/>
    <w:rsid w:val="00610FFD"/>
    <w:rsid w:val="006117E1"/>
    <w:rsid w:val="00611860"/>
    <w:rsid w:val="00612AE6"/>
    <w:rsid w:val="00612C3A"/>
    <w:rsid w:val="00613233"/>
    <w:rsid w:val="0061365D"/>
    <w:rsid w:val="00613D0A"/>
    <w:rsid w:val="00613F8C"/>
    <w:rsid w:val="006148B9"/>
    <w:rsid w:val="0061491D"/>
    <w:rsid w:val="00614BFD"/>
    <w:rsid w:val="00614C53"/>
    <w:rsid w:val="00614D39"/>
    <w:rsid w:val="00614EBE"/>
    <w:rsid w:val="006152E4"/>
    <w:rsid w:val="006153BA"/>
    <w:rsid w:val="006156BD"/>
    <w:rsid w:val="0061571A"/>
    <w:rsid w:val="00617DB2"/>
    <w:rsid w:val="0062056D"/>
    <w:rsid w:val="0062095F"/>
    <w:rsid w:val="00620BA5"/>
    <w:rsid w:val="0062166F"/>
    <w:rsid w:val="00621777"/>
    <w:rsid w:val="00621A62"/>
    <w:rsid w:val="00622124"/>
    <w:rsid w:val="00622662"/>
    <w:rsid w:val="00622E46"/>
    <w:rsid w:val="0062392B"/>
    <w:rsid w:val="00623F9D"/>
    <w:rsid w:val="00624087"/>
    <w:rsid w:val="00624233"/>
    <w:rsid w:val="006249B4"/>
    <w:rsid w:val="006255CA"/>
    <w:rsid w:val="006261A7"/>
    <w:rsid w:val="00626252"/>
    <w:rsid w:val="00627C73"/>
    <w:rsid w:val="00630544"/>
    <w:rsid w:val="006315F5"/>
    <w:rsid w:val="00631A5E"/>
    <w:rsid w:val="00631BCF"/>
    <w:rsid w:val="0063236B"/>
    <w:rsid w:val="00632533"/>
    <w:rsid w:val="006327F1"/>
    <w:rsid w:val="006329D6"/>
    <w:rsid w:val="006329E5"/>
    <w:rsid w:val="006331D5"/>
    <w:rsid w:val="006333A1"/>
    <w:rsid w:val="006333D7"/>
    <w:rsid w:val="0063363D"/>
    <w:rsid w:val="00633914"/>
    <w:rsid w:val="0063442F"/>
    <w:rsid w:val="0063467F"/>
    <w:rsid w:val="006372F0"/>
    <w:rsid w:val="006379E6"/>
    <w:rsid w:val="00642555"/>
    <w:rsid w:val="00642670"/>
    <w:rsid w:val="00642934"/>
    <w:rsid w:val="0064358E"/>
    <w:rsid w:val="00643897"/>
    <w:rsid w:val="00643CA7"/>
    <w:rsid w:val="00644AF5"/>
    <w:rsid w:val="00644C43"/>
    <w:rsid w:val="00644DFB"/>
    <w:rsid w:val="0064648E"/>
    <w:rsid w:val="00650373"/>
    <w:rsid w:val="00650E83"/>
    <w:rsid w:val="0065145C"/>
    <w:rsid w:val="0065200E"/>
    <w:rsid w:val="00652578"/>
    <w:rsid w:val="006527CA"/>
    <w:rsid w:val="0065348F"/>
    <w:rsid w:val="006534CA"/>
    <w:rsid w:val="0065422E"/>
    <w:rsid w:val="00654C59"/>
    <w:rsid w:val="0065582F"/>
    <w:rsid w:val="006558D4"/>
    <w:rsid w:val="0065597F"/>
    <w:rsid w:val="00655DDB"/>
    <w:rsid w:val="00656B56"/>
    <w:rsid w:val="00656F40"/>
    <w:rsid w:val="00656F6A"/>
    <w:rsid w:val="00657720"/>
    <w:rsid w:val="00657A70"/>
    <w:rsid w:val="00660612"/>
    <w:rsid w:val="006619F6"/>
    <w:rsid w:val="00662829"/>
    <w:rsid w:val="0066294B"/>
    <w:rsid w:val="00662A14"/>
    <w:rsid w:val="00663D82"/>
    <w:rsid w:val="00664625"/>
    <w:rsid w:val="00665146"/>
    <w:rsid w:val="006651C7"/>
    <w:rsid w:val="00665DC9"/>
    <w:rsid w:val="006668E4"/>
    <w:rsid w:val="006674E0"/>
    <w:rsid w:val="00667838"/>
    <w:rsid w:val="00667B1F"/>
    <w:rsid w:val="00670288"/>
    <w:rsid w:val="0067091D"/>
    <w:rsid w:val="00670B23"/>
    <w:rsid w:val="00670DC8"/>
    <w:rsid w:val="00671336"/>
    <w:rsid w:val="00672EAC"/>
    <w:rsid w:val="0067403A"/>
    <w:rsid w:val="00674189"/>
    <w:rsid w:val="00674BF2"/>
    <w:rsid w:val="00675739"/>
    <w:rsid w:val="00675992"/>
    <w:rsid w:val="006759A4"/>
    <w:rsid w:val="006765DF"/>
    <w:rsid w:val="00676ED6"/>
    <w:rsid w:val="00676FE9"/>
    <w:rsid w:val="00677B90"/>
    <w:rsid w:val="006803A6"/>
    <w:rsid w:val="006811D5"/>
    <w:rsid w:val="006811F2"/>
    <w:rsid w:val="00681B58"/>
    <w:rsid w:val="00682257"/>
    <w:rsid w:val="00682F90"/>
    <w:rsid w:val="006830DE"/>
    <w:rsid w:val="00683A88"/>
    <w:rsid w:val="00683E68"/>
    <w:rsid w:val="00684CE7"/>
    <w:rsid w:val="00684E0E"/>
    <w:rsid w:val="006850C7"/>
    <w:rsid w:val="00685397"/>
    <w:rsid w:val="00685432"/>
    <w:rsid w:val="00685AFD"/>
    <w:rsid w:val="00685EB7"/>
    <w:rsid w:val="00686C29"/>
    <w:rsid w:val="006871F1"/>
    <w:rsid w:val="00687A9C"/>
    <w:rsid w:val="006906EE"/>
    <w:rsid w:val="00690897"/>
    <w:rsid w:val="00690C0C"/>
    <w:rsid w:val="00691613"/>
    <w:rsid w:val="00691E1A"/>
    <w:rsid w:val="006927EB"/>
    <w:rsid w:val="00692CD0"/>
    <w:rsid w:val="00692F21"/>
    <w:rsid w:val="00693342"/>
    <w:rsid w:val="00693399"/>
    <w:rsid w:val="0069371B"/>
    <w:rsid w:val="00693B47"/>
    <w:rsid w:val="00693E8A"/>
    <w:rsid w:val="00693F9B"/>
    <w:rsid w:val="0069425C"/>
    <w:rsid w:val="00694916"/>
    <w:rsid w:val="006952B3"/>
    <w:rsid w:val="00695772"/>
    <w:rsid w:val="006957C5"/>
    <w:rsid w:val="0069630A"/>
    <w:rsid w:val="006966C1"/>
    <w:rsid w:val="006968FD"/>
    <w:rsid w:val="0069706D"/>
    <w:rsid w:val="006972AE"/>
    <w:rsid w:val="00697A5B"/>
    <w:rsid w:val="00697D5D"/>
    <w:rsid w:val="00697F1F"/>
    <w:rsid w:val="006A021C"/>
    <w:rsid w:val="006A0ECB"/>
    <w:rsid w:val="006A10D2"/>
    <w:rsid w:val="006A2545"/>
    <w:rsid w:val="006A2A88"/>
    <w:rsid w:val="006A4D2D"/>
    <w:rsid w:val="006A5805"/>
    <w:rsid w:val="006A6559"/>
    <w:rsid w:val="006B0176"/>
    <w:rsid w:val="006B03C2"/>
    <w:rsid w:val="006B056B"/>
    <w:rsid w:val="006B067A"/>
    <w:rsid w:val="006B0A73"/>
    <w:rsid w:val="006B180C"/>
    <w:rsid w:val="006B1AF0"/>
    <w:rsid w:val="006B1D08"/>
    <w:rsid w:val="006B1DF2"/>
    <w:rsid w:val="006B33E5"/>
    <w:rsid w:val="006B3EB1"/>
    <w:rsid w:val="006B4280"/>
    <w:rsid w:val="006B5017"/>
    <w:rsid w:val="006B5962"/>
    <w:rsid w:val="006B5B9A"/>
    <w:rsid w:val="006B6A28"/>
    <w:rsid w:val="006B7328"/>
    <w:rsid w:val="006B7B8B"/>
    <w:rsid w:val="006C0879"/>
    <w:rsid w:val="006C13CA"/>
    <w:rsid w:val="006C14F8"/>
    <w:rsid w:val="006C18AC"/>
    <w:rsid w:val="006C2A87"/>
    <w:rsid w:val="006C2F20"/>
    <w:rsid w:val="006C3112"/>
    <w:rsid w:val="006C3776"/>
    <w:rsid w:val="006C3DD1"/>
    <w:rsid w:val="006C40B9"/>
    <w:rsid w:val="006C4FD6"/>
    <w:rsid w:val="006C72E2"/>
    <w:rsid w:val="006C7A05"/>
    <w:rsid w:val="006C7DD2"/>
    <w:rsid w:val="006D0043"/>
    <w:rsid w:val="006D0F1B"/>
    <w:rsid w:val="006D1089"/>
    <w:rsid w:val="006D1376"/>
    <w:rsid w:val="006D191D"/>
    <w:rsid w:val="006D23CC"/>
    <w:rsid w:val="006D294F"/>
    <w:rsid w:val="006D29C9"/>
    <w:rsid w:val="006D2BB0"/>
    <w:rsid w:val="006D2FCD"/>
    <w:rsid w:val="006D450A"/>
    <w:rsid w:val="006D4E1F"/>
    <w:rsid w:val="006D51DA"/>
    <w:rsid w:val="006D53D5"/>
    <w:rsid w:val="006D5ABA"/>
    <w:rsid w:val="006D6215"/>
    <w:rsid w:val="006D6E11"/>
    <w:rsid w:val="006D70CB"/>
    <w:rsid w:val="006D70E8"/>
    <w:rsid w:val="006D7846"/>
    <w:rsid w:val="006D7AA7"/>
    <w:rsid w:val="006D7BE4"/>
    <w:rsid w:val="006E0758"/>
    <w:rsid w:val="006E0E86"/>
    <w:rsid w:val="006E1278"/>
    <w:rsid w:val="006E160E"/>
    <w:rsid w:val="006E1A5C"/>
    <w:rsid w:val="006E25D3"/>
    <w:rsid w:val="006E279D"/>
    <w:rsid w:val="006E2B69"/>
    <w:rsid w:val="006E2E9D"/>
    <w:rsid w:val="006E3239"/>
    <w:rsid w:val="006E3447"/>
    <w:rsid w:val="006E393C"/>
    <w:rsid w:val="006E3E80"/>
    <w:rsid w:val="006E3F77"/>
    <w:rsid w:val="006E42E6"/>
    <w:rsid w:val="006E4D55"/>
    <w:rsid w:val="006E543B"/>
    <w:rsid w:val="006E6005"/>
    <w:rsid w:val="006E60DF"/>
    <w:rsid w:val="006E63B5"/>
    <w:rsid w:val="006E693E"/>
    <w:rsid w:val="006E6B62"/>
    <w:rsid w:val="006E6CF4"/>
    <w:rsid w:val="006E7051"/>
    <w:rsid w:val="006E715A"/>
    <w:rsid w:val="006F035E"/>
    <w:rsid w:val="006F0853"/>
    <w:rsid w:val="006F0979"/>
    <w:rsid w:val="006F0DA3"/>
    <w:rsid w:val="006F1EB4"/>
    <w:rsid w:val="006F2621"/>
    <w:rsid w:val="006F29E1"/>
    <w:rsid w:val="006F2AAE"/>
    <w:rsid w:val="006F3FC1"/>
    <w:rsid w:val="006F420B"/>
    <w:rsid w:val="006F4350"/>
    <w:rsid w:val="006F473C"/>
    <w:rsid w:val="006F4B2B"/>
    <w:rsid w:val="006F5119"/>
    <w:rsid w:val="006F5C5C"/>
    <w:rsid w:val="006F613F"/>
    <w:rsid w:val="006F6235"/>
    <w:rsid w:val="006F68B2"/>
    <w:rsid w:val="006F7FA0"/>
    <w:rsid w:val="0070015D"/>
    <w:rsid w:val="00701384"/>
    <w:rsid w:val="00701D46"/>
    <w:rsid w:val="00701E0F"/>
    <w:rsid w:val="00702BE2"/>
    <w:rsid w:val="00702D5F"/>
    <w:rsid w:val="007038D5"/>
    <w:rsid w:val="00703FF8"/>
    <w:rsid w:val="00704B81"/>
    <w:rsid w:val="00704F71"/>
    <w:rsid w:val="007052DC"/>
    <w:rsid w:val="00705B30"/>
    <w:rsid w:val="00705D34"/>
    <w:rsid w:val="00706797"/>
    <w:rsid w:val="00707051"/>
    <w:rsid w:val="007075A0"/>
    <w:rsid w:val="00707B03"/>
    <w:rsid w:val="007107F5"/>
    <w:rsid w:val="0071099B"/>
    <w:rsid w:val="00711915"/>
    <w:rsid w:val="00711D77"/>
    <w:rsid w:val="00712291"/>
    <w:rsid w:val="007123BF"/>
    <w:rsid w:val="00712417"/>
    <w:rsid w:val="00712D5F"/>
    <w:rsid w:val="007133A2"/>
    <w:rsid w:val="00713804"/>
    <w:rsid w:val="00713F33"/>
    <w:rsid w:val="0071449A"/>
    <w:rsid w:val="0071495B"/>
    <w:rsid w:val="00715CE9"/>
    <w:rsid w:val="00715FF4"/>
    <w:rsid w:val="007168E2"/>
    <w:rsid w:val="007178E5"/>
    <w:rsid w:val="00720E4D"/>
    <w:rsid w:val="00720ECE"/>
    <w:rsid w:val="007214C9"/>
    <w:rsid w:val="0072200D"/>
    <w:rsid w:val="00722873"/>
    <w:rsid w:val="007229A5"/>
    <w:rsid w:val="00722BB3"/>
    <w:rsid w:val="007237DC"/>
    <w:rsid w:val="00725378"/>
    <w:rsid w:val="007257FD"/>
    <w:rsid w:val="00725847"/>
    <w:rsid w:val="007263FC"/>
    <w:rsid w:val="007267D3"/>
    <w:rsid w:val="00726B00"/>
    <w:rsid w:val="00727A07"/>
    <w:rsid w:val="007303B0"/>
    <w:rsid w:val="007308C5"/>
    <w:rsid w:val="0073123C"/>
    <w:rsid w:val="00732609"/>
    <w:rsid w:val="0073265C"/>
    <w:rsid w:val="00732825"/>
    <w:rsid w:val="007330C4"/>
    <w:rsid w:val="00734D08"/>
    <w:rsid w:val="00734DDD"/>
    <w:rsid w:val="0073515F"/>
    <w:rsid w:val="00735E4E"/>
    <w:rsid w:val="00736275"/>
    <w:rsid w:val="007368F8"/>
    <w:rsid w:val="00736C30"/>
    <w:rsid w:val="00736F7D"/>
    <w:rsid w:val="00736FBA"/>
    <w:rsid w:val="007377BA"/>
    <w:rsid w:val="00741209"/>
    <w:rsid w:val="007413CB"/>
    <w:rsid w:val="00741590"/>
    <w:rsid w:val="00741A60"/>
    <w:rsid w:val="00742948"/>
    <w:rsid w:val="00742988"/>
    <w:rsid w:val="00744340"/>
    <w:rsid w:val="0074467B"/>
    <w:rsid w:val="00744803"/>
    <w:rsid w:val="00744E03"/>
    <w:rsid w:val="00745138"/>
    <w:rsid w:val="00745D29"/>
    <w:rsid w:val="00746495"/>
    <w:rsid w:val="00747874"/>
    <w:rsid w:val="007503A2"/>
    <w:rsid w:val="007507FA"/>
    <w:rsid w:val="00750AAA"/>
    <w:rsid w:val="00750AF2"/>
    <w:rsid w:val="00751A45"/>
    <w:rsid w:val="00752CCF"/>
    <w:rsid w:val="007537BB"/>
    <w:rsid w:val="007539E5"/>
    <w:rsid w:val="00754574"/>
    <w:rsid w:val="007553EF"/>
    <w:rsid w:val="00756462"/>
    <w:rsid w:val="00756D5F"/>
    <w:rsid w:val="00757A1D"/>
    <w:rsid w:val="00757FDD"/>
    <w:rsid w:val="007602C0"/>
    <w:rsid w:val="0076040E"/>
    <w:rsid w:val="00761076"/>
    <w:rsid w:val="00761113"/>
    <w:rsid w:val="00761276"/>
    <w:rsid w:val="00761C97"/>
    <w:rsid w:val="00762427"/>
    <w:rsid w:val="00763008"/>
    <w:rsid w:val="00763546"/>
    <w:rsid w:val="00763981"/>
    <w:rsid w:val="00763BF3"/>
    <w:rsid w:val="00763F24"/>
    <w:rsid w:val="00764488"/>
    <w:rsid w:val="007648F1"/>
    <w:rsid w:val="00764CDC"/>
    <w:rsid w:val="00765321"/>
    <w:rsid w:val="00765DE0"/>
    <w:rsid w:val="0076673E"/>
    <w:rsid w:val="00766992"/>
    <w:rsid w:val="00766CDF"/>
    <w:rsid w:val="00767E14"/>
    <w:rsid w:val="007708EB"/>
    <w:rsid w:val="007720C7"/>
    <w:rsid w:val="007722EB"/>
    <w:rsid w:val="00772526"/>
    <w:rsid w:val="007725F8"/>
    <w:rsid w:val="00772CC5"/>
    <w:rsid w:val="00772D03"/>
    <w:rsid w:val="00773CA5"/>
    <w:rsid w:val="00774762"/>
    <w:rsid w:val="0077560A"/>
    <w:rsid w:val="0077639B"/>
    <w:rsid w:val="007770AC"/>
    <w:rsid w:val="00777158"/>
    <w:rsid w:val="00777479"/>
    <w:rsid w:val="00780085"/>
    <w:rsid w:val="007804AB"/>
    <w:rsid w:val="007807D5"/>
    <w:rsid w:val="00781C12"/>
    <w:rsid w:val="00782225"/>
    <w:rsid w:val="0078479D"/>
    <w:rsid w:val="007849FE"/>
    <w:rsid w:val="00784AB9"/>
    <w:rsid w:val="0078559A"/>
    <w:rsid w:val="0078565A"/>
    <w:rsid w:val="00785799"/>
    <w:rsid w:val="007858AE"/>
    <w:rsid w:val="00786282"/>
    <w:rsid w:val="0078665A"/>
    <w:rsid w:val="00786928"/>
    <w:rsid w:val="00787C25"/>
    <w:rsid w:val="00787CD5"/>
    <w:rsid w:val="007901D2"/>
    <w:rsid w:val="00790EFD"/>
    <w:rsid w:val="00792698"/>
    <w:rsid w:val="007928BA"/>
    <w:rsid w:val="00793055"/>
    <w:rsid w:val="00793287"/>
    <w:rsid w:val="007935C5"/>
    <w:rsid w:val="00793873"/>
    <w:rsid w:val="00793974"/>
    <w:rsid w:val="007942E9"/>
    <w:rsid w:val="00794397"/>
    <w:rsid w:val="0079450B"/>
    <w:rsid w:val="0079481B"/>
    <w:rsid w:val="007956A1"/>
    <w:rsid w:val="00795B45"/>
    <w:rsid w:val="00795B69"/>
    <w:rsid w:val="00796008"/>
    <w:rsid w:val="0079633E"/>
    <w:rsid w:val="00797D2B"/>
    <w:rsid w:val="007A004C"/>
    <w:rsid w:val="007A0109"/>
    <w:rsid w:val="007A07B4"/>
    <w:rsid w:val="007A0E2B"/>
    <w:rsid w:val="007A2A64"/>
    <w:rsid w:val="007A2AD1"/>
    <w:rsid w:val="007A2D9D"/>
    <w:rsid w:val="007A30F9"/>
    <w:rsid w:val="007A4114"/>
    <w:rsid w:val="007A473D"/>
    <w:rsid w:val="007A537A"/>
    <w:rsid w:val="007A5640"/>
    <w:rsid w:val="007A5716"/>
    <w:rsid w:val="007A5BD3"/>
    <w:rsid w:val="007A6B46"/>
    <w:rsid w:val="007A775E"/>
    <w:rsid w:val="007B06EA"/>
    <w:rsid w:val="007B0F07"/>
    <w:rsid w:val="007B1B4D"/>
    <w:rsid w:val="007B1C6C"/>
    <w:rsid w:val="007B24A4"/>
    <w:rsid w:val="007B2AD4"/>
    <w:rsid w:val="007B3271"/>
    <w:rsid w:val="007B353E"/>
    <w:rsid w:val="007B3788"/>
    <w:rsid w:val="007B5103"/>
    <w:rsid w:val="007B56BA"/>
    <w:rsid w:val="007B56EC"/>
    <w:rsid w:val="007B5B33"/>
    <w:rsid w:val="007B5B64"/>
    <w:rsid w:val="007B5EDF"/>
    <w:rsid w:val="007B652E"/>
    <w:rsid w:val="007B68A2"/>
    <w:rsid w:val="007B6AD5"/>
    <w:rsid w:val="007C0A90"/>
    <w:rsid w:val="007C1D66"/>
    <w:rsid w:val="007C1E00"/>
    <w:rsid w:val="007C2FCB"/>
    <w:rsid w:val="007C429E"/>
    <w:rsid w:val="007C48D2"/>
    <w:rsid w:val="007C512D"/>
    <w:rsid w:val="007C5566"/>
    <w:rsid w:val="007C5B00"/>
    <w:rsid w:val="007D0C00"/>
    <w:rsid w:val="007D1048"/>
    <w:rsid w:val="007D1909"/>
    <w:rsid w:val="007D196A"/>
    <w:rsid w:val="007D2F34"/>
    <w:rsid w:val="007D34FD"/>
    <w:rsid w:val="007D4BA4"/>
    <w:rsid w:val="007D4C21"/>
    <w:rsid w:val="007D5081"/>
    <w:rsid w:val="007D532D"/>
    <w:rsid w:val="007D59D5"/>
    <w:rsid w:val="007D5A0D"/>
    <w:rsid w:val="007D6410"/>
    <w:rsid w:val="007D6812"/>
    <w:rsid w:val="007D6C6B"/>
    <w:rsid w:val="007D7332"/>
    <w:rsid w:val="007D74C9"/>
    <w:rsid w:val="007D7508"/>
    <w:rsid w:val="007D77FC"/>
    <w:rsid w:val="007E06E1"/>
    <w:rsid w:val="007E0DF6"/>
    <w:rsid w:val="007E0E94"/>
    <w:rsid w:val="007E0FF4"/>
    <w:rsid w:val="007E1D86"/>
    <w:rsid w:val="007E20BE"/>
    <w:rsid w:val="007E3156"/>
    <w:rsid w:val="007E34BD"/>
    <w:rsid w:val="007E37D6"/>
    <w:rsid w:val="007E4235"/>
    <w:rsid w:val="007E42B6"/>
    <w:rsid w:val="007E4701"/>
    <w:rsid w:val="007E514F"/>
    <w:rsid w:val="007E57E6"/>
    <w:rsid w:val="007E6922"/>
    <w:rsid w:val="007E78D7"/>
    <w:rsid w:val="007E7AAD"/>
    <w:rsid w:val="007F0EFE"/>
    <w:rsid w:val="007F0F16"/>
    <w:rsid w:val="007F1C57"/>
    <w:rsid w:val="007F1F9D"/>
    <w:rsid w:val="007F3438"/>
    <w:rsid w:val="007F35E9"/>
    <w:rsid w:val="007F3CC4"/>
    <w:rsid w:val="007F4CD0"/>
    <w:rsid w:val="007F521F"/>
    <w:rsid w:val="007F5459"/>
    <w:rsid w:val="007F5EF5"/>
    <w:rsid w:val="007F6034"/>
    <w:rsid w:val="007F6756"/>
    <w:rsid w:val="007F7117"/>
    <w:rsid w:val="007F78E4"/>
    <w:rsid w:val="0080005D"/>
    <w:rsid w:val="0080154E"/>
    <w:rsid w:val="008021CD"/>
    <w:rsid w:val="0080329A"/>
    <w:rsid w:val="00803FB0"/>
    <w:rsid w:val="008047D3"/>
    <w:rsid w:val="008052B4"/>
    <w:rsid w:val="008055A6"/>
    <w:rsid w:val="00806058"/>
    <w:rsid w:val="0080642C"/>
    <w:rsid w:val="00806A16"/>
    <w:rsid w:val="00806BEF"/>
    <w:rsid w:val="00807214"/>
    <w:rsid w:val="00807658"/>
    <w:rsid w:val="008078DF"/>
    <w:rsid w:val="00807972"/>
    <w:rsid w:val="0081092F"/>
    <w:rsid w:val="0081123B"/>
    <w:rsid w:val="0081125E"/>
    <w:rsid w:val="008114FF"/>
    <w:rsid w:val="008118DE"/>
    <w:rsid w:val="00811C72"/>
    <w:rsid w:val="008121F0"/>
    <w:rsid w:val="00812673"/>
    <w:rsid w:val="008128C1"/>
    <w:rsid w:val="00812C8D"/>
    <w:rsid w:val="00813D0B"/>
    <w:rsid w:val="00813FC8"/>
    <w:rsid w:val="00814117"/>
    <w:rsid w:val="008143DC"/>
    <w:rsid w:val="00814BEB"/>
    <w:rsid w:val="00815413"/>
    <w:rsid w:val="00815C60"/>
    <w:rsid w:val="008162B1"/>
    <w:rsid w:val="00816503"/>
    <w:rsid w:val="00816B4F"/>
    <w:rsid w:val="00817ACA"/>
    <w:rsid w:val="008206BE"/>
    <w:rsid w:val="00820910"/>
    <w:rsid w:val="00820D34"/>
    <w:rsid w:val="008218C1"/>
    <w:rsid w:val="0082332D"/>
    <w:rsid w:val="00823682"/>
    <w:rsid w:val="00823915"/>
    <w:rsid w:val="00824050"/>
    <w:rsid w:val="00824424"/>
    <w:rsid w:val="008244D8"/>
    <w:rsid w:val="008246C9"/>
    <w:rsid w:val="00824D71"/>
    <w:rsid w:val="00824F72"/>
    <w:rsid w:val="00824F76"/>
    <w:rsid w:val="008250F5"/>
    <w:rsid w:val="00825A4C"/>
    <w:rsid w:val="00825B32"/>
    <w:rsid w:val="00825C53"/>
    <w:rsid w:val="00825E90"/>
    <w:rsid w:val="00825FFE"/>
    <w:rsid w:val="00826532"/>
    <w:rsid w:val="00826770"/>
    <w:rsid w:val="00830531"/>
    <w:rsid w:val="00830611"/>
    <w:rsid w:val="008306C6"/>
    <w:rsid w:val="008317A3"/>
    <w:rsid w:val="0083339A"/>
    <w:rsid w:val="00833AF7"/>
    <w:rsid w:val="00833F85"/>
    <w:rsid w:val="00834574"/>
    <w:rsid w:val="00834F89"/>
    <w:rsid w:val="00834FA5"/>
    <w:rsid w:val="00835F47"/>
    <w:rsid w:val="0083609C"/>
    <w:rsid w:val="008363D7"/>
    <w:rsid w:val="0083664E"/>
    <w:rsid w:val="008369B6"/>
    <w:rsid w:val="00841C75"/>
    <w:rsid w:val="00841D69"/>
    <w:rsid w:val="00842E5B"/>
    <w:rsid w:val="00843263"/>
    <w:rsid w:val="00844AD0"/>
    <w:rsid w:val="008462FA"/>
    <w:rsid w:val="00846730"/>
    <w:rsid w:val="008470C2"/>
    <w:rsid w:val="0084744F"/>
    <w:rsid w:val="0085016C"/>
    <w:rsid w:val="0085040A"/>
    <w:rsid w:val="00850A5E"/>
    <w:rsid w:val="00850E63"/>
    <w:rsid w:val="00851433"/>
    <w:rsid w:val="00851837"/>
    <w:rsid w:val="00851B41"/>
    <w:rsid w:val="00851B8B"/>
    <w:rsid w:val="00852291"/>
    <w:rsid w:val="0085248A"/>
    <w:rsid w:val="00852C79"/>
    <w:rsid w:val="00853E77"/>
    <w:rsid w:val="008540B0"/>
    <w:rsid w:val="00854B30"/>
    <w:rsid w:val="008552C6"/>
    <w:rsid w:val="008554DA"/>
    <w:rsid w:val="008557E2"/>
    <w:rsid w:val="00855B0F"/>
    <w:rsid w:val="00855EBF"/>
    <w:rsid w:val="0085652C"/>
    <w:rsid w:val="008565BF"/>
    <w:rsid w:val="0085670D"/>
    <w:rsid w:val="00856A3C"/>
    <w:rsid w:val="00856ACC"/>
    <w:rsid w:val="00856ADB"/>
    <w:rsid w:val="00856F47"/>
    <w:rsid w:val="00857934"/>
    <w:rsid w:val="0086034E"/>
    <w:rsid w:val="00860B2B"/>
    <w:rsid w:val="00861093"/>
    <w:rsid w:val="008611A4"/>
    <w:rsid w:val="008611CC"/>
    <w:rsid w:val="0086221B"/>
    <w:rsid w:val="008623BD"/>
    <w:rsid w:val="00863220"/>
    <w:rsid w:val="008636D1"/>
    <w:rsid w:val="0086383E"/>
    <w:rsid w:val="00863898"/>
    <w:rsid w:val="00863922"/>
    <w:rsid w:val="00863936"/>
    <w:rsid w:val="008644C2"/>
    <w:rsid w:val="00865667"/>
    <w:rsid w:val="00865DF6"/>
    <w:rsid w:val="00865E90"/>
    <w:rsid w:val="00865ECF"/>
    <w:rsid w:val="00865FFB"/>
    <w:rsid w:val="00866CE1"/>
    <w:rsid w:val="00867C1C"/>
    <w:rsid w:val="00867F91"/>
    <w:rsid w:val="008702AF"/>
    <w:rsid w:val="00870A53"/>
    <w:rsid w:val="00870E28"/>
    <w:rsid w:val="00870E73"/>
    <w:rsid w:val="008716F1"/>
    <w:rsid w:val="00872492"/>
    <w:rsid w:val="00872612"/>
    <w:rsid w:val="0087267C"/>
    <w:rsid w:val="00872917"/>
    <w:rsid w:val="008738B5"/>
    <w:rsid w:val="00873CC0"/>
    <w:rsid w:val="00874085"/>
    <w:rsid w:val="0087596A"/>
    <w:rsid w:val="00875D02"/>
    <w:rsid w:val="0087668F"/>
    <w:rsid w:val="008767CD"/>
    <w:rsid w:val="008773A2"/>
    <w:rsid w:val="008775B7"/>
    <w:rsid w:val="0087761F"/>
    <w:rsid w:val="00877F55"/>
    <w:rsid w:val="00880318"/>
    <w:rsid w:val="00880A41"/>
    <w:rsid w:val="00881196"/>
    <w:rsid w:val="00881EC5"/>
    <w:rsid w:val="00882945"/>
    <w:rsid w:val="00882B52"/>
    <w:rsid w:val="008835CD"/>
    <w:rsid w:val="00884262"/>
    <w:rsid w:val="00884B89"/>
    <w:rsid w:val="00884CC8"/>
    <w:rsid w:val="00886CC7"/>
    <w:rsid w:val="0088757A"/>
    <w:rsid w:val="00887B4E"/>
    <w:rsid w:val="00887D17"/>
    <w:rsid w:val="00890EE5"/>
    <w:rsid w:val="00891031"/>
    <w:rsid w:val="00892176"/>
    <w:rsid w:val="008923FA"/>
    <w:rsid w:val="008924E6"/>
    <w:rsid w:val="008924F0"/>
    <w:rsid w:val="00893660"/>
    <w:rsid w:val="00893D40"/>
    <w:rsid w:val="008940B9"/>
    <w:rsid w:val="008942B0"/>
    <w:rsid w:val="00895B23"/>
    <w:rsid w:val="00896EF8"/>
    <w:rsid w:val="0089709B"/>
    <w:rsid w:val="008977F0"/>
    <w:rsid w:val="0089793B"/>
    <w:rsid w:val="00897A17"/>
    <w:rsid w:val="00897B4B"/>
    <w:rsid w:val="00897EE5"/>
    <w:rsid w:val="008A0D89"/>
    <w:rsid w:val="008A12DB"/>
    <w:rsid w:val="008A13B5"/>
    <w:rsid w:val="008A233C"/>
    <w:rsid w:val="008A2CA7"/>
    <w:rsid w:val="008A33B4"/>
    <w:rsid w:val="008A3526"/>
    <w:rsid w:val="008A353E"/>
    <w:rsid w:val="008A39B6"/>
    <w:rsid w:val="008A3AD2"/>
    <w:rsid w:val="008A3ECC"/>
    <w:rsid w:val="008A456F"/>
    <w:rsid w:val="008A4F58"/>
    <w:rsid w:val="008A5488"/>
    <w:rsid w:val="008A56EF"/>
    <w:rsid w:val="008A570F"/>
    <w:rsid w:val="008A597F"/>
    <w:rsid w:val="008A59C0"/>
    <w:rsid w:val="008A6628"/>
    <w:rsid w:val="008A6C2E"/>
    <w:rsid w:val="008A781C"/>
    <w:rsid w:val="008B25C8"/>
    <w:rsid w:val="008B4355"/>
    <w:rsid w:val="008B478B"/>
    <w:rsid w:val="008B494E"/>
    <w:rsid w:val="008B5065"/>
    <w:rsid w:val="008B50AA"/>
    <w:rsid w:val="008B58FA"/>
    <w:rsid w:val="008B6050"/>
    <w:rsid w:val="008B6DF7"/>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C5E"/>
    <w:rsid w:val="008C3E3E"/>
    <w:rsid w:val="008C53D9"/>
    <w:rsid w:val="008C56F5"/>
    <w:rsid w:val="008C5CC8"/>
    <w:rsid w:val="008C5F14"/>
    <w:rsid w:val="008C76F7"/>
    <w:rsid w:val="008C7E86"/>
    <w:rsid w:val="008D110E"/>
    <w:rsid w:val="008D1382"/>
    <w:rsid w:val="008D258C"/>
    <w:rsid w:val="008D281C"/>
    <w:rsid w:val="008D4CC9"/>
    <w:rsid w:val="008D5735"/>
    <w:rsid w:val="008D5BF2"/>
    <w:rsid w:val="008D609A"/>
    <w:rsid w:val="008D60EC"/>
    <w:rsid w:val="008D62DC"/>
    <w:rsid w:val="008D68CD"/>
    <w:rsid w:val="008D6AAF"/>
    <w:rsid w:val="008D6E19"/>
    <w:rsid w:val="008D7D82"/>
    <w:rsid w:val="008E03BC"/>
    <w:rsid w:val="008E13A1"/>
    <w:rsid w:val="008E1DB5"/>
    <w:rsid w:val="008E2454"/>
    <w:rsid w:val="008E2835"/>
    <w:rsid w:val="008E2E6C"/>
    <w:rsid w:val="008E2EA3"/>
    <w:rsid w:val="008E3812"/>
    <w:rsid w:val="008E3C31"/>
    <w:rsid w:val="008E3D9E"/>
    <w:rsid w:val="008E4B80"/>
    <w:rsid w:val="008E6007"/>
    <w:rsid w:val="008E6E24"/>
    <w:rsid w:val="008E7FCB"/>
    <w:rsid w:val="008F1331"/>
    <w:rsid w:val="008F28BD"/>
    <w:rsid w:val="008F4190"/>
    <w:rsid w:val="008F5237"/>
    <w:rsid w:val="008F58CE"/>
    <w:rsid w:val="008F5922"/>
    <w:rsid w:val="008F6486"/>
    <w:rsid w:val="008F70DC"/>
    <w:rsid w:val="008F784A"/>
    <w:rsid w:val="008F7F79"/>
    <w:rsid w:val="0090009B"/>
    <w:rsid w:val="00900F67"/>
    <w:rsid w:val="00901B00"/>
    <w:rsid w:val="00901BF5"/>
    <w:rsid w:val="0090277C"/>
    <w:rsid w:val="00904240"/>
    <w:rsid w:val="0090466C"/>
    <w:rsid w:val="00904892"/>
    <w:rsid w:val="00904A53"/>
    <w:rsid w:val="00904B42"/>
    <w:rsid w:val="00905008"/>
    <w:rsid w:val="00905B1D"/>
    <w:rsid w:val="00905C60"/>
    <w:rsid w:val="009061FB"/>
    <w:rsid w:val="00906CC9"/>
    <w:rsid w:val="00906EFE"/>
    <w:rsid w:val="009076FB"/>
    <w:rsid w:val="0090776A"/>
    <w:rsid w:val="0090776C"/>
    <w:rsid w:val="00907855"/>
    <w:rsid w:val="009110BE"/>
    <w:rsid w:val="00912741"/>
    <w:rsid w:val="00912FAD"/>
    <w:rsid w:val="0091324C"/>
    <w:rsid w:val="0091502D"/>
    <w:rsid w:val="00915252"/>
    <w:rsid w:val="00915A08"/>
    <w:rsid w:val="00915A90"/>
    <w:rsid w:val="00916263"/>
    <w:rsid w:val="009167F4"/>
    <w:rsid w:val="00916A96"/>
    <w:rsid w:val="0091720D"/>
    <w:rsid w:val="009200C9"/>
    <w:rsid w:val="009208FA"/>
    <w:rsid w:val="00920C1F"/>
    <w:rsid w:val="009229E2"/>
    <w:rsid w:val="00922D56"/>
    <w:rsid w:val="00923545"/>
    <w:rsid w:val="0092366E"/>
    <w:rsid w:val="00923769"/>
    <w:rsid w:val="00923BCE"/>
    <w:rsid w:val="00923D52"/>
    <w:rsid w:val="00923EB5"/>
    <w:rsid w:val="00924F5E"/>
    <w:rsid w:val="00925E36"/>
    <w:rsid w:val="00927D2D"/>
    <w:rsid w:val="0093010A"/>
    <w:rsid w:val="00931397"/>
    <w:rsid w:val="0093182A"/>
    <w:rsid w:val="00932281"/>
    <w:rsid w:val="009337FF"/>
    <w:rsid w:val="009343AB"/>
    <w:rsid w:val="0093442B"/>
    <w:rsid w:val="009345E4"/>
    <w:rsid w:val="009353D2"/>
    <w:rsid w:val="00935815"/>
    <w:rsid w:val="009359FC"/>
    <w:rsid w:val="00935BDF"/>
    <w:rsid w:val="00935DF6"/>
    <w:rsid w:val="00936166"/>
    <w:rsid w:val="009370EB"/>
    <w:rsid w:val="0093727D"/>
    <w:rsid w:val="00937BAD"/>
    <w:rsid w:val="00937E18"/>
    <w:rsid w:val="009409AB"/>
    <w:rsid w:val="00940A00"/>
    <w:rsid w:val="00940C2C"/>
    <w:rsid w:val="0094144A"/>
    <w:rsid w:val="009416AA"/>
    <w:rsid w:val="00941972"/>
    <w:rsid w:val="00942349"/>
    <w:rsid w:val="00943326"/>
    <w:rsid w:val="009433BB"/>
    <w:rsid w:val="009440D1"/>
    <w:rsid w:val="00944B45"/>
    <w:rsid w:val="00944B84"/>
    <w:rsid w:val="00944CCC"/>
    <w:rsid w:val="00944F72"/>
    <w:rsid w:val="00944F78"/>
    <w:rsid w:val="0094537D"/>
    <w:rsid w:val="00945EAB"/>
    <w:rsid w:val="009469BB"/>
    <w:rsid w:val="00946B44"/>
    <w:rsid w:val="00946B8B"/>
    <w:rsid w:val="009506BF"/>
    <w:rsid w:val="00950866"/>
    <w:rsid w:val="0095128F"/>
    <w:rsid w:val="00951461"/>
    <w:rsid w:val="0095163A"/>
    <w:rsid w:val="009522A6"/>
    <w:rsid w:val="0095252F"/>
    <w:rsid w:val="00952C2D"/>
    <w:rsid w:val="00952EAE"/>
    <w:rsid w:val="00953D07"/>
    <w:rsid w:val="009544C0"/>
    <w:rsid w:val="00954D81"/>
    <w:rsid w:val="009555A1"/>
    <w:rsid w:val="00955FE1"/>
    <w:rsid w:val="00956521"/>
    <w:rsid w:val="00956F20"/>
    <w:rsid w:val="0095745D"/>
    <w:rsid w:val="009575C4"/>
    <w:rsid w:val="00957B58"/>
    <w:rsid w:val="00957BCB"/>
    <w:rsid w:val="00957D7E"/>
    <w:rsid w:val="009604E4"/>
    <w:rsid w:val="00960949"/>
    <w:rsid w:val="00960C70"/>
    <w:rsid w:val="0096195E"/>
    <w:rsid w:val="00962812"/>
    <w:rsid w:val="00962B93"/>
    <w:rsid w:val="00962DBA"/>
    <w:rsid w:val="009633F3"/>
    <w:rsid w:val="00965DD9"/>
    <w:rsid w:val="0096641C"/>
    <w:rsid w:val="00967959"/>
    <w:rsid w:val="00967E76"/>
    <w:rsid w:val="0097068D"/>
    <w:rsid w:val="009711CF"/>
    <w:rsid w:val="009725DC"/>
    <w:rsid w:val="009726A6"/>
    <w:rsid w:val="00973C38"/>
    <w:rsid w:val="00973E97"/>
    <w:rsid w:val="00974436"/>
    <w:rsid w:val="00974A2F"/>
    <w:rsid w:val="00975B43"/>
    <w:rsid w:val="00975BD2"/>
    <w:rsid w:val="009763AC"/>
    <w:rsid w:val="009763DD"/>
    <w:rsid w:val="0097685A"/>
    <w:rsid w:val="009806EF"/>
    <w:rsid w:val="00980C2A"/>
    <w:rsid w:val="00980D49"/>
    <w:rsid w:val="00980E20"/>
    <w:rsid w:val="00980FF1"/>
    <w:rsid w:val="009814B0"/>
    <w:rsid w:val="009822C4"/>
    <w:rsid w:val="00982475"/>
    <w:rsid w:val="00982657"/>
    <w:rsid w:val="00982801"/>
    <w:rsid w:val="0098342A"/>
    <w:rsid w:val="00983560"/>
    <w:rsid w:val="0098412B"/>
    <w:rsid w:val="0098466D"/>
    <w:rsid w:val="00984A64"/>
    <w:rsid w:val="00985970"/>
    <w:rsid w:val="009869EC"/>
    <w:rsid w:val="00987015"/>
    <w:rsid w:val="009873E8"/>
    <w:rsid w:val="00987513"/>
    <w:rsid w:val="009878FD"/>
    <w:rsid w:val="00987B94"/>
    <w:rsid w:val="00987ECD"/>
    <w:rsid w:val="00990DD8"/>
    <w:rsid w:val="0099168D"/>
    <w:rsid w:val="00991C92"/>
    <w:rsid w:val="0099362A"/>
    <w:rsid w:val="009936DD"/>
    <w:rsid w:val="00994562"/>
    <w:rsid w:val="00994C98"/>
    <w:rsid w:val="0099574A"/>
    <w:rsid w:val="009969A0"/>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896"/>
    <w:rsid w:val="009A6A97"/>
    <w:rsid w:val="009A6DD0"/>
    <w:rsid w:val="009A77E7"/>
    <w:rsid w:val="009B003D"/>
    <w:rsid w:val="009B0B9E"/>
    <w:rsid w:val="009B1448"/>
    <w:rsid w:val="009B2340"/>
    <w:rsid w:val="009B2E2B"/>
    <w:rsid w:val="009B357E"/>
    <w:rsid w:val="009B3AD4"/>
    <w:rsid w:val="009B3AFC"/>
    <w:rsid w:val="009B3C43"/>
    <w:rsid w:val="009B418E"/>
    <w:rsid w:val="009B4EE0"/>
    <w:rsid w:val="009B4FCA"/>
    <w:rsid w:val="009B537F"/>
    <w:rsid w:val="009B5B0E"/>
    <w:rsid w:val="009B6139"/>
    <w:rsid w:val="009B679F"/>
    <w:rsid w:val="009B7001"/>
    <w:rsid w:val="009B708D"/>
    <w:rsid w:val="009B70D1"/>
    <w:rsid w:val="009B72DC"/>
    <w:rsid w:val="009B7B60"/>
    <w:rsid w:val="009B7BA1"/>
    <w:rsid w:val="009C08EE"/>
    <w:rsid w:val="009C0CB9"/>
    <w:rsid w:val="009C114C"/>
    <w:rsid w:val="009C1BAC"/>
    <w:rsid w:val="009C1C5A"/>
    <w:rsid w:val="009C1CAF"/>
    <w:rsid w:val="009C2916"/>
    <w:rsid w:val="009C3718"/>
    <w:rsid w:val="009C373B"/>
    <w:rsid w:val="009C379F"/>
    <w:rsid w:val="009C461D"/>
    <w:rsid w:val="009C56D3"/>
    <w:rsid w:val="009C6388"/>
    <w:rsid w:val="009C6425"/>
    <w:rsid w:val="009C6538"/>
    <w:rsid w:val="009C65D8"/>
    <w:rsid w:val="009C6E26"/>
    <w:rsid w:val="009C76D6"/>
    <w:rsid w:val="009C7C15"/>
    <w:rsid w:val="009C7F5C"/>
    <w:rsid w:val="009D0109"/>
    <w:rsid w:val="009D1202"/>
    <w:rsid w:val="009D1497"/>
    <w:rsid w:val="009D2478"/>
    <w:rsid w:val="009D379D"/>
    <w:rsid w:val="009D43D8"/>
    <w:rsid w:val="009D4820"/>
    <w:rsid w:val="009D4A3A"/>
    <w:rsid w:val="009D4C29"/>
    <w:rsid w:val="009D50F8"/>
    <w:rsid w:val="009D521B"/>
    <w:rsid w:val="009D5BD9"/>
    <w:rsid w:val="009D600C"/>
    <w:rsid w:val="009D640C"/>
    <w:rsid w:val="009D6B2D"/>
    <w:rsid w:val="009E00D6"/>
    <w:rsid w:val="009E0565"/>
    <w:rsid w:val="009E06AB"/>
    <w:rsid w:val="009E094A"/>
    <w:rsid w:val="009E1180"/>
    <w:rsid w:val="009E1967"/>
    <w:rsid w:val="009E2415"/>
    <w:rsid w:val="009E2445"/>
    <w:rsid w:val="009E26DA"/>
    <w:rsid w:val="009E2E5A"/>
    <w:rsid w:val="009E306D"/>
    <w:rsid w:val="009E37BD"/>
    <w:rsid w:val="009E409F"/>
    <w:rsid w:val="009E4294"/>
    <w:rsid w:val="009E4826"/>
    <w:rsid w:val="009E5063"/>
    <w:rsid w:val="009E5253"/>
    <w:rsid w:val="009E52FE"/>
    <w:rsid w:val="009E57A1"/>
    <w:rsid w:val="009E5B88"/>
    <w:rsid w:val="009E5D34"/>
    <w:rsid w:val="009E7961"/>
    <w:rsid w:val="009F09A4"/>
    <w:rsid w:val="009F18AA"/>
    <w:rsid w:val="009F1C84"/>
    <w:rsid w:val="009F1F7F"/>
    <w:rsid w:val="009F2149"/>
    <w:rsid w:val="009F2C9C"/>
    <w:rsid w:val="009F3486"/>
    <w:rsid w:val="009F4479"/>
    <w:rsid w:val="009F50BE"/>
    <w:rsid w:val="009F5310"/>
    <w:rsid w:val="009F54DD"/>
    <w:rsid w:val="009F5827"/>
    <w:rsid w:val="009F5902"/>
    <w:rsid w:val="009F5A46"/>
    <w:rsid w:val="009F66CD"/>
    <w:rsid w:val="009F69AD"/>
    <w:rsid w:val="009F7685"/>
    <w:rsid w:val="009F78F7"/>
    <w:rsid w:val="00A0088F"/>
    <w:rsid w:val="00A00CE1"/>
    <w:rsid w:val="00A01103"/>
    <w:rsid w:val="00A019D4"/>
    <w:rsid w:val="00A02127"/>
    <w:rsid w:val="00A032DF"/>
    <w:rsid w:val="00A03457"/>
    <w:rsid w:val="00A035F3"/>
    <w:rsid w:val="00A03951"/>
    <w:rsid w:val="00A03A05"/>
    <w:rsid w:val="00A0593D"/>
    <w:rsid w:val="00A05FA6"/>
    <w:rsid w:val="00A06073"/>
    <w:rsid w:val="00A069C6"/>
    <w:rsid w:val="00A06D64"/>
    <w:rsid w:val="00A127A2"/>
    <w:rsid w:val="00A13B1A"/>
    <w:rsid w:val="00A13C4D"/>
    <w:rsid w:val="00A14197"/>
    <w:rsid w:val="00A1481B"/>
    <w:rsid w:val="00A148E1"/>
    <w:rsid w:val="00A15342"/>
    <w:rsid w:val="00A15349"/>
    <w:rsid w:val="00A154E0"/>
    <w:rsid w:val="00A16634"/>
    <w:rsid w:val="00A16E7E"/>
    <w:rsid w:val="00A17B90"/>
    <w:rsid w:val="00A17F06"/>
    <w:rsid w:val="00A20492"/>
    <w:rsid w:val="00A2063F"/>
    <w:rsid w:val="00A2108B"/>
    <w:rsid w:val="00A2116F"/>
    <w:rsid w:val="00A211D7"/>
    <w:rsid w:val="00A2125E"/>
    <w:rsid w:val="00A215BF"/>
    <w:rsid w:val="00A219AA"/>
    <w:rsid w:val="00A22D25"/>
    <w:rsid w:val="00A24527"/>
    <w:rsid w:val="00A245E4"/>
    <w:rsid w:val="00A25505"/>
    <w:rsid w:val="00A25C39"/>
    <w:rsid w:val="00A25D35"/>
    <w:rsid w:val="00A26861"/>
    <w:rsid w:val="00A27187"/>
    <w:rsid w:val="00A27C53"/>
    <w:rsid w:val="00A3031C"/>
    <w:rsid w:val="00A30E9F"/>
    <w:rsid w:val="00A31865"/>
    <w:rsid w:val="00A31DB3"/>
    <w:rsid w:val="00A3268D"/>
    <w:rsid w:val="00A32C1C"/>
    <w:rsid w:val="00A32EB5"/>
    <w:rsid w:val="00A33FA6"/>
    <w:rsid w:val="00A34280"/>
    <w:rsid w:val="00A34783"/>
    <w:rsid w:val="00A34A3C"/>
    <w:rsid w:val="00A3530A"/>
    <w:rsid w:val="00A35611"/>
    <w:rsid w:val="00A3580B"/>
    <w:rsid w:val="00A3616F"/>
    <w:rsid w:val="00A36490"/>
    <w:rsid w:val="00A3699E"/>
    <w:rsid w:val="00A36B39"/>
    <w:rsid w:val="00A36E26"/>
    <w:rsid w:val="00A40507"/>
    <w:rsid w:val="00A410C8"/>
    <w:rsid w:val="00A41D20"/>
    <w:rsid w:val="00A41F2A"/>
    <w:rsid w:val="00A421A2"/>
    <w:rsid w:val="00A4314B"/>
    <w:rsid w:val="00A4382C"/>
    <w:rsid w:val="00A44273"/>
    <w:rsid w:val="00A4443A"/>
    <w:rsid w:val="00A4484A"/>
    <w:rsid w:val="00A44B5C"/>
    <w:rsid w:val="00A44D9D"/>
    <w:rsid w:val="00A46064"/>
    <w:rsid w:val="00A471B5"/>
    <w:rsid w:val="00A474B2"/>
    <w:rsid w:val="00A47518"/>
    <w:rsid w:val="00A51F5E"/>
    <w:rsid w:val="00A51FD0"/>
    <w:rsid w:val="00A524F7"/>
    <w:rsid w:val="00A5259C"/>
    <w:rsid w:val="00A52693"/>
    <w:rsid w:val="00A53225"/>
    <w:rsid w:val="00A5337E"/>
    <w:rsid w:val="00A54982"/>
    <w:rsid w:val="00A549E2"/>
    <w:rsid w:val="00A54D7B"/>
    <w:rsid w:val="00A55E69"/>
    <w:rsid w:val="00A56D86"/>
    <w:rsid w:val="00A56E88"/>
    <w:rsid w:val="00A57321"/>
    <w:rsid w:val="00A61234"/>
    <w:rsid w:val="00A61C26"/>
    <w:rsid w:val="00A6293E"/>
    <w:rsid w:val="00A62CC7"/>
    <w:rsid w:val="00A63399"/>
    <w:rsid w:val="00A648A3"/>
    <w:rsid w:val="00A6491A"/>
    <w:rsid w:val="00A6581E"/>
    <w:rsid w:val="00A668FB"/>
    <w:rsid w:val="00A66BC2"/>
    <w:rsid w:val="00A7001D"/>
    <w:rsid w:val="00A70307"/>
    <w:rsid w:val="00A703AC"/>
    <w:rsid w:val="00A71989"/>
    <w:rsid w:val="00A73C08"/>
    <w:rsid w:val="00A73DC8"/>
    <w:rsid w:val="00A73F1A"/>
    <w:rsid w:val="00A73F90"/>
    <w:rsid w:val="00A746AF"/>
    <w:rsid w:val="00A75F59"/>
    <w:rsid w:val="00A76264"/>
    <w:rsid w:val="00A765D3"/>
    <w:rsid w:val="00A766D0"/>
    <w:rsid w:val="00A76B0F"/>
    <w:rsid w:val="00A7773B"/>
    <w:rsid w:val="00A803C9"/>
    <w:rsid w:val="00A8056C"/>
    <w:rsid w:val="00A80C55"/>
    <w:rsid w:val="00A80CC2"/>
    <w:rsid w:val="00A8201B"/>
    <w:rsid w:val="00A8295A"/>
    <w:rsid w:val="00A82C7D"/>
    <w:rsid w:val="00A83180"/>
    <w:rsid w:val="00A83584"/>
    <w:rsid w:val="00A83895"/>
    <w:rsid w:val="00A85EE7"/>
    <w:rsid w:val="00A85F15"/>
    <w:rsid w:val="00A863E2"/>
    <w:rsid w:val="00A869B3"/>
    <w:rsid w:val="00A901BD"/>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1B3"/>
    <w:rsid w:val="00AA0B3A"/>
    <w:rsid w:val="00AA0D0A"/>
    <w:rsid w:val="00AA0E71"/>
    <w:rsid w:val="00AA172B"/>
    <w:rsid w:val="00AA1F3D"/>
    <w:rsid w:val="00AA1FCE"/>
    <w:rsid w:val="00AA279A"/>
    <w:rsid w:val="00AA2E1F"/>
    <w:rsid w:val="00AA302A"/>
    <w:rsid w:val="00AA5102"/>
    <w:rsid w:val="00AA51D0"/>
    <w:rsid w:val="00AA5AD3"/>
    <w:rsid w:val="00AA6185"/>
    <w:rsid w:val="00AA6968"/>
    <w:rsid w:val="00AA7C3D"/>
    <w:rsid w:val="00AB0644"/>
    <w:rsid w:val="00AB15D8"/>
    <w:rsid w:val="00AB1C4E"/>
    <w:rsid w:val="00AB1EBE"/>
    <w:rsid w:val="00AB2C8A"/>
    <w:rsid w:val="00AB2DD7"/>
    <w:rsid w:val="00AB391E"/>
    <w:rsid w:val="00AB3EF4"/>
    <w:rsid w:val="00AB3F08"/>
    <w:rsid w:val="00AB48CA"/>
    <w:rsid w:val="00AB4907"/>
    <w:rsid w:val="00AB556A"/>
    <w:rsid w:val="00AB56A4"/>
    <w:rsid w:val="00AB58D6"/>
    <w:rsid w:val="00AB5C32"/>
    <w:rsid w:val="00AB686D"/>
    <w:rsid w:val="00AB77CF"/>
    <w:rsid w:val="00AB7915"/>
    <w:rsid w:val="00AB79F1"/>
    <w:rsid w:val="00AB7C4B"/>
    <w:rsid w:val="00AB7E55"/>
    <w:rsid w:val="00AB7F27"/>
    <w:rsid w:val="00AC0732"/>
    <w:rsid w:val="00AC0F76"/>
    <w:rsid w:val="00AC1A2E"/>
    <w:rsid w:val="00AC1EC9"/>
    <w:rsid w:val="00AC21F2"/>
    <w:rsid w:val="00AC2A5B"/>
    <w:rsid w:val="00AC2EAD"/>
    <w:rsid w:val="00AC31F3"/>
    <w:rsid w:val="00AC3BED"/>
    <w:rsid w:val="00AC3D9C"/>
    <w:rsid w:val="00AC495A"/>
    <w:rsid w:val="00AC58B5"/>
    <w:rsid w:val="00AC65F7"/>
    <w:rsid w:val="00AC6D62"/>
    <w:rsid w:val="00AC7881"/>
    <w:rsid w:val="00AC79AE"/>
    <w:rsid w:val="00AC7E66"/>
    <w:rsid w:val="00AC7E68"/>
    <w:rsid w:val="00AD00EC"/>
    <w:rsid w:val="00AD0BBE"/>
    <w:rsid w:val="00AD0C12"/>
    <w:rsid w:val="00AD0C91"/>
    <w:rsid w:val="00AD0CD6"/>
    <w:rsid w:val="00AD1186"/>
    <w:rsid w:val="00AD17A2"/>
    <w:rsid w:val="00AD190F"/>
    <w:rsid w:val="00AD1B32"/>
    <w:rsid w:val="00AD2163"/>
    <w:rsid w:val="00AD2574"/>
    <w:rsid w:val="00AD32B2"/>
    <w:rsid w:val="00AD3DB3"/>
    <w:rsid w:val="00AD4554"/>
    <w:rsid w:val="00AD4640"/>
    <w:rsid w:val="00AD4F54"/>
    <w:rsid w:val="00AD5058"/>
    <w:rsid w:val="00AD513E"/>
    <w:rsid w:val="00AD5405"/>
    <w:rsid w:val="00AD6486"/>
    <w:rsid w:val="00AD6A3B"/>
    <w:rsid w:val="00AD750B"/>
    <w:rsid w:val="00AD7924"/>
    <w:rsid w:val="00AE0225"/>
    <w:rsid w:val="00AE139F"/>
    <w:rsid w:val="00AE2066"/>
    <w:rsid w:val="00AE27FE"/>
    <w:rsid w:val="00AE2888"/>
    <w:rsid w:val="00AE2DDF"/>
    <w:rsid w:val="00AE3046"/>
    <w:rsid w:val="00AE32E5"/>
    <w:rsid w:val="00AE4148"/>
    <w:rsid w:val="00AE48DC"/>
    <w:rsid w:val="00AE5C60"/>
    <w:rsid w:val="00AE5E10"/>
    <w:rsid w:val="00AE6147"/>
    <w:rsid w:val="00AE6985"/>
    <w:rsid w:val="00AE752A"/>
    <w:rsid w:val="00AF0379"/>
    <w:rsid w:val="00AF1A9C"/>
    <w:rsid w:val="00AF1E73"/>
    <w:rsid w:val="00AF2225"/>
    <w:rsid w:val="00AF2A58"/>
    <w:rsid w:val="00AF2A6F"/>
    <w:rsid w:val="00AF3744"/>
    <w:rsid w:val="00AF5122"/>
    <w:rsid w:val="00AF5B03"/>
    <w:rsid w:val="00AF6503"/>
    <w:rsid w:val="00AF664E"/>
    <w:rsid w:val="00AF666B"/>
    <w:rsid w:val="00AF6997"/>
    <w:rsid w:val="00AF6DB2"/>
    <w:rsid w:val="00B00C47"/>
    <w:rsid w:val="00B0141D"/>
    <w:rsid w:val="00B017B7"/>
    <w:rsid w:val="00B01A2B"/>
    <w:rsid w:val="00B01D02"/>
    <w:rsid w:val="00B022FE"/>
    <w:rsid w:val="00B03547"/>
    <w:rsid w:val="00B0383E"/>
    <w:rsid w:val="00B04477"/>
    <w:rsid w:val="00B0503D"/>
    <w:rsid w:val="00B05385"/>
    <w:rsid w:val="00B0538F"/>
    <w:rsid w:val="00B068F0"/>
    <w:rsid w:val="00B06B29"/>
    <w:rsid w:val="00B070EF"/>
    <w:rsid w:val="00B0728C"/>
    <w:rsid w:val="00B07F63"/>
    <w:rsid w:val="00B11E41"/>
    <w:rsid w:val="00B1254B"/>
    <w:rsid w:val="00B15E5D"/>
    <w:rsid w:val="00B167BF"/>
    <w:rsid w:val="00B16A2F"/>
    <w:rsid w:val="00B16B91"/>
    <w:rsid w:val="00B17839"/>
    <w:rsid w:val="00B21907"/>
    <w:rsid w:val="00B21D41"/>
    <w:rsid w:val="00B220D8"/>
    <w:rsid w:val="00B22DBF"/>
    <w:rsid w:val="00B23659"/>
    <w:rsid w:val="00B23C49"/>
    <w:rsid w:val="00B23D63"/>
    <w:rsid w:val="00B2492B"/>
    <w:rsid w:val="00B25487"/>
    <w:rsid w:val="00B25865"/>
    <w:rsid w:val="00B258D8"/>
    <w:rsid w:val="00B25E60"/>
    <w:rsid w:val="00B26C21"/>
    <w:rsid w:val="00B26E57"/>
    <w:rsid w:val="00B27A32"/>
    <w:rsid w:val="00B30415"/>
    <w:rsid w:val="00B30A0D"/>
    <w:rsid w:val="00B31784"/>
    <w:rsid w:val="00B3180F"/>
    <w:rsid w:val="00B31AE6"/>
    <w:rsid w:val="00B3208C"/>
    <w:rsid w:val="00B32722"/>
    <w:rsid w:val="00B33386"/>
    <w:rsid w:val="00B33E80"/>
    <w:rsid w:val="00B33F58"/>
    <w:rsid w:val="00B34094"/>
    <w:rsid w:val="00B3481F"/>
    <w:rsid w:val="00B34FB8"/>
    <w:rsid w:val="00B357E4"/>
    <w:rsid w:val="00B35841"/>
    <w:rsid w:val="00B35AF8"/>
    <w:rsid w:val="00B36B48"/>
    <w:rsid w:val="00B4082E"/>
    <w:rsid w:val="00B41365"/>
    <w:rsid w:val="00B41986"/>
    <w:rsid w:val="00B41D5C"/>
    <w:rsid w:val="00B41E62"/>
    <w:rsid w:val="00B42605"/>
    <w:rsid w:val="00B42ABD"/>
    <w:rsid w:val="00B42CCA"/>
    <w:rsid w:val="00B42E6D"/>
    <w:rsid w:val="00B431F1"/>
    <w:rsid w:val="00B436EF"/>
    <w:rsid w:val="00B43746"/>
    <w:rsid w:val="00B43A94"/>
    <w:rsid w:val="00B43F16"/>
    <w:rsid w:val="00B43F75"/>
    <w:rsid w:val="00B44F9F"/>
    <w:rsid w:val="00B45202"/>
    <w:rsid w:val="00B4575B"/>
    <w:rsid w:val="00B46179"/>
    <w:rsid w:val="00B46C66"/>
    <w:rsid w:val="00B47110"/>
    <w:rsid w:val="00B475C3"/>
    <w:rsid w:val="00B47BC3"/>
    <w:rsid w:val="00B50C33"/>
    <w:rsid w:val="00B515AC"/>
    <w:rsid w:val="00B515D0"/>
    <w:rsid w:val="00B517FC"/>
    <w:rsid w:val="00B51CD0"/>
    <w:rsid w:val="00B52417"/>
    <w:rsid w:val="00B52574"/>
    <w:rsid w:val="00B5278B"/>
    <w:rsid w:val="00B53071"/>
    <w:rsid w:val="00B54BEA"/>
    <w:rsid w:val="00B54C1E"/>
    <w:rsid w:val="00B54D17"/>
    <w:rsid w:val="00B55050"/>
    <w:rsid w:val="00B55818"/>
    <w:rsid w:val="00B55EE7"/>
    <w:rsid w:val="00B5626F"/>
    <w:rsid w:val="00B5666D"/>
    <w:rsid w:val="00B56919"/>
    <w:rsid w:val="00B56C21"/>
    <w:rsid w:val="00B57643"/>
    <w:rsid w:val="00B5798F"/>
    <w:rsid w:val="00B607F4"/>
    <w:rsid w:val="00B60ECE"/>
    <w:rsid w:val="00B619D5"/>
    <w:rsid w:val="00B626C8"/>
    <w:rsid w:val="00B628C9"/>
    <w:rsid w:val="00B62A98"/>
    <w:rsid w:val="00B63685"/>
    <w:rsid w:val="00B63ABF"/>
    <w:rsid w:val="00B64425"/>
    <w:rsid w:val="00B646F3"/>
    <w:rsid w:val="00B64CBB"/>
    <w:rsid w:val="00B65036"/>
    <w:rsid w:val="00B655BC"/>
    <w:rsid w:val="00B663C7"/>
    <w:rsid w:val="00B6681D"/>
    <w:rsid w:val="00B66A9D"/>
    <w:rsid w:val="00B66D76"/>
    <w:rsid w:val="00B66E38"/>
    <w:rsid w:val="00B66FBA"/>
    <w:rsid w:val="00B6707A"/>
    <w:rsid w:val="00B677BA"/>
    <w:rsid w:val="00B7006C"/>
    <w:rsid w:val="00B70519"/>
    <w:rsid w:val="00B70D71"/>
    <w:rsid w:val="00B71800"/>
    <w:rsid w:val="00B72063"/>
    <w:rsid w:val="00B72073"/>
    <w:rsid w:val="00B725C9"/>
    <w:rsid w:val="00B733E4"/>
    <w:rsid w:val="00B73589"/>
    <w:rsid w:val="00B73978"/>
    <w:rsid w:val="00B73A81"/>
    <w:rsid w:val="00B73AC3"/>
    <w:rsid w:val="00B74DBA"/>
    <w:rsid w:val="00B751E6"/>
    <w:rsid w:val="00B75D17"/>
    <w:rsid w:val="00B75D87"/>
    <w:rsid w:val="00B76103"/>
    <w:rsid w:val="00B76205"/>
    <w:rsid w:val="00B76593"/>
    <w:rsid w:val="00B77175"/>
    <w:rsid w:val="00B773B4"/>
    <w:rsid w:val="00B774DE"/>
    <w:rsid w:val="00B77784"/>
    <w:rsid w:val="00B77C89"/>
    <w:rsid w:val="00B77F8A"/>
    <w:rsid w:val="00B801F9"/>
    <w:rsid w:val="00B80399"/>
    <w:rsid w:val="00B8042C"/>
    <w:rsid w:val="00B80BC8"/>
    <w:rsid w:val="00B80DA7"/>
    <w:rsid w:val="00B80E54"/>
    <w:rsid w:val="00B81563"/>
    <w:rsid w:val="00B81CC5"/>
    <w:rsid w:val="00B82402"/>
    <w:rsid w:val="00B83324"/>
    <w:rsid w:val="00B8476E"/>
    <w:rsid w:val="00B850C5"/>
    <w:rsid w:val="00B851A0"/>
    <w:rsid w:val="00B851EF"/>
    <w:rsid w:val="00B8582A"/>
    <w:rsid w:val="00B85D06"/>
    <w:rsid w:val="00B86A9D"/>
    <w:rsid w:val="00B86BF8"/>
    <w:rsid w:val="00B87AF9"/>
    <w:rsid w:val="00B90846"/>
    <w:rsid w:val="00B91219"/>
    <w:rsid w:val="00B92AE1"/>
    <w:rsid w:val="00B92B71"/>
    <w:rsid w:val="00B92D94"/>
    <w:rsid w:val="00B97749"/>
    <w:rsid w:val="00B9782B"/>
    <w:rsid w:val="00BA0492"/>
    <w:rsid w:val="00BA0658"/>
    <w:rsid w:val="00BA07E5"/>
    <w:rsid w:val="00BA0DC4"/>
    <w:rsid w:val="00BA0E4E"/>
    <w:rsid w:val="00BA1DE7"/>
    <w:rsid w:val="00BA24D5"/>
    <w:rsid w:val="00BA33EE"/>
    <w:rsid w:val="00BA53C4"/>
    <w:rsid w:val="00BA5478"/>
    <w:rsid w:val="00BA5FF4"/>
    <w:rsid w:val="00BA6550"/>
    <w:rsid w:val="00BA655C"/>
    <w:rsid w:val="00BA655D"/>
    <w:rsid w:val="00BA68BF"/>
    <w:rsid w:val="00BA7B84"/>
    <w:rsid w:val="00BA7C0E"/>
    <w:rsid w:val="00BA7CF0"/>
    <w:rsid w:val="00BB0277"/>
    <w:rsid w:val="00BB0394"/>
    <w:rsid w:val="00BB0794"/>
    <w:rsid w:val="00BB09CB"/>
    <w:rsid w:val="00BB0D3B"/>
    <w:rsid w:val="00BB0D5D"/>
    <w:rsid w:val="00BB1AA8"/>
    <w:rsid w:val="00BB1AE2"/>
    <w:rsid w:val="00BB1D7B"/>
    <w:rsid w:val="00BB1FC0"/>
    <w:rsid w:val="00BB20B9"/>
    <w:rsid w:val="00BB26F5"/>
    <w:rsid w:val="00BB2CC9"/>
    <w:rsid w:val="00BB3F11"/>
    <w:rsid w:val="00BB41A0"/>
    <w:rsid w:val="00BB4A73"/>
    <w:rsid w:val="00BB5ACC"/>
    <w:rsid w:val="00BB6415"/>
    <w:rsid w:val="00BB6AA1"/>
    <w:rsid w:val="00BB6D6A"/>
    <w:rsid w:val="00BB720A"/>
    <w:rsid w:val="00BB73C9"/>
    <w:rsid w:val="00BB753E"/>
    <w:rsid w:val="00BB7A7D"/>
    <w:rsid w:val="00BB7C4E"/>
    <w:rsid w:val="00BC026A"/>
    <w:rsid w:val="00BC0AC8"/>
    <w:rsid w:val="00BC0C86"/>
    <w:rsid w:val="00BC106F"/>
    <w:rsid w:val="00BC12BA"/>
    <w:rsid w:val="00BC202C"/>
    <w:rsid w:val="00BC211A"/>
    <w:rsid w:val="00BC2419"/>
    <w:rsid w:val="00BC267D"/>
    <w:rsid w:val="00BC29C9"/>
    <w:rsid w:val="00BC2E3E"/>
    <w:rsid w:val="00BC2E4E"/>
    <w:rsid w:val="00BC30FA"/>
    <w:rsid w:val="00BC3266"/>
    <w:rsid w:val="00BC342E"/>
    <w:rsid w:val="00BC34F4"/>
    <w:rsid w:val="00BC46ED"/>
    <w:rsid w:val="00BC4B59"/>
    <w:rsid w:val="00BC4D30"/>
    <w:rsid w:val="00BC537A"/>
    <w:rsid w:val="00BC571D"/>
    <w:rsid w:val="00BC62C8"/>
    <w:rsid w:val="00BC69A5"/>
    <w:rsid w:val="00BC6CAD"/>
    <w:rsid w:val="00BC6CBD"/>
    <w:rsid w:val="00BC73A7"/>
    <w:rsid w:val="00BC7480"/>
    <w:rsid w:val="00BC765B"/>
    <w:rsid w:val="00BC78B1"/>
    <w:rsid w:val="00BD0682"/>
    <w:rsid w:val="00BD0DB2"/>
    <w:rsid w:val="00BD139F"/>
    <w:rsid w:val="00BD2DAD"/>
    <w:rsid w:val="00BD315B"/>
    <w:rsid w:val="00BD3B41"/>
    <w:rsid w:val="00BD3E50"/>
    <w:rsid w:val="00BD56A9"/>
    <w:rsid w:val="00BD63B8"/>
    <w:rsid w:val="00BD7821"/>
    <w:rsid w:val="00BE0281"/>
    <w:rsid w:val="00BE080D"/>
    <w:rsid w:val="00BE0B29"/>
    <w:rsid w:val="00BE0CEC"/>
    <w:rsid w:val="00BE0EBE"/>
    <w:rsid w:val="00BE0FD5"/>
    <w:rsid w:val="00BE2051"/>
    <w:rsid w:val="00BE20B1"/>
    <w:rsid w:val="00BE2468"/>
    <w:rsid w:val="00BE24B5"/>
    <w:rsid w:val="00BE35DA"/>
    <w:rsid w:val="00BE3691"/>
    <w:rsid w:val="00BE3C7B"/>
    <w:rsid w:val="00BE5074"/>
    <w:rsid w:val="00BE542D"/>
    <w:rsid w:val="00BE5524"/>
    <w:rsid w:val="00BE5826"/>
    <w:rsid w:val="00BE593C"/>
    <w:rsid w:val="00BE669B"/>
    <w:rsid w:val="00BE6AA9"/>
    <w:rsid w:val="00BE70BB"/>
    <w:rsid w:val="00BE7D06"/>
    <w:rsid w:val="00BF043B"/>
    <w:rsid w:val="00BF0E8A"/>
    <w:rsid w:val="00BF109E"/>
    <w:rsid w:val="00BF1391"/>
    <w:rsid w:val="00BF1B1A"/>
    <w:rsid w:val="00BF23AE"/>
    <w:rsid w:val="00BF2499"/>
    <w:rsid w:val="00BF3330"/>
    <w:rsid w:val="00BF35B2"/>
    <w:rsid w:val="00BF38C4"/>
    <w:rsid w:val="00BF3CA6"/>
    <w:rsid w:val="00BF3D1B"/>
    <w:rsid w:val="00BF4422"/>
    <w:rsid w:val="00BF4BE2"/>
    <w:rsid w:val="00BF4F96"/>
    <w:rsid w:val="00BF5040"/>
    <w:rsid w:val="00BF52B0"/>
    <w:rsid w:val="00BF6030"/>
    <w:rsid w:val="00BF7024"/>
    <w:rsid w:val="00BF75AD"/>
    <w:rsid w:val="00BF7774"/>
    <w:rsid w:val="00BF788B"/>
    <w:rsid w:val="00BF79C7"/>
    <w:rsid w:val="00BF7FC9"/>
    <w:rsid w:val="00C0050B"/>
    <w:rsid w:val="00C00BF6"/>
    <w:rsid w:val="00C00C92"/>
    <w:rsid w:val="00C02C1A"/>
    <w:rsid w:val="00C02E8A"/>
    <w:rsid w:val="00C03970"/>
    <w:rsid w:val="00C03AB7"/>
    <w:rsid w:val="00C0513B"/>
    <w:rsid w:val="00C0559F"/>
    <w:rsid w:val="00C06645"/>
    <w:rsid w:val="00C06E7F"/>
    <w:rsid w:val="00C06F93"/>
    <w:rsid w:val="00C0749C"/>
    <w:rsid w:val="00C075CE"/>
    <w:rsid w:val="00C10291"/>
    <w:rsid w:val="00C108E3"/>
    <w:rsid w:val="00C12D41"/>
    <w:rsid w:val="00C142D7"/>
    <w:rsid w:val="00C14798"/>
    <w:rsid w:val="00C15DFE"/>
    <w:rsid w:val="00C166E9"/>
    <w:rsid w:val="00C16FE6"/>
    <w:rsid w:val="00C17568"/>
    <w:rsid w:val="00C17A89"/>
    <w:rsid w:val="00C21705"/>
    <w:rsid w:val="00C21749"/>
    <w:rsid w:val="00C21C7B"/>
    <w:rsid w:val="00C221A2"/>
    <w:rsid w:val="00C224B4"/>
    <w:rsid w:val="00C22AD2"/>
    <w:rsid w:val="00C22D76"/>
    <w:rsid w:val="00C2317E"/>
    <w:rsid w:val="00C23C16"/>
    <w:rsid w:val="00C23C98"/>
    <w:rsid w:val="00C23E67"/>
    <w:rsid w:val="00C242A6"/>
    <w:rsid w:val="00C2555A"/>
    <w:rsid w:val="00C2565D"/>
    <w:rsid w:val="00C25719"/>
    <w:rsid w:val="00C25763"/>
    <w:rsid w:val="00C264C0"/>
    <w:rsid w:val="00C26512"/>
    <w:rsid w:val="00C26DCD"/>
    <w:rsid w:val="00C27001"/>
    <w:rsid w:val="00C274AB"/>
    <w:rsid w:val="00C30CDB"/>
    <w:rsid w:val="00C31C9F"/>
    <w:rsid w:val="00C326B5"/>
    <w:rsid w:val="00C3281F"/>
    <w:rsid w:val="00C33231"/>
    <w:rsid w:val="00C33306"/>
    <w:rsid w:val="00C33638"/>
    <w:rsid w:val="00C33B4C"/>
    <w:rsid w:val="00C33C98"/>
    <w:rsid w:val="00C3425A"/>
    <w:rsid w:val="00C34594"/>
    <w:rsid w:val="00C351B6"/>
    <w:rsid w:val="00C358A0"/>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72E"/>
    <w:rsid w:val="00C43855"/>
    <w:rsid w:val="00C45164"/>
    <w:rsid w:val="00C45BC8"/>
    <w:rsid w:val="00C463CA"/>
    <w:rsid w:val="00C467A7"/>
    <w:rsid w:val="00C46A2A"/>
    <w:rsid w:val="00C46F3C"/>
    <w:rsid w:val="00C47EA1"/>
    <w:rsid w:val="00C506E6"/>
    <w:rsid w:val="00C50A17"/>
    <w:rsid w:val="00C50BE5"/>
    <w:rsid w:val="00C510DB"/>
    <w:rsid w:val="00C519CB"/>
    <w:rsid w:val="00C52255"/>
    <w:rsid w:val="00C5267D"/>
    <w:rsid w:val="00C5268C"/>
    <w:rsid w:val="00C52C92"/>
    <w:rsid w:val="00C5447F"/>
    <w:rsid w:val="00C54679"/>
    <w:rsid w:val="00C54B79"/>
    <w:rsid w:val="00C54F15"/>
    <w:rsid w:val="00C55252"/>
    <w:rsid w:val="00C55604"/>
    <w:rsid w:val="00C55B19"/>
    <w:rsid w:val="00C55D26"/>
    <w:rsid w:val="00C56038"/>
    <w:rsid w:val="00C564F1"/>
    <w:rsid w:val="00C57D7A"/>
    <w:rsid w:val="00C60EF6"/>
    <w:rsid w:val="00C6193B"/>
    <w:rsid w:val="00C62CAF"/>
    <w:rsid w:val="00C62F76"/>
    <w:rsid w:val="00C63321"/>
    <w:rsid w:val="00C63A80"/>
    <w:rsid w:val="00C63D68"/>
    <w:rsid w:val="00C64075"/>
    <w:rsid w:val="00C6433D"/>
    <w:rsid w:val="00C65A10"/>
    <w:rsid w:val="00C65FDF"/>
    <w:rsid w:val="00C66CD0"/>
    <w:rsid w:val="00C67120"/>
    <w:rsid w:val="00C67FD2"/>
    <w:rsid w:val="00C70717"/>
    <w:rsid w:val="00C71762"/>
    <w:rsid w:val="00C72AB9"/>
    <w:rsid w:val="00C737E7"/>
    <w:rsid w:val="00C7433E"/>
    <w:rsid w:val="00C751E6"/>
    <w:rsid w:val="00C7596D"/>
    <w:rsid w:val="00C75DF8"/>
    <w:rsid w:val="00C75F7F"/>
    <w:rsid w:val="00C76A37"/>
    <w:rsid w:val="00C77367"/>
    <w:rsid w:val="00C77655"/>
    <w:rsid w:val="00C800B0"/>
    <w:rsid w:val="00C80475"/>
    <w:rsid w:val="00C806C5"/>
    <w:rsid w:val="00C80950"/>
    <w:rsid w:val="00C81691"/>
    <w:rsid w:val="00C81961"/>
    <w:rsid w:val="00C81A57"/>
    <w:rsid w:val="00C81DE4"/>
    <w:rsid w:val="00C8261D"/>
    <w:rsid w:val="00C826CF"/>
    <w:rsid w:val="00C82964"/>
    <w:rsid w:val="00C829FB"/>
    <w:rsid w:val="00C83373"/>
    <w:rsid w:val="00C83B35"/>
    <w:rsid w:val="00C84EA3"/>
    <w:rsid w:val="00C85B0B"/>
    <w:rsid w:val="00C85C8D"/>
    <w:rsid w:val="00C86356"/>
    <w:rsid w:val="00C86EBD"/>
    <w:rsid w:val="00C87AE1"/>
    <w:rsid w:val="00C87CC2"/>
    <w:rsid w:val="00C87E71"/>
    <w:rsid w:val="00C90920"/>
    <w:rsid w:val="00C91A55"/>
    <w:rsid w:val="00C91B68"/>
    <w:rsid w:val="00C921CB"/>
    <w:rsid w:val="00C922AF"/>
    <w:rsid w:val="00C931C0"/>
    <w:rsid w:val="00C94BA6"/>
    <w:rsid w:val="00C9544C"/>
    <w:rsid w:val="00C960D3"/>
    <w:rsid w:val="00C9664B"/>
    <w:rsid w:val="00C96BBE"/>
    <w:rsid w:val="00C97F48"/>
    <w:rsid w:val="00CA0508"/>
    <w:rsid w:val="00CA0AB4"/>
    <w:rsid w:val="00CA1B6D"/>
    <w:rsid w:val="00CA1E24"/>
    <w:rsid w:val="00CA2AE8"/>
    <w:rsid w:val="00CA45C3"/>
    <w:rsid w:val="00CA48DE"/>
    <w:rsid w:val="00CA55EA"/>
    <w:rsid w:val="00CA699B"/>
    <w:rsid w:val="00CA6DEB"/>
    <w:rsid w:val="00CA7133"/>
    <w:rsid w:val="00CA78DA"/>
    <w:rsid w:val="00CA7B11"/>
    <w:rsid w:val="00CA7FFD"/>
    <w:rsid w:val="00CB08C9"/>
    <w:rsid w:val="00CB0922"/>
    <w:rsid w:val="00CB10B4"/>
    <w:rsid w:val="00CB12D5"/>
    <w:rsid w:val="00CB1A62"/>
    <w:rsid w:val="00CB20C7"/>
    <w:rsid w:val="00CB2207"/>
    <w:rsid w:val="00CB25BC"/>
    <w:rsid w:val="00CB26DA"/>
    <w:rsid w:val="00CB2749"/>
    <w:rsid w:val="00CB2B4E"/>
    <w:rsid w:val="00CB2EFB"/>
    <w:rsid w:val="00CB3F3C"/>
    <w:rsid w:val="00CB4BDE"/>
    <w:rsid w:val="00CB4D84"/>
    <w:rsid w:val="00CB5652"/>
    <w:rsid w:val="00CB59CC"/>
    <w:rsid w:val="00CB7DB6"/>
    <w:rsid w:val="00CC0372"/>
    <w:rsid w:val="00CC0B12"/>
    <w:rsid w:val="00CC1030"/>
    <w:rsid w:val="00CC1153"/>
    <w:rsid w:val="00CC3747"/>
    <w:rsid w:val="00CC3B7D"/>
    <w:rsid w:val="00CC407A"/>
    <w:rsid w:val="00CC5129"/>
    <w:rsid w:val="00CC5429"/>
    <w:rsid w:val="00CC5FE3"/>
    <w:rsid w:val="00CC62D1"/>
    <w:rsid w:val="00CC6622"/>
    <w:rsid w:val="00CC6A10"/>
    <w:rsid w:val="00CC6A8E"/>
    <w:rsid w:val="00CC6CA3"/>
    <w:rsid w:val="00CC7C38"/>
    <w:rsid w:val="00CD00E2"/>
    <w:rsid w:val="00CD0177"/>
    <w:rsid w:val="00CD06F7"/>
    <w:rsid w:val="00CD0E24"/>
    <w:rsid w:val="00CD0EE6"/>
    <w:rsid w:val="00CD336B"/>
    <w:rsid w:val="00CD3959"/>
    <w:rsid w:val="00CD3D36"/>
    <w:rsid w:val="00CD4643"/>
    <w:rsid w:val="00CD4B6B"/>
    <w:rsid w:val="00CD4E05"/>
    <w:rsid w:val="00CD6B36"/>
    <w:rsid w:val="00CD6E8B"/>
    <w:rsid w:val="00CD7602"/>
    <w:rsid w:val="00CD779F"/>
    <w:rsid w:val="00CD7955"/>
    <w:rsid w:val="00CD79D7"/>
    <w:rsid w:val="00CD7ECE"/>
    <w:rsid w:val="00CE006E"/>
    <w:rsid w:val="00CE0906"/>
    <w:rsid w:val="00CE13C3"/>
    <w:rsid w:val="00CE166A"/>
    <w:rsid w:val="00CE1AA1"/>
    <w:rsid w:val="00CE2504"/>
    <w:rsid w:val="00CE289D"/>
    <w:rsid w:val="00CE2D01"/>
    <w:rsid w:val="00CE3030"/>
    <w:rsid w:val="00CE3414"/>
    <w:rsid w:val="00CE34C1"/>
    <w:rsid w:val="00CE3FF4"/>
    <w:rsid w:val="00CE450B"/>
    <w:rsid w:val="00CE459E"/>
    <w:rsid w:val="00CE4691"/>
    <w:rsid w:val="00CE47A2"/>
    <w:rsid w:val="00CE491C"/>
    <w:rsid w:val="00CE4B4F"/>
    <w:rsid w:val="00CE5057"/>
    <w:rsid w:val="00CE52CE"/>
    <w:rsid w:val="00CE52D9"/>
    <w:rsid w:val="00CE63EE"/>
    <w:rsid w:val="00CE73C9"/>
    <w:rsid w:val="00CE78DE"/>
    <w:rsid w:val="00CE7ED9"/>
    <w:rsid w:val="00CF0127"/>
    <w:rsid w:val="00CF027F"/>
    <w:rsid w:val="00CF04A0"/>
    <w:rsid w:val="00CF05E9"/>
    <w:rsid w:val="00CF120D"/>
    <w:rsid w:val="00CF1364"/>
    <w:rsid w:val="00CF2080"/>
    <w:rsid w:val="00CF23CC"/>
    <w:rsid w:val="00CF3143"/>
    <w:rsid w:val="00CF3727"/>
    <w:rsid w:val="00CF484F"/>
    <w:rsid w:val="00CF6019"/>
    <w:rsid w:val="00CF617F"/>
    <w:rsid w:val="00CF6360"/>
    <w:rsid w:val="00CF696E"/>
    <w:rsid w:val="00CF6AB6"/>
    <w:rsid w:val="00CF728F"/>
    <w:rsid w:val="00D00575"/>
    <w:rsid w:val="00D008B1"/>
    <w:rsid w:val="00D01264"/>
    <w:rsid w:val="00D0171C"/>
    <w:rsid w:val="00D01B75"/>
    <w:rsid w:val="00D020C2"/>
    <w:rsid w:val="00D0230A"/>
    <w:rsid w:val="00D02B9B"/>
    <w:rsid w:val="00D02D30"/>
    <w:rsid w:val="00D035D3"/>
    <w:rsid w:val="00D03AB7"/>
    <w:rsid w:val="00D04050"/>
    <w:rsid w:val="00D044ED"/>
    <w:rsid w:val="00D049E6"/>
    <w:rsid w:val="00D04B35"/>
    <w:rsid w:val="00D04D3E"/>
    <w:rsid w:val="00D04F83"/>
    <w:rsid w:val="00D05ECB"/>
    <w:rsid w:val="00D0633B"/>
    <w:rsid w:val="00D06408"/>
    <w:rsid w:val="00D07EB1"/>
    <w:rsid w:val="00D07F12"/>
    <w:rsid w:val="00D07FB9"/>
    <w:rsid w:val="00D100E2"/>
    <w:rsid w:val="00D112CF"/>
    <w:rsid w:val="00D113A7"/>
    <w:rsid w:val="00D1152C"/>
    <w:rsid w:val="00D11B31"/>
    <w:rsid w:val="00D1240A"/>
    <w:rsid w:val="00D1243D"/>
    <w:rsid w:val="00D12841"/>
    <w:rsid w:val="00D12BBD"/>
    <w:rsid w:val="00D13C62"/>
    <w:rsid w:val="00D14F52"/>
    <w:rsid w:val="00D150F1"/>
    <w:rsid w:val="00D16271"/>
    <w:rsid w:val="00D167AD"/>
    <w:rsid w:val="00D20468"/>
    <w:rsid w:val="00D21322"/>
    <w:rsid w:val="00D21672"/>
    <w:rsid w:val="00D22978"/>
    <w:rsid w:val="00D229AC"/>
    <w:rsid w:val="00D22D73"/>
    <w:rsid w:val="00D233EC"/>
    <w:rsid w:val="00D23B9E"/>
    <w:rsid w:val="00D244A9"/>
    <w:rsid w:val="00D24986"/>
    <w:rsid w:val="00D24AB6"/>
    <w:rsid w:val="00D24B0C"/>
    <w:rsid w:val="00D251B8"/>
    <w:rsid w:val="00D263BD"/>
    <w:rsid w:val="00D266F9"/>
    <w:rsid w:val="00D26938"/>
    <w:rsid w:val="00D26D07"/>
    <w:rsid w:val="00D27108"/>
    <w:rsid w:val="00D2717C"/>
    <w:rsid w:val="00D277AC"/>
    <w:rsid w:val="00D30499"/>
    <w:rsid w:val="00D3054F"/>
    <w:rsid w:val="00D30AA6"/>
    <w:rsid w:val="00D30BA9"/>
    <w:rsid w:val="00D317D1"/>
    <w:rsid w:val="00D31E95"/>
    <w:rsid w:val="00D31F20"/>
    <w:rsid w:val="00D32B82"/>
    <w:rsid w:val="00D32DEF"/>
    <w:rsid w:val="00D32F46"/>
    <w:rsid w:val="00D339E6"/>
    <w:rsid w:val="00D367DF"/>
    <w:rsid w:val="00D36FF6"/>
    <w:rsid w:val="00D374BF"/>
    <w:rsid w:val="00D37609"/>
    <w:rsid w:val="00D3793C"/>
    <w:rsid w:val="00D37C61"/>
    <w:rsid w:val="00D40026"/>
    <w:rsid w:val="00D414E2"/>
    <w:rsid w:val="00D4156A"/>
    <w:rsid w:val="00D41678"/>
    <w:rsid w:val="00D4173A"/>
    <w:rsid w:val="00D41C78"/>
    <w:rsid w:val="00D427B9"/>
    <w:rsid w:val="00D42BCC"/>
    <w:rsid w:val="00D43B56"/>
    <w:rsid w:val="00D44CDB"/>
    <w:rsid w:val="00D44D1A"/>
    <w:rsid w:val="00D451B2"/>
    <w:rsid w:val="00D45271"/>
    <w:rsid w:val="00D45E1A"/>
    <w:rsid w:val="00D46EED"/>
    <w:rsid w:val="00D47496"/>
    <w:rsid w:val="00D50145"/>
    <w:rsid w:val="00D5018C"/>
    <w:rsid w:val="00D508B3"/>
    <w:rsid w:val="00D50C7A"/>
    <w:rsid w:val="00D51A62"/>
    <w:rsid w:val="00D51BF3"/>
    <w:rsid w:val="00D524DA"/>
    <w:rsid w:val="00D527CB"/>
    <w:rsid w:val="00D53FCA"/>
    <w:rsid w:val="00D5422A"/>
    <w:rsid w:val="00D5464E"/>
    <w:rsid w:val="00D5553F"/>
    <w:rsid w:val="00D556B6"/>
    <w:rsid w:val="00D56947"/>
    <w:rsid w:val="00D56AC0"/>
    <w:rsid w:val="00D57E23"/>
    <w:rsid w:val="00D60448"/>
    <w:rsid w:val="00D606BA"/>
    <w:rsid w:val="00D607A2"/>
    <w:rsid w:val="00D60856"/>
    <w:rsid w:val="00D613B0"/>
    <w:rsid w:val="00D634A4"/>
    <w:rsid w:val="00D63624"/>
    <w:rsid w:val="00D6383F"/>
    <w:rsid w:val="00D63871"/>
    <w:rsid w:val="00D63CDA"/>
    <w:rsid w:val="00D641FB"/>
    <w:rsid w:val="00D64B8E"/>
    <w:rsid w:val="00D64FC4"/>
    <w:rsid w:val="00D6584D"/>
    <w:rsid w:val="00D65959"/>
    <w:rsid w:val="00D65C46"/>
    <w:rsid w:val="00D66704"/>
    <w:rsid w:val="00D67B46"/>
    <w:rsid w:val="00D702B4"/>
    <w:rsid w:val="00D70BCA"/>
    <w:rsid w:val="00D70DCD"/>
    <w:rsid w:val="00D7211B"/>
    <w:rsid w:val="00D7217E"/>
    <w:rsid w:val="00D72737"/>
    <w:rsid w:val="00D72D76"/>
    <w:rsid w:val="00D73119"/>
    <w:rsid w:val="00D737AA"/>
    <w:rsid w:val="00D7385F"/>
    <w:rsid w:val="00D738C8"/>
    <w:rsid w:val="00D73EB6"/>
    <w:rsid w:val="00D73FF8"/>
    <w:rsid w:val="00D74CF2"/>
    <w:rsid w:val="00D7507F"/>
    <w:rsid w:val="00D757C9"/>
    <w:rsid w:val="00D75B0C"/>
    <w:rsid w:val="00D75DB3"/>
    <w:rsid w:val="00D76734"/>
    <w:rsid w:val="00D8021E"/>
    <w:rsid w:val="00D8076B"/>
    <w:rsid w:val="00D808C3"/>
    <w:rsid w:val="00D8166F"/>
    <w:rsid w:val="00D81AAC"/>
    <w:rsid w:val="00D82B01"/>
    <w:rsid w:val="00D82C66"/>
    <w:rsid w:val="00D8330B"/>
    <w:rsid w:val="00D83534"/>
    <w:rsid w:val="00D83FEF"/>
    <w:rsid w:val="00D845B4"/>
    <w:rsid w:val="00D846FB"/>
    <w:rsid w:val="00D858A6"/>
    <w:rsid w:val="00D85B27"/>
    <w:rsid w:val="00D8639D"/>
    <w:rsid w:val="00D87261"/>
    <w:rsid w:val="00D90FDD"/>
    <w:rsid w:val="00D917A4"/>
    <w:rsid w:val="00D91D97"/>
    <w:rsid w:val="00D91FFC"/>
    <w:rsid w:val="00D928A5"/>
    <w:rsid w:val="00D929D4"/>
    <w:rsid w:val="00D92B4D"/>
    <w:rsid w:val="00D92F22"/>
    <w:rsid w:val="00D93246"/>
    <w:rsid w:val="00D94DE8"/>
    <w:rsid w:val="00D94E3C"/>
    <w:rsid w:val="00D95057"/>
    <w:rsid w:val="00D95DE0"/>
    <w:rsid w:val="00D962AE"/>
    <w:rsid w:val="00D966A1"/>
    <w:rsid w:val="00D96DE7"/>
    <w:rsid w:val="00DA04C9"/>
    <w:rsid w:val="00DA10A9"/>
    <w:rsid w:val="00DA151A"/>
    <w:rsid w:val="00DA38AB"/>
    <w:rsid w:val="00DA4357"/>
    <w:rsid w:val="00DA50D3"/>
    <w:rsid w:val="00DA5473"/>
    <w:rsid w:val="00DA58BA"/>
    <w:rsid w:val="00DA6B1C"/>
    <w:rsid w:val="00DA6C5E"/>
    <w:rsid w:val="00DA6CBC"/>
    <w:rsid w:val="00DA7B28"/>
    <w:rsid w:val="00DA7EBA"/>
    <w:rsid w:val="00DB0115"/>
    <w:rsid w:val="00DB04D2"/>
    <w:rsid w:val="00DB15BE"/>
    <w:rsid w:val="00DB2081"/>
    <w:rsid w:val="00DB23C2"/>
    <w:rsid w:val="00DB382E"/>
    <w:rsid w:val="00DB4342"/>
    <w:rsid w:val="00DB440A"/>
    <w:rsid w:val="00DB4802"/>
    <w:rsid w:val="00DB4BCE"/>
    <w:rsid w:val="00DB4CA2"/>
    <w:rsid w:val="00DB4E3B"/>
    <w:rsid w:val="00DB64C8"/>
    <w:rsid w:val="00DB69F9"/>
    <w:rsid w:val="00DC00E2"/>
    <w:rsid w:val="00DC017C"/>
    <w:rsid w:val="00DC09DF"/>
    <w:rsid w:val="00DC0CA2"/>
    <w:rsid w:val="00DC1243"/>
    <w:rsid w:val="00DC12B4"/>
    <w:rsid w:val="00DC18CD"/>
    <w:rsid w:val="00DC303D"/>
    <w:rsid w:val="00DC31D9"/>
    <w:rsid w:val="00DC3242"/>
    <w:rsid w:val="00DC33E4"/>
    <w:rsid w:val="00DC3E9A"/>
    <w:rsid w:val="00DC4043"/>
    <w:rsid w:val="00DC428A"/>
    <w:rsid w:val="00DC4883"/>
    <w:rsid w:val="00DC4B8A"/>
    <w:rsid w:val="00DC4C42"/>
    <w:rsid w:val="00DC505E"/>
    <w:rsid w:val="00DC593E"/>
    <w:rsid w:val="00DC621E"/>
    <w:rsid w:val="00DC67A9"/>
    <w:rsid w:val="00DC723B"/>
    <w:rsid w:val="00DC77F0"/>
    <w:rsid w:val="00DC7A02"/>
    <w:rsid w:val="00DD10FC"/>
    <w:rsid w:val="00DD1B12"/>
    <w:rsid w:val="00DD24C8"/>
    <w:rsid w:val="00DD2F0A"/>
    <w:rsid w:val="00DD30FF"/>
    <w:rsid w:val="00DD3CC4"/>
    <w:rsid w:val="00DD3E73"/>
    <w:rsid w:val="00DD485A"/>
    <w:rsid w:val="00DD49AC"/>
    <w:rsid w:val="00DD5163"/>
    <w:rsid w:val="00DD55EB"/>
    <w:rsid w:val="00DD5B3C"/>
    <w:rsid w:val="00DD5F09"/>
    <w:rsid w:val="00DD71E5"/>
    <w:rsid w:val="00DD72D7"/>
    <w:rsid w:val="00DD7C78"/>
    <w:rsid w:val="00DE0792"/>
    <w:rsid w:val="00DE0B5B"/>
    <w:rsid w:val="00DE1147"/>
    <w:rsid w:val="00DE1B1F"/>
    <w:rsid w:val="00DE203D"/>
    <w:rsid w:val="00DE24E3"/>
    <w:rsid w:val="00DE25A3"/>
    <w:rsid w:val="00DE2879"/>
    <w:rsid w:val="00DE2CFA"/>
    <w:rsid w:val="00DE2FE6"/>
    <w:rsid w:val="00DE4B0A"/>
    <w:rsid w:val="00DE63D4"/>
    <w:rsid w:val="00DE6664"/>
    <w:rsid w:val="00DE6667"/>
    <w:rsid w:val="00DE681A"/>
    <w:rsid w:val="00DE7734"/>
    <w:rsid w:val="00DF030A"/>
    <w:rsid w:val="00DF0663"/>
    <w:rsid w:val="00DF1484"/>
    <w:rsid w:val="00DF1578"/>
    <w:rsid w:val="00DF19A2"/>
    <w:rsid w:val="00DF1ACE"/>
    <w:rsid w:val="00DF21A8"/>
    <w:rsid w:val="00DF2284"/>
    <w:rsid w:val="00DF3564"/>
    <w:rsid w:val="00DF35F3"/>
    <w:rsid w:val="00DF3AF7"/>
    <w:rsid w:val="00DF3F07"/>
    <w:rsid w:val="00DF3F9D"/>
    <w:rsid w:val="00DF4AC0"/>
    <w:rsid w:val="00DF5054"/>
    <w:rsid w:val="00DF554F"/>
    <w:rsid w:val="00DF5688"/>
    <w:rsid w:val="00DF57F3"/>
    <w:rsid w:val="00DF5B66"/>
    <w:rsid w:val="00DF5C89"/>
    <w:rsid w:val="00DF65FB"/>
    <w:rsid w:val="00DF74FC"/>
    <w:rsid w:val="00DF7F0F"/>
    <w:rsid w:val="00E008CF"/>
    <w:rsid w:val="00E0123E"/>
    <w:rsid w:val="00E013AD"/>
    <w:rsid w:val="00E018EF"/>
    <w:rsid w:val="00E03451"/>
    <w:rsid w:val="00E034D8"/>
    <w:rsid w:val="00E043A2"/>
    <w:rsid w:val="00E04CB0"/>
    <w:rsid w:val="00E0532F"/>
    <w:rsid w:val="00E057C5"/>
    <w:rsid w:val="00E059DE"/>
    <w:rsid w:val="00E05AC7"/>
    <w:rsid w:val="00E05F3B"/>
    <w:rsid w:val="00E0686E"/>
    <w:rsid w:val="00E068A9"/>
    <w:rsid w:val="00E072AE"/>
    <w:rsid w:val="00E0737A"/>
    <w:rsid w:val="00E0753D"/>
    <w:rsid w:val="00E07F1A"/>
    <w:rsid w:val="00E11228"/>
    <w:rsid w:val="00E118B5"/>
    <w:rsid w:val="00E130D2"/>
    <w:rsid w:val="00E133CC"/>
    <w:rsid w:val="00E13706"/>
    <w:rsid w:val="00E13B4F"/>
    <w:rsid w:val="00E13B5F"/>
    <w:rsid w:val="00E13BD6"/>
    <w:rsid w:val="00E13C00"/>
    <w:rsid w:val="00E14C8A"/>
    <w:rsid w:val="00E14DB2"/>
    <w:rsid w:val="00E15FB3"/>
    <w:rsid w:val="00E1688C"/>
    <w:rsid w:val="00E16E79"/>
    <w:rsid w:val="00E175BD"/>
    <w:rsid w:val="00E17C6B"/>
    <w:rsid w:val="00E20031"/>
    <w:rsid w:val="00E20646"/>
    <w:rsid w:val="00E2088E"/>
    <w:rsid w:val="00E20B26"/>
    <w:rsid w:val="00E22806"/>
    <w:rsid w:val="00E230B6"/>
    <w:rsid w:val="00E23BE4"/>
    <w:rsid w:val="00E2458E"/>
    <w:rsid w:val="00E249E0"/>
    <w:rsid w:val="00E25BF2"/>
    <w:rsid w:val="00E27367"/>
    <w:rsid w:val="00E27BE7"/>
    <w:rsid w:val="00E27D01"/>
    <w:rsid w:val="00E3038C"/>
    <w:rsid w:val="00E323BD"/>
    <w:rsid w:val="00E326FA"/>
    <w:rsid w:val="00E33CD5"/>
    <w:rsid w:val="00E353C7"/>
    <w:rsid w:val="00E359E1"/>
    <w:rsid w:val="00E36323"/>
    <w:rsid w:val="00E363F2"/>
    <w:rsid w:val="00E371CE"/>
    <w:rsid w:val="00E373CF"/>
    <w:rsid w:val="00E4017C"/>
    <w:rsid w:val="00E40259"/>
    <w:rsid w:val="00E40C1C"/>
    <w:rsid w:val="00E412B2"/>
    <w:rsid w:val="00E42B57"/>
    <w:rsid w:val="00E43383"/>
    <w:rsid w:val="00E436A2"/>
    <w:rsid w:val="00E44940"/>
    <w:rsid w:val="00E45356"/>
    <w:rsid w:val="00E45DD7"/>
    <w:rsid w:val="00E46621"/>
    <w:rsid w:val="00E46D84"/>
    <w:rsid w:val="00E4723B"/>
    <w:rsid w:val="00E4732A"/>
    <w:rsid w:val="00E47A9F"/>
    <w:rsid w:val="00E50A7E"/>
    <w:rsid w:val="00E50C81"/>
    <w:rsid w:val="00E51576"/>
    <w:rsid w:val="00E51703"/>
    <w:rsid w:val="00E517D6"/>
    <w:rsid w:val="00E51A84"/>
    <w:rsid w:val="00E51CEA"/>
    <w:rsid w:val="00E51EF3"/>
    <w:rsid w:val="00E51F59"/>
    <w:rsid w:val="00E5225D"/>
    <w:rsid w:val="00E524CD"/>
    <w:rsid w:val="00E52A55"/>
    <w:rsid w:val="00E52A6A"/>
    <w:rsid w:val="00E52E81"/>
    <w:rsid w:val="00E53A6E"/>
    <w:rsid w:val="00E551B8"/>
    <w:rsid w:val="00E5537D"/>
    <w:rsid w:val="00E55626"/>
    <w:rsid w:val="00E5568E"/>
    <w:rsid w:val="00E55D45"/>
    <w:rsid w:val="00E5612C"/>
    <w:rsid w:val="00E561C0"/>
    <w:rsid w:val="00E562BA"/>
    <w:rsid w:val="00E5701E"/>
    <w:rsid w:val="00E57045"/>
    <w:rsid w:val="00E57CFE"/>
    <w:rsid w:val="00E603EA"/>
    <w:rsid w:val="00E61190"/>
    <w:rsid w:val="00E61442"/>
    <w:rsid w:val="00E626CC"/>
    <w:rsid w:val="00E62D48"/>
    <w:rsid w:val="00E62F2A"/>
    <w:rsid w:val="00E63FE6"/>
    <w:rsid w:val="00E64157"/>
    <w:rsid w:val="00E642B7"/>
    <w:rsid w:val="00E64BA6"/>
    <w:rsid w:val="00E64FB0"/>
    <w:rsid w:val="00E654E9"/>
    <w:rsid w:val="00E65602"/>
    <w:rsid w:val="00E6663C"/>
    <w:rsid w:val="00E673D9"/>
    <w:rsid w:val="00E70E5E"/>
    <w:rsid w:val="00E71308"/>
    <w:rsid w:val="00E713FE"/>
    <w:rsid w:val="00E71574"/>
    <w:rsid w:val="00E71666"/>
    <w:rsid w:val="00E7176D"/>
    <w:rsid w:val="00E71AF7"/>
    <w:rsid w:val="00E71F57"/>
    <w:rsid w:val="00E72253"/>
    <w:rsid w:val="00E72408"/>
    <w:rsid w:val="00E7285F"/>
    <w:rsid w:val="00E72FAC"/>
    <w:rsid w:val="00E7321D"/>
    <w:rsid w:val="00E734E3"/>
    <w:rsid w:val="00E73F8B"/>
    <w:rsid w:val="00E74736"/>
    <w:rsid w:val="00E74E3F"/>
    <w:rsid w:val="00E74F0C"/>
    <w:rsid w:val="00E760A2"/>
    <w:rsid w:val="00E76C96"/>
    <w:rsid w:val="00E76D72"/>
    <w:rsid w:val="00E76F3E"/>
    <w:rsid w:val="00E80AD4"/>
    <w:rsid w:val="00E8180D"/>
    <w:rsid w:val="00E81833"/>
    <w:rsid w:val="00E81ECD"/>
    <w:rsid w:val="00E82104"/>
    <w:rsid w:val="00E82307"/>
    <w:rsid w:val="00E83506"/>
    <w:rsid w:val="00E83F77"/>
    <w:rsid w:val="00E84062"/>
    <w:rsid w:val="00E8430F"/>
    <w:rsid w:val="00E84459"/>
    <w:rsid w:val="00E844AB"/>
    <w:rsid w:val="00E84F77"/>
    <w:rsid w:val="00E859CD"/>
    <w:rsid w:val="00E85CE0"/>
    <w:rsid w:val="00E86983"/>
    <w:rsid w:val="00E87108"/>
    <w:rsid w:val="00E8786D"/>
    <w:rsid w:val="00E87AAE"/>
    <w:rsid w:val="00E87D97"/>
    <w:rsid w:val="00E90537"/>
    <w:rsid w:val="00E90DE7"/>
    <w:rsid w:val="00E915F0"/>
    <w:rsid w:val="00E925D6"/>
    <w:rsid w:val="00E9278C"/>
    <w:rsid w:val="00E930F2"/>
    <w:rsid w:val="00E9331D"/>
    <w:rsid w:val="00E9337D"/>
    <w:rsid w:val="00E9383C"/>
    <w:rsid w:val="00E9388E"/>
    <w:rsid w:val="00E94B65"/>
    <w:rsid w:val="00E952E8"/>
    <w:rsid w:val="00E95B5F"/>
    <w:rsid w:val="00E975C7"/>
    <w:rsid w:val="00E97669"/>
    <w:rsid w:val="00EA10E0"/>
    <w:rsid w:val="00EA1682"/>
    <w:rsid w:val="00EA1D29"/>
    <w:rsid w:val="00EA1F7D"/>
    <w:rsid w:val="00EA2631"/>
    <w:rsid w:val="00EA2792"/>
    <w:rsid w:val="00EA2AF4"/>
    <w:rsid w:val="00EA2D1C"/>
    <w:rsid w:val="00EA3B71"/>
    <w:rsid w:val="00EA458F"/>
    <w:rsid w:val="00EA45DE"/>
    <w:rsid w:val="00EA45F1"/>
    <w:rsid w:val="00EA54DC"/>
    <w:rsid w:val="00EA70F9"/>
    <w:rsid w:val="00EA75A8"/>
    <w:rsid w:val="00EB0823"/>
    <w:rsid w:val="00EB0C74"/>
    <w:rsid w:val="00EB0F7A"/>
    <w:rsid w:val="00EB11E5"/>
    <w:rsid w:val="00EB2318"/>
    <w:rsid w:val="00EB34B1"/>
    <w:rsid w:val="00EB34BA"/>
    <w:rsid w:val="00EB3B06"/>
    <w:rsid w:val="00EB5069"/>
    <w:rsid w:val="00EB5CCF"/>
    <w:rsid w:val="00EB5FDE"/>
    <w:rsid w:val="00EB6B14"/>
    <w:rsid w:val="00EB7004"/>
    <w:rsid w:val="00EB73A9"/>
    <w:rsid w:val="00EB75A1"/>
    <w:rsid w:val="00EB7794"/>
    <w:rsid w:val="00EC03D6"/>
    <w:rsid w:val="00EC0EDC"/>
    <w:rsid w:val="00EC0EE4"/>
    <w:rsid w:val="00EC0F31"/>
    <w:rsid w:val="00EC0F7F"/>
    <w:rsid w:val="00EC12EA"/>
    <w:rsid w:val="00EC1BFA"/>
    <w:rsid w:val="00EC21E2"/>
    <w:rsid w:val="00EC2E10"/>
    <w:rsid w:val="00EC3E21"/>
    <w:rsid w:val="00EC3E61"/>
    <w:rsid w:val="00EC4424"/>
    <w:rsid w:val="00EC486A"/>
    <w:rsid w:val="00EC4B09"/>
    <w:rsid w:val="00EC4B15"/>
    <w:rsid w:val="00EC4FDB"/>
    <w:rsid w:val="00EC51F2"/>
    <w:rsid w:val="00EC5430"/>
    <w:rsid w:val="00EC618B"/>
    <w:rsid w:val="00EC6DFF"/>
    <w:rsid w:val="00EC7732"/>
    <w:rsid w:val="00EC7B93"/>
    <w:rsid w:val="00ED0C54"/>
    <w:rsid w:val="00ED10A6"/>
    <w:rsid w:val="00ED15BC"/>
    <w:rsid w:val="00ED170C"/>
    <w:rsid w:val="00ED212F"/>
    <w:rsid w:val="00ED236A"/>
    <w:rsid w:val="00ED2517"/>
    <w:rsid w:val="00ED25D2"/>
    <w:rsid w:val="00ED316E"/>
    <w:rsid w:val="00ED3314"/>
    <w:rsid w:val="00ED33FE"/>
    <w:rsid w:val="00ED3B94"/>
    <w:rsid w:val="00ED429C"/>
    <w:rsid w:val="00ED457F"/>
    <w:rsid w:val="00ED5994"/>
    <w:rsid w:val="00ED5DF0"/>
    <w:rsid w:val="00ED6389"/>
    <w:rsid w:val="00ED7028"/>
    <w:rsid w:val="00ED79B6"/>
    <w:rsid w:val="00EE05B5"/>
    <w:rsid w:val="00EE159E"/>
    <w:rsid w:val="00EE2012"/>
    <w:rsid w:val="00EE27F6"/>
    <w:rsid w:val="00EE3CED"/>
    <w:rsid w:val="00EE4313"/>
    <w:rsid w:val="00EE4963"/>
    <w:rsid w:val="00EE5B04"/>
    <w:rsid w:val="00EE5B0F"/>
    <w:rsid w:val="00EE5C84"/>
    <w:rsid w:val="00EE6567"/>
    <w:rsid w:val="00EE656F"/>
    <w:rsid w:val="00EE6804"/>
    <w:rsid w:val="00EE6918"/>
    <w:rsid w:val="00EE7031"/>
    <w:rsid w:val="00EE7249"/>
    <w:rsid w:val="00EE7368"/>
    <w:rsid w:val="00EE7689"/>
    <w:rsid w:val="00EE7FD7"/>
    <w:rsid w:val="00EF0921"/>
    <w:rsid w:val="00EF09F5"/>
    <w:rsid w:val="00EF470E"/>
    <w:rsid w:val="00EF4989"/>
    <w:rsid w:val="00EF4CD7"/>
    <w:rsid w:val="00EF51C0"/>
    <w:rsid w:val="00EF614B"/>
    <w:rsid w:val="00EF6864"/>
    <w:rsid w:val="00EF74AB"/>
    <w:rsid w:val="00EF764B"/>
    <w:rsid w:val="00F00BDB"/>
    <w:rsid w:val="00F00D3B"/>
    <w:rsid w:val="00F01595"/>
    <w:rsid w:val="00F02282"/>
    <w:rsid w:val="00F030D8"/>
    <w:rsid w:val="00F036DE"/>
    <w:rsid w:val="00F04331"/>
    <w:rsid w:val="00F04953"/>
    <w:rsid w:val="00F04BC0"/>
    <w:rsid w:val="00F056ED"/>
    <w:rsid w:val="00F05825"/>
    <w:rsid w:val="00F05CD5"/>
    <w:rsid w:val="00F05DF0"/>
    <w:rsid w:val="00F074F0"/>
    <w:rsid w:val="00F10795"/>
    <w:rsid w:val="00F10B29"/>
    <w:rsid w:val="00F10BF0"/>
    <w:rsid w:val="00F10C30"/>
    <w:rsid w:val="00F11167"/>
    <w:rsid w:val="00F1228A"/>
    <w:rsid w:val="00F12730"/>
    <w:rsid w:val="00F12784"/>
    <w:rsid w:val="00F128FA"/>
    <w:rsid w:val="00F12B99"/>
    <w:rsid w:val="00F12E4A"/>
    <w:rsid w:val="00F1340B"/>
    <w:rsid w:val="00F140B3"/>
    <w:rsid w:val="00F140F0"/>
    <w:rsid w:val="00F14224"/>
    <w:rsid w:val="00F14535"/>
    <w:rsid w:val="00F14A3D"/>
    <w:rsid w:val="00F14D67"/>
    <w:rsid w:val="00F15780"/>
    <w:rsid w:val="00F15861"/>
    <w:rsid w:val="00F159BA"/>
    <w:rsid w:val="00F15BB3"/>
    <w:rsid w:val="00F15DF3"/>
    <w:rsid w:val="00F17E3D"/>
    <w:rsid w:val="00F20B9D"/>
    <w:rsid w:val="00F21AA1"/>
    <w:rsid w:val="00F21B1C"/>
    <w:rsid w:val="00F221E1"/>
    <w:rsid w:val="00F225A5"/>
    <w:rsid w:val="00F22B18"/>
    <w:rsid w:val="00F22BBB"/>
    <w:rsid w:val="00F22FB4"/>
    <w:rsid w:val="00F233D6"/>
    <w:rsid w:val="00F2401D"/>
    <w:rsid w:val="00F242D0"/>
    <w:rsid w:val="00F24B94"/>
    <w:rsid w:val="00F24BF8"/>
    <w:rsid w:val="00F24E81"/>
    <w:rsid w:val="00F25A69"/>
    <w:rsid w:val="00F25DFA"/>
    <w:rsid w:val="00F2643B"/>
    <w:rsid w:val="00F26BD4"/>
    <w:rsid w:val="00F27AD4"/>
    <w:rsid w:val="00F27FA2"/>
    <w:rsid w:val="00F30438"/>
    <w:rsid w:val="00F305D8"/>
    <w:rsid w:val="00F30E26"/>
    <w:rsid w:val="00F30E99"/>
    <w:rsid w:val="00F30EC1"/>
    <w:rsid w:val="00F31603"/>
    <w:rsid w:val="00F31A0E"/>
    <w:rsid w:val="00F31B6F"/>
    <w:rsid w:val="00F32469"/>
    <w:rsid w:val="00F324A8"/>
    <w:rsid w:val="00F32514"/>
    <w:rsid w:val="00F32F92"/>
    <w:rsid w:val="00F33152"/>
    <w:rsid w:val="00F33293"/>
    <w:rsid w:val="00F33315"/>
    <w:rsid w:val="00F34C88"/>
    <w:rsid w:val="00F34D71"/>
    <w:rsid w:val="00F36279"/>
    <w:rsid w:val="00F36F25"/>
    <w:rsid w:val="00F37C6C"/>
    <w:rsid w:val="00F40062"/>
    <w:rsid w:val="00F41650"/>
    <w:rsid w:val="00F418E9"/>
    <w:rsid w:val="00F41A23"/>
    <w:rsid w:val="00F41D77"/>
    <w:rsid w:val="00F42048"/>
    <w:rsid w:val="00F43080"/>
    <w:rsid w:val="00F43345"/>
    <w:rsid w:val="00F43B47"/>
    <w:rsid w:val="00F43CCA"/>
    <w:rsid w:val="00F43F24"/>
    <w:rsid w:val="00F43FD3"/>
    <w:rsid w:val="00F44435"/>
    <w:rsid w:val="00F448F5"/>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D93"/>
    <w:rsid w:val="00F55EFB"/>
    <w:rsid w:val="00F56BA7"/>
    <w:rsid w:val="00F5706C"/>
    <w:rsid w:val="00F57247"/>
    <w:rsid w:val="00F5782B"/>
    <w:rsid w:val="00F57AFC"/>
    <w:rsid w:val="00F57F7F"/>
    <w:rsid w:val="00F609C9"/>
    <w:rsid w:val="00F60D41"/>
    <w:rsid w:val="00F60FE3"/>
    <w:rsid w:val="00F61993"/>
    <w:rsid w:val="00F61DE1"/>
    <w:rsid w:val="00F62666"/>
    <w:rsid w:val="00F62EEA"/>
    <w:rsid w:val="00F6338F"/>
    <w:rsid w:val="00F63595"/>
    <w:rsid w:val="00F63676"/>
    <w:rsid w:val="00F647F9"/>
    <w:rsid w:val="00F655EC"/>
    <w:rsid w:val="00F65857"/>
    <w:rsid w:val="00F65E62"/>
    <w:rsid w:val="00F67476"/>
    <w:rsid w:val="00F67E0A"/>
    <w:rsid w:val="00F707D3"/>
    <w:rsid w:val="00F71D9C"/>
    <w:rsid w:val="00F72070"/>
    <w:rsid w:val="00F72400"/>
    <w:rsid w:val="00F72609"/>
    <w:rsid w:val="00F72775"/>
    <w:rsid w:val="00F7299F"/>
    <w:rsid w:val="00F73408"/>
    <w:rsid w:val="00F744C7"/>
    <w:rsid w:val="00F745E5"/>
    <w:rsid w:val="00F74623"/>
    <w:rsid w:val="00F7467F"/>
    <w:rsid w:val="00F758C6"/>
    <w:rsid w:val="00F75A34"/>
    <w:rsid w:val="00F75B4C"/>
    <w:rsid w:val="00F75C24"/>
    <w:rsid w:val="00F763A8"/>
    <w:rsid w:val="00F773DC"/>
    <w:rsid w:val="00F77C94"/>
    <w:rsid w:val="00F80014"/>
    <w:rsid w:val="00F81516"/>
    <w:rsid w:val="00F81523"/>
    <w:rsid w:val="00F81724"/>
    <w:rsid w:val="00F82CE4"/>
    <w:rsid w:val="00F82CE6"/>
    <w:rsid w:val="00F83130"/>
    <w:rsid w:val="00F831EF"/>
    <w:rsid w:val="00F83AED"/>
    <w:rsid w:val="00F83C9E"/>
    <w:rsid w:val="00F83D1C"/>
    <w:rsid w:val="00F846A7"/>
    <w:rsid w:val="00F84C73"/>
    <w:rsid w:val="00F84FAE"/>
    <w:rsid w:val="00F85488"/>
    <w:rsid w:val="00F855DD"/>
    <w:rsid w:val="00F85AD0"/>
    <w:rsid w:val="00F86398"/>
    <w:rsid w:val="00F8657A"/>
    <w:rsid w:val="00F86E5A"/>
    <w:rsid w:val="00F87527"/>
    <w:rsid w:val="00F908AB"/>
    <w:rsid w:val="00F9175B"/>
    <w:rsid w:val="00F91C33"/>
    <w:rsid w:val="00F91C42"/>
    <w:rsid w:val="00F9257E"/>
    <w:rsid w:val="00F92948"/>
    <w:rsid w:val="00F93867"/>
    <w:rsid w:val="00F9447E"/>
    <w:rsid w:val="00F945A7"/>
    <w:rsid w:val="00F94684"/>
    <w:rsid w:val="00F951A7"/>
    <w:rsid w:val="00F9551E"/>
    <w:rsid w:val="00F9728D"/>
    <w:rsid w:val="00F978E9"/>
    <w:rsid w:val="00FA0007"/>
    <w:rsid w:val="00FA0F62"/>
    <w:rsid w:val="00FA0F9F"/>
    <w:rsid w:val="00FA2233"/>
    <w:rsid w:val="00FA227F"/>
    <w:rsid w:val="00FA2ACB"/>
    <w:rsid w:val="00FA2EC7"/>
    <w:rsid w:val="00FA2FDC"/>
    <w:rsid w:val="00FA331F"/>
    <w:rsid w:val="00FA3706"/>
    <w:rsid w:val="00FA3BA0"/>
    <w:rsid w:val="00FA43A7"/>
    <w:rsid w:val="00FA561D"/>
    <w:rsid w:val="00FA6512"/>
    <w:rsid w:val="00FA6514"/>
    <w:rsid w:val="00FA702D"/>
    <w:rsid w:val="00FA719E"/>
    <w:rsid w:val="00FA7E20"/>
    <w:rsid w:val="00FB027D"/>
    <w:rsid w:val="00FB0C11"/>
    <w:rsid w:val="00FB131D"/>
    <w:rsid w:val="00FB21AD"/>
    <w:rsid w:val="00FB2F41"/>
    <w:rsid w:val="00FB34E1"/>
    <w:rsid w:val="00FB3836"/>
    <w:rsid w:val="00FB4F2C"/>
    <w:rsid w:val="00FB53B3"/>
    <w:rsid w:val="00FB5606"/>
    <w:rsid w:val="00FB579C"/>
    <w:rsid w:val="00FB57B5"/>
    <w:rsid w:val="00FB5A6E"/>
    <w:rsid w:val="00FB6596"/>
    <w:rsid w:val="00FB69A2"/>
    <w:rsid w:val="00FB6F0A"/>
    <w:rsid w:val="00FC2184"/>
    <w:rsid w:val="00FC22D1"/>
    <w:rsid w:val="00FC2AC3"/>
    <w:rsid w:val="00FC2F56"/>
    <w:rsid w:val="00FC307D"/>
    <w:rsid w:val="00FC4647"/>
    <w:rsid w:val="00FC4C13"/>
    <w:rsid w:val="00FC5E74"/>
    <w:rsid w:val="00FC6046"/>
    <w:rsid w:val="00FC625E"/>
    <w:rsid w:val="00FC7E1F"/>
    <w:rsid w:val="00FD05FB"/>
    <w:rsid w:val="00FD0927"/>
    <w:rsid w:val="00FD0A1D"/>
    <w:rsid w:val="00FD1072"/>
    <w:rsid w:val="00FD1228"/>
    <w:rsid w:val="00FD12BC"/>
    <w:rsid w:val="00FD14CA"/>
    <w:rsid w:val="00FD25AB"/>
    <w:rsid w:val="00FD2682"/>
    <w:rsid w:val="00FD3526"/>
    <w:rsid w:val="00FD37F2"/>
    <w:rsid w:val="00FD3A08"/>
    <w:rsid w:val="00FD42A4"/>
    <w:rsid w:val="00FD4AF5"/>
    <w:rsid w:val="00FD58B4"/>
    <w:rsid w:val="00FD5D09"/>
    <w:rsid w:val="00FD6F70"/>
    <w:rsid w:val="00FD7519"/>
    <w:rsid w:val="00FD7F16"/>
    <w:rsid w:val="00FE090B"/>
    <w:rsid w:val="00FE0BE3"/>
    <w:rsid w:val="00FE1397"/>
    <w:rsid w:val="00FE1587"/>
    <w:rsid w:val="00FE2937"/>
    <w:rsid w:val="00FE29FE"/>
    <w:rsid w:val="00FE2C3E"/>
    <w:rsid w:val="00FE34A0"/>
    <w:rsid w:val="00FE51C3"/>
    <w:rsid w:val="00FE5871"/>
    <w:rsid w:val="00FE596E"/>
    <w:rsid w:val="00FE6E82"/>
    <w:rsid w:val="00FE7CF5"/>
    <w:rsid w:val="00FE7D0C"/>
    <w:rsid w:val="00FF03E2"/>
    <w:rsid w:val="00FF063B"/>
    <w:rsid w:val="00FF0920"/>
    <w:rsid w:val="00FF0DA0"/>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6120"/>
    <w:rsid w:val="00FF6655"/>
    <w:rsid w:val="00FF6962"/>
    <w:rsid w:val="00FF6A62"/>
    <w:rsid w:val="00FF6D4A"/>
    <w:rsid w:val="00FF6DD8"/>
    <w:rsid w:val="00FF75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159101E4"/>
  <w15:docId w15:val="{BBD1EC96-88D9-4CD5-82BE-ADED3589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link w:val="ListParagraphChar"/>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unhideWhenUsed/>
    <w:rsid w:val="004308ED"/>
    <w:rPr>
      <w:sz w:val="20"/>
      <w:szCs w:val="20"/>
    </w:rPr>
  </w:style>
  <w:style w:type="character" w:customStyle="1" w:styleId="FootnoteTextChar">
    <w:name w:val="Footnote Text Char"/>
    <w:link w:val="FootnoteText"/>
    <w:uiPriority w:val="99"/>
    <w:rsid w:val="004308ED"/>
    <w:rPr>
      <w:lang w:eastAsia="en-US"/>
    </w:rPr>
  </w:style>
  <w:style w:type="character" w:styleId="FootnoteReference">
    <w:name w:val="footnote reference"/>
    <w:uiPriority w:val="99"/>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1">
    <w:name w:val="Title1"/>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customStyle="1" w:styleId="UnresolvedMention3">
    <w:name w:val="Unresolved Mention3"/>
    <w:basedOn w:val="DefaultParagraphFont"/>
    <w:uiPriority w:val="99"/>
    <w:semiHidden/>
    <w:unhideWhenUsed/>
    <w:rsid w:val="0080642C"/>
    <w:rPr>
      <w:color w:val="605E5C"/>
      <w:shd w:val="clear" w:color="auto" w:fill="E1DFDD"/>
    </w:rPr>
  </w:style>
  <w:style w:type="character" w:customStyle="1" w:styleId="ListParagraphChar">
    <w:name w:val="List Paragraph Char"/>
    <w:link w:val="ListParagraph"/>
    <w:uiPriority w:val="34"/>
    <w:locked/>
    <w:rsid w:val="001256C8"/>
    <w:rPr>
      <w:sz w:val="22"/>
      <w:szCs w:val="22"/>
      <w:lang w:eastAsia="en-US"/>
    </w:rPr>
  </w:style>
  <w:style w:type="table" w:customStyle="1" w:styleId="TableGrid3">
    <w:name w:val="Table Grid3"/>
    <w:basedOn w:val="TableNormal"/>
    <w:next w:val="TableGrid"/>
    <w:uiPriority w:val="59"/>
    <w:rsid w:val="005D491B"/>
    <w:rPr>
      <w:rFonts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C85B0B"/>
    <w:pPr>
      <w:suppressAutoHyphens/>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styleId="UnresolvedMention">
    <w:name w:val="Unresolved Mention"/>
    <w:basedOn w:val="DefaultParagraphFont"/>
    <w:uiPriority w:val="99"/>
    <w:semiHidden/>
    <w:unhideWhenUsed/>
    <w:rsid w:val="000C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5801">
      <w:bodyDiv w:val="1"/>
      <w:marLeft w:val="0"/>
      <w:marRight w:val="0"/>
      <w:marTop w:val="0"/>
      <w:marBottom w:val="0"/>
      <w:divBdr>
        <w:top w:val="none" w:sz="0" w:space="0" w:color="auto"/>
        <w:left w:val="none" w:sz="0" w:space="0" w:color="auto"/>
        <w:bottom w:val="none" w:sz="0" w:space="0" w:color="auto"/>
        <w:right w:val="none" w:sz="0" w:space="0" w:color="auto"/>
      </w:divBdr>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4303312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876509">
      <w:bodyDiv w:val="1"/>
      <w:marLeft w:val="0"/>
      <w:marRight w:val="0"/>
      <w:marTop w:val="0"/>
      <w:marBottom w:val="0"/>
      <w:divBdr>
        <w:top w:val="none" w:sz="0" w:space="0" w:color="auto"/>
        <w:left w:val="none" w:sz="0" w:space="0" w:color="auto"/>
        <w:bottom w:val="none" w:sz="0" w:space="0" w:color="auto"/>
        <w:right w:val="none" w:sz="0" w:space="0" w:color="auto"/>
      </w:divBdr>
    </w:div>
    <w:div w:id="379716901">
      <w:bodyDiv w:val="1"/>
      <w:marLeft w:val="0"/>
      <w:marRight w:val="0"/>
      <w:marTop w:val="0"/>
      <w:marBottom w:val="0"/>
      <w:divBdr>
        <w:top w:val="none" w:sz="0" w:space="0" w:color="auto"/>
        <w:left w:val="none" w:sz="0" w:space="0" w:color="auto"/>
        <w:bottom w:val="none" w:sz="0" w:space="0" w:color="auto"/>
        <w:right w:val="none" w:sz="0" w:space="0" w:color="auto"/>
      </w:divBdr>
    </w:div>
    <w:div w:id="447088280">
      <w:bodyDiv w:val="1"/>
      <w:marLeft w:val="0"/>
      <w:marRight w:val="0"/>
      <w:marTop w:val="0"/>
      <w:marBottom w:val="0"/>
      <w:divBdr>
        <w:top w:val="none" w:sz="0" w:space="0" w:color="auto"/>
        <w:left w:val="none" w:sz="0" w:space="0" w:color="auto"/>
        <w:bottom w:val="none" w:sz="0" w:space="0" w:color="auto"/>
        <w:right w:val="none" w:sz="0" w:space="0" w:color="auto"/>
      </w:divBdr>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634350">
      <w:bodyDiv w:val="1"/>
      <w:marLeft w:val="0"/>
      <w:marRight w:val="0"/>
      <w:marTop w:val="0"/>
      <w:marBottom w:val="0"/>
      <w:divBdr>
        <w:top w:val="none" w:sz="0" w:space="0" w:color="auto"/>
        <w:left w:val="none" w:sz="0" w:space="0" w:color="auto"/>
        <w:bottom w:val="none" w:sz="0" w:space="0" w:color="auto"/>
        <w:right w:val="none" w:sz="0" w:space="0" w:color="auto"/>
      </w:divBdr>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58433762">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001005">
      <w:bodyDiv w:val="1"/>
      <w:marLeft w:val="0"/>
      <w:marRight w:val="0"/>
      <w:marTop w:val="0"/>
      <w:marBottom w:val="0"/>
      <w:divBdr>
        <w:top w:val="none" w:sz="0" w:space="0" w:color="auto"/>
        <w:left w:val="none" w:sz="0" w:space="0" w:color="auto"/>
        <w:bottom w:val="none" w:sz="0" w:space="0" w:color="auto"/>
        <w:right w:val="none" w:sz="0" w:space="0" w:color="auto"/>
      </w:divBdr>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6162">
      <w:bodyDiv w:val="1"/>
      <w:marLeft w:val="0"/>
      <w:marRight w:val="0"/>
      <w:marTop w:val="0"/>
      <w:marBottom w:val="0"/>
      <w:divBdr>
        <w:top w:val="none" w:sz="0" w:space="0" w:color="auto"/>
        <w:left w:val="none" w:sz="0" w:space="0" w:color="auto"/>
        <w:bottom w:val="none" w:sz="0" w:space="0" w:color="auto"/>
        <w:right w:val="none" w:sz="0" w:space="0" w:color="auto"/>
      </w:divBdr>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78580209">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560770">
      <w:bodyDiv w:val="1"/>
      <w:marLeft w:val="0"/>
      <w:marRight w:val="0"/>
      <w:marTop w:val="0"/>
      <w:marBottom w:val="0"/>
      <w:divBdr>
        <w:top w:val="none" w:sz="0" w:space="0" w:color="auto"/>
        <w:left w:val="none" w:sz="0" w:space="0" w:color="auto"/>
        <w:bottom w:val="none" w:sz="0" w:space="0" w:color="auto"/>
        <w:right w:val="none" w:sz="0" w:space="0" w:color="auto"/>
      </w:divBdr>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084983093">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veg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FDBDE0A004D4B4F826D99DF98AE4DF2" ma:contentTypeVersion="9" ma:contentTypeDescription="Kurkite naują dokumentą." ma:contentTypeScope="" ma:versionID="5193d31e26fad7d014c80362264b1607">
  <xsd:schema xmlns:xsd="http://www.w3.org/2001/XMLSchema" xmlns:xs="http://www.w3.org/2001/XMLSchema" xmlns:p="http://schemas.microsoft.com/office/2006/metadata/properties" xmlns:ns3="2e5a6b9d-8cbf-4ea8-88ff-5c55df701439" targetNamespace="http://schemas.microsoft.com/office/2006/metadata/properties" ma:root="true" ma:fieldsID="b78978bf7c89065836bbae43daa7833e" ns3:_="">
    <xsd:import namespace="2e5a6b9d-8cbf-4ea8-88ff-5c55df7014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6b9d-8cbf-4ea8-88ff-5c55df701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3C6C7-F663-4A70-84F1-D21EAD862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A1034-AC6C-427A-B4B4-9F70811B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6b9d-8cbf-4ea8-88ff-5c55df701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2DDA2-EBA2-4066-AF37-9E8BE2B4B7DB}">
  <ds:schemaRefs>
    <ds:schemaRef ds:uri="http://schemas.openxmlformats.org/officeDocument/2006/bibliography"/>
  </ds:schemaRefs>
</ds:datastoreItem>
</file>

<file path=customXml/itemProps4.xml><?xml version="1.0" encoding="utf-8"?>
<ds:datastoreItem xmlns:ds="http://schemas.openxmlformats.org/officeDocument/2006/customXml" ds:itemID="{82E0278A-B36F-4540-A206-7FAC1EBFA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30</Pages>
  <Words>44895</Words>
  <Characters>25591</Characters>
  <Application>Microsoft Office Word</Application>
  <DocSecurity>0</DocSecurity>
  <Lines>213</Lines>
  <Paragraphs>140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UŽDUOTIS</vt:lpstr>
      <vt:lpstr>TECHNINĖ UŽDUOTIS</vt:lpstr>
    </vt:vector>
  </TitlesOfParts>
  <Company>INVEGA, UAB</Company>
  <LinksUpToDate>false</LinksUpToDate>
  <CharactersWithSpaces>70346</CharactersWithSpaces>
  <SharedDoc>false</SharedDoc>
  <HLinks>
    <vt:vector size="6" baseType="variant">
      <vt:variant>
        <vt:i4>4915273</vt:i4>
      </vt:variant>
      <vt:variant>
        <vt:i4>0</vt:i4>
      </vt:variant>
      <vt:variant>
        <vt:i4>0</vt:i4>
      </vt:variant>
      <vt:variant>
        <vt:i4>5</vt:i4>
      </vt:variant>
      <vt:variant>
        <vt:lpwstr>http://www3.lrs.lt/pls/inter3/dokpaieska.showdoc_l?p_id=309099&amp;p_query=&amp;p_tr2=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Ieva Petkevičiūtė</cp:lastModifiedBy>
  <cp:revision>8</cp:revision>
  <cp:lastPrinted>2020-08-07T10:13:00Z</cp:lastPrinted>
  <dcterms:created xsi:type="dcterms:W3CDTF">2020-08-18T04:55:00Z</dcterms:created>
  <dcterms:modified xsi:type="dcterms:W3CDTF">2020-08-18T08:06:00Z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0x0101001FDBDE0A004D4B4F826D99DF98AE4DF2</vt:lpwstr>
  </property>
</Properties>
</file>